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7"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5"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W tym miejscu z całą mocą pojawia się argument oparty na prawdopodobieństwie statystycznym. Zachowane manuskrypty nie tylko przedstawiają nam jedną formę tekstową, która cieszy się 95-procentową przewagą, ale pozostałe 5% nie stanowi żadnej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słowo „Bóg”, podczas gdy tylko dziewięć odczytów zawiera inne słowo. Spośród tych dziewięciu odczytów, trzy mają odczyty prywatne, a sześć zgadza się co do odczytu „kto”.</w:t>
      </w:r>
      <w:r>
        <w:rPr>
          <w:rStyle w:val="FootnoteReference"/>
        </w:rPr>
        <w:footnoteReference w:id="164"/>
      </w:r>
      <w:r>
        <w:t xml:space="preserve"> </w:t>
      </w:r>
      <w:r>
        <w:t xml:space="preserve">Musimy więc rozstrzygać między 98,5% a 1%, „Bóg” kontra „kto”. Trudno wyobrazić sobie jakikolwiek zestaw okoliczności w historii przekazywania, który wystarczyłby do wywołania katastrofalnego przewrotu w prawdopodobieństwie statystycznym, wymaganego przez twierdzenie, że „kto” jest odczytem oryginalnym.</w:t>
      </w:r>
    </w:p>
    <w:p>
      <w:pPr>
        <w:pStyle w:val="BodyText"/>
      </w:pPr>
      <w:r>
        <w:t xml:space="preserve">The argument from statistical probability enters here with a vengeance. Not only do the extant MSS present us with one text form enjoying a 95% majority, but the remaining 5% do not represent a single competing text form. The minority MSS disagree as much (or more) among themselves as they do with the majority. For any two of them to agree so closely as do P</w:t>
      </w:r>
      <w:r>
        <w:rPr>
          <w:vertAlign w:val="superscript"/>
        </w:rPr>
        <w:t xml:space="preserve">75</w:t>
      </w:r>
      <w:r>
        <w:t xml:space="preserve"> </w:t>
      </w:r>
      <w:r>
        <w:t xml:space="preserve">and B is an oddity. We are not judging, therefore, between two text forms, one representing 95% of the MSS and the other 5%. Rather, we have to judge between 95% and a fraction of 1% (comparing the Majority Text with the P</w:t>
      </w:r>
      <w:r>
        <w:rPr>
          <w:vertAlign w:val="superscript"/>
        </w:rPr>
        <w:t xml:space="preserve">75</w:t>
      </w:r>
      <w:r>
        <w:t xml:space="preserve">,B text form for example). Or to take a specific case, in 1 Timothy 3:16 some 600 Greek MSS (besides the Lectionaries) read “God” while only nine read something else. Of those nine, three have private readings and six agree in reading “who”.3 So we have to judge between 98.5% and 1%, “God” versus “who”. It is hard to imagine any possible set of circumstances in the transmissional history sufficient to produce the cataclysmic overthrow in statistical probability required by the claim that “who” is the original reading.</w:t>
      </w:r>
    </w:p>
    <w:bookmarkEnd w:id="165"/>
    <w:bookmarkEnd w:id="166"/>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 op. cit. [łac.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64">
    <w:p>
      <w:pPr>
        <w:pStyle w:val="FootnoteText"/>
      </w:pPr>
      <w:r>
        <w:rPr>
          <w:rStyle w:val="FootnoteReference"/>
        </w:rPr>
        <w:footnoteRef/>
      </w:r>
      <w:r>
        <w:t xml:space="preserve"> </w:t>
      </w:r>
      <w:r>
        <w:t xml:space="preserve">Odczyty wraz z popierającymi je manuskryptami są jak następuje [ w formie:</w:t>
      </w:r>
      <w:r>
        <w:t xml:space="preserve"> </w:t>
      </w:r>
      <w:r>
        <w:rPr>
          <w:i/>
          <w:iCs/>
        </w:rPr>
        <w:t xml:space="preserve">grecka fraza</w:t>
      </w:r>
      <w:r>
        <w:t xml:space="preserve"> </w:t>
      </w:r>
      <w:r>
        <w:t xml:space="preserve">- identyfikatory manuskryptów, przyp. tłum.]:</w:t>
      </w:r>
    </w:p>
    <w:p>
      <w:pPr>
        <w:pStyle w:val="FootnoteText"/>
      </w:pPr>
      <w:r>
        <w:rPr>
          <w:i/>
          <w:iCs/>
        </w:rPr>
        <w:t xml:space="preserve">ο</w:t>
      </w:r>
      <w:r>
        <w:t xml:space="preserve"> </w:t>
      </w:r>
      <w:r>
        <w:t xml:space="preserve">– D</w:t>
      </w:r>
    </w:p>
    <w:p>
      <w:pPr>
        <w:pStyle w:val="FootnoteText"/>
      </w:pPr>
      <w:r>
        <w:rPr>
          <w:i/>
          <w:iCs/>
        </w:rPr>
        <w:t xml:space="preserve">ω</w:t>
      </w:r>
      <w:r>
        <w:t xml:space="preserve"> </w:t>
      </w:r>
      <w:r>
        <w:t xml:space="preserve">– 061</w:t>
      </w:r>
    </w:p>
    <w:p>
      <w:pPr>
        <w:pStyle w:val="FootnoteText"/>
      </w:pPr>
      <w:r>
        <w:rPr>
          <w:i/>
          <w:iCs/>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
          <w:iCs/>
        </w:rPr>
        <w:t xml:space="preserve">ος</w:t>
      </w:r>
      <w:r>
        <w:t xml:space="preserve"> </w:t>
      </w:r>
      <w:r>
        <w:t xml:space="preserve">– ℵ, 33, 365, 442, 1175, 2127 (plus trzy Lekcjonarze)</w:t>
      </w:r>
    </w:p>
    <w:p>
      <w:pPr>
        <w:pStyle w:val="FootnoteText"/>
      </w:pPr>
      <w:r>
        <w:rPr>
          <w:i/>
          <w:iCs/>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
          <w:iCs/>
        </w:rPr>
        <w:t xml:space="preserve">ο Θεος</w:t>
      </w:r>
      <w:r>
        <w:t xml:space="preserve"> </w:t>
      </w:r>
      <w:r>
        <w:t xml:space="preserve">oraz jeden lekcjonarz mający odczyt</w:t>
      </w:r>
      <w:r>
        <w:t xml:space="preserve"> </w:t>
      </w:r>
      <w:r>
        <w:rPr>
          <w:i/>
          <w:iCs/>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
          <w:iCs/>
        </w:rPr>
        <w:t xml:space="preserve">Θ</w:t>
      </w:r>
      <w:r>
        <w:t xml:space="preserve">, które dwadzieścia lat później (tj. w 1785 roku) przestały być dla niego widoczne” (</w:t>
      </w:r>
      <w:r>
        <w:rPr>
          <w:i/>
          <w:iCs/>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
          <w:iCs/>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
          <w:iCs/>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
          <w:bCs/>
        </w:rPr>
        <w:t xml:space="preserve">Kreska skrótu</w:t>
      </w:r>
      <w:r>
        <w:t xml:space="preserve">[ang.</w:t>
      </w:r>
      <w:r>
        <w:t xml:space="preserve"> </w:t>
      </w:r>
      <w:r>
        <w:rPr>
          <w:i/>
          <w:iCs/>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
          <w:iCs/>
        </w:rPr>
        <w:t xml:space="preserve">Ibid.</w:t>
      </w:r>
      <w:r>
        <w:t xml:space="preserve">, s. 437-438.</w:t>
      </w:r>
    </w:p>
    <w:p>
      <w:pPr>
        <w:pStyle w:val="FootnoteText"/>
      </w:pPr>
      <w:r>
        <w:t xml:space="preserve">Codices F/G read</w:t>
      </w:r>
      <w:r>
        <w:t xml:space="preserve"> </w:t>
      </w:r>
      <w:r>
        <w:rPr>
          <w:i/>
          <w:iCs/>
        </w:rPr>
        <w:t xml:space="preserve">OC</w:t>
      </w:r>
      <w:r>
        <w:t xml:space="preserve"> </w:t>
      </w:r>
      <w:r>
        <w:t xml:space="preserve">wherein the contracting-bar is a slanting stroke. It has been argued that the stroke represents the aspirate of</w:t>
      </w:r>
      <w:r>
        <w:t xml:space="preserve"> </w:t>
      </w:r>
      <w:r>
        <w:rPr>
          <w:i/>
          <w:iCs/>
        </w:rPr>
        <w:t xml:space="preserve">ος</w:t>
      </w:r>
      <w:r>
        <w:t xml:space="preserve">, but Burgon demonstrates that the stroke in question never represents breathing but is invariably the sign of contraction and affirms that</w:t>
      </w:r>
      <w:r>
        <w:t xml:space="preserve"> </w:t>
      </w:r>
      <w:r>
        <w:rPr>
          <w:i/>
          <w:iCs/>
        </w:rPr>
        <w:t xml:space="preserve">“ος</w:t>
      </w:r>
      <w:r>
        <w:t xml:space="preserve"> </w:t>
      </w:r>
      <w:r>
        <w:t xml:space="preserve">is</w:t>
      </w:r>
      <w:r>
        <w:t xml:space="preserve"> </w:t>
      </w:r>
      <w:r>
        <w:rPr>
          <w:b/>
          <w:bCs/>
        </w:rPr>
        <w:t xml:space="preserve">nowhere</w:t>
      </w:r>
      <w:r>
        <w:t xml:space="preserve"> </w:t>
      </w:r>
      <w:r>
        <w:t xml:space="preserve">else written</w:t>
      </w:r>
      <w:r>
        <w:t xml:space="preserve"> </w:t>
      </w:r>
      <w:r>
        <w:rPr>
          <w:i/>
          <w:iCs/>
        </w:rPr>
        <w:t xml:space="preserve">OC</w:t>
      </w:r>
      <w:r>
        <w:t xml:space="preserve"> </w:t>
      </w:r>
      <w:r>
        <w:t xml:space="preserve">[with a cross-bar] in either codex” (</w:t>
      </w:r>
      <w:r>
        <w:rPr>
          <w:i/>
          <w:iCs/>
        </w:rPr>
        <w:t xml:space="preserve">Ibid.</w:t>
      </w:r>
      <w:r>
        <w:t xml:space="preserve">, p. 442. Cf. pp. 438-442). Presumably the cross-line in the common parent had become too faint to see. As for cursive 365, Burgon conducted an exhaustive search for it. He not only failed to find it but could find no evidence that it had ever existed (</w:t>
      </w:r>
      <w:r>
        <w:rPr>
          <w:i/>
          <w:iCs/>
        </w:rPr>
        <w:t xml:space="preserve">Ibid.</w:t>
      </w:r>
      <w:r>
        <w:t xml:space="preserve">, pp. 444-445) (I have recently been informed that it was later rediscovered by Gregory).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2026-06-01T06:01:35Z</dcterms:created>
  <dcterms:modified xsi:type="dcterms:W3CDTF">2026-06-01T06:01:35Z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