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40"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9"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Trzeba dosłownie kopiować literę po literze i nieustannie sprawdzać, czy się nie zgubiło. (Jest to jeszcze trudniejsze, gdy między słowami nie ma odstępów ani znaków interpunkcyjnych, jak miało to miejsce w przypadku Tekstu Nowego Testamentu we wczesnych wiekach). Jeśli jednak nie rozumie się tekstu, bardzo trudno jest zachować czujność. Rozważmy przypadek P</w:t>
      </w:r>
      <w:r>
        <w:rPr>
          <w:vertAlign w:val="superscript"/>
        </w:rPr>
        <w:t xml:space="preserve">66</w:t>
      </w:r>
      <w:r>
        <w:t xml:space="preserve">. Ten papirusowy rękopis jest prawdopodobnie najstarszym (ok. 200 r.) zachowanym rękopisem Nowego Testamentu o dowolnej objętości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To copy a text by hand in a language you do not understand is a tedious exercise—it is almost impossible to produce a perfect copy (try it and see!). You virtually have to copy letter by letter and constantly check your place. (It is even more difficult if there is no space between words and no punctuation, as was the case with the NT Text in the early centuries.) But if you cannot understand the text it is very difficult to remain alert. Consider the case of P66. This papyrus manuscript is perhaps the oldest (c. 200) extant NT manuscript of any size (it contains most of John). It is one of the worst copies we have. It has an average of roughly two mistakes per verse—many being obvious mistakes, stupid mistakes, nonsensical mistakes. From the pattern of mistakes it is clear that the scribe copied syllable by syllable. I have no qualms in affirming that the person who produced P66 did not know Greek. Had he understood the text he would not have made the number and sort of mistakes that he did.</w:t>
      </w:r>
    </w:p>
    <w:bookmarkEnd w:id="138"/>
    <w:bookmarkEnd w:id="139"/>
    <w:bookmarkEnd w:id="1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w:t>
      </w:r>
      <w:r>
        <w:t xml:space="preserve"> </w:t>
      </w:r>
      <w:r>
        <w:rPr>
          <w:bCs/>
          <w:b/>
        </w:rPr>
        <w:t xml:space="preserve">nie mogły być wykorzystane</w:t>
      </w:r>
      <w:r>
        <w:t xml:space="preserve">, ponieważ były podejrzane o zafałszowanie”. No, to wszystko jest bardzo pouczające – innymi słowy, Aland mówi nam, że do 200 roku n.e. tradycji tekstowej w Egipcie nie można ufać. (K. i B. Aland, str. 59 oraz K. Aland, „The Text of the Church?”,</w:t>
      </w:r>
      <w:r>
        <w:t xml:space="preserve"> </w:t>
      </w:r>
      <w:r>
        <w:rPr>
          <w:iCs/>
          <w:i/>
        </w:rPr>
        <w:t xml:space="preserve">Trinity Journal</w:t>
      </w:r>
      <w:r>
        <w:t xml:space="preserve">, 1987, 8NS:138).</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2026-03-16T12:47:21Z</dcterms:created>
  <dcterms:modified xsi:type="dcterms:W3CDTF">2026-03-16T12:47:21Z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