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43"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42"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41"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samego początku uznawali autorytet pism Nowego Testamentu – gdyby tak nie było, odrzuciliby autorytet Apostołów, a tym samym nie należeliby do grona wiernych. Do podstawowej uczciwości od samego początku dochodziła szacunek w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ugruntowała się na całym obszarze ich wpływów.</w:t>
      </w:r>
    </w:p>
    <w:p>
      <w:pPr>
        <w:pStyle w:val="BodyText"/>
      </w:pPr>
      <w:r>
        <w:rPr>
          <w:rStyle w:val="FootnoteReference"/>
        </w:rPr>
        <w:footnoteReference w:id="140"/>
      </w:r>
    </w:p>
    <w:p>
      <w:pPr>
        <w:pStyle w:val="BodyText"/>
      </w:pPr>
      <w:r>
        <w:t xml:space="preserve">We have seen that the faithful recognized the authority of the New Testament writings from the start—had they not they would have been rejecting the authority of the Apostles, and hence not been among the faithful. To a basic honesty would be added reverence in their handling of the text, from the start. And to these would be added vigilance, since the Apostles had repeatedly and emphatically warned them against false teachers.</w:t>
      </w:r>
    </w:p>
    <w:p>
      <w:pPr>
        <w:pStyle w:val="BodyText"/>
      </w:pPr>
      <w:r>
        <w:t xml:space="preserve">With an ever-increasing demand and consequent proliferation of copies throughout the Graeco-Roman world and with the potential for veryfying copies by having recourse to the centers still possessing the Autographs, the early textual situation was presumably highly favorable to the wide dissemination of MSS in close agreement with the original text. By the early years of the second century the dissemination of such copies can reasonably be expected to have been very widespread, with the logical consequence that the form of text they embodied would early become entrenched throughout the area of their influence.</w:t>
      </w:r>
    </w:p>
    <w:bookmarkEnd w:id="141"/>
    <w:bookmarkEnd w:id="142"/>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r>
        <w:t xml:space="preserve"> </w:t>
      </w:r>
      <w:r>
        <w:t xml:space="preserve">The demonstration vindicating my assertion is in Appendix C of my book, The Identity of the New Testament Text IV, available from Amazon.com as well as from my site, www.prunch.org.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2026-04-05T03:55:15Z</dcterms:created>
  <dcterms:modified xsi:type="dcterms:W3CDTF">2026-04-05T03:55:15Z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