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2"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1"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0"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t xml:space="preserve"> </w:t>
      </w:r>
      <w:r>
        <w:t xml:space="preserve">napisane około 185 r., są mniej więcej równe pod względem objętości do dzieł wszystkich poprzedzających Ojców razem wziętych.</w:t>
      </w:r>
    </w:p>
    <w:p>
      <w:pPr>
        <w:pStyle w:val="BodyText"/>
      </w:pPr>
      <w:r>
        <w:t xml:space="preserve">The surviving writings of Irenaeus (died in 202), his major work</w:t>
      </w:r>
      <w:r>
        <w:t xml:space="preserve"> </w:t>
      </w:r>
      <w:r>
        <w:rPr>
          <w:iCs/>
          <w:i/>
        </w:rPr>
        <w:t xml:space="preserve">Against Heretics</w:t>
      </w:r>
      <w:r>
        <w:t xml:space="preserve"> </w:t>
      </w:r>
      <w:r>
        <w:t xml:space="preserve">being written about 185, are about equal in volume to those of all the preceding Fathers put together.</w:t>
      </w:r>
    </w:p>
    <w:bookmarkEnd w:id="120"/>
    <w:bookmarkEnd w:id="121"/>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2026-01-20T07:35:25Z</dcterms:created>
  <dcterms:modified xsi:type="dcterms:W3CDTF">2026-01-20T07:35:25Z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