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0"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9"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2"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0"/>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1"/>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2"/>
    <w:bookmarkStart w:id="158"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4" name="Picture"/>
            <a:graphic>
              <a:graphicData uri="http://schemas.openxmlformats.org/drawingml/2006/picture">
                <pic:pic>
                  <pic:nvPicPr>
                    <pic:cNvPr descr="images/Rysunek_A.jpg" id="155" name="Picture"/>
                    <pic:cNvPicPr>
                      <a:picLocks noChangeArrowheads="1" noChangeAspect="1"/>
                    </pic:cNvPicPr>
                  </pic:nvPicPr>
                  <pic:blipFill>
                    <a:blip r:embed="rId153"/>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6"/>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7"/>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Another consideration suggests itself—if, as reported, the Diocletian campaign was most fierce and effective in the Byzantine area, the numerical advantage of the ‘Byzantine’ text-type over the ‘Western’ and ‘Alexandrian’ would have been reduced, giving the latter a chance to forge ahead. But it did not happen. The Church, in the main, refused to propagate those forms of the Greek text.</w:t>
      </w:r>
    </w:p>
    <w:bookmarkEnd w:id="158"/>
    <w:bookmarkEnd w:id="159"/>
    <w:bookmarkEnd w:id="1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1">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6">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7">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3" Target="media/rId153.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2026-05-16T07:23:39Z</dcterms:created>
  <dcterms:modified xsi:type="dcterms:W3CDTF">2026-05-16T07:23:39Z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