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195" w:name="część-ii-najlepsza-linia-przekazywania"/>
    <w:p>
      <w:pPr>
        <w:pStyle w:val="Heading1"/>
      </w:pPr>
      <w:r>
        <w:t xml:space="preserve">CZĘŚĆ II: Najlepsza linia przekazywania</w:t>
      </w:r>
    </w:p>
    <w:bookmarkStart w:id="19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o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When Thomas Nelson Inc. published my first book in 1977,</w:t>
      </w:r>
      <w:r>
        <w:t xml:space="preserve"> </w:t>
      </w:r>
      <w:r>
        <w:rPr>
          <w:iCs/>
          <w:i/>
        </w:rPr>
        <w:t xml:space="preserve">The Iden-tity of the New Testament Text</w:t>
      </w:r>
      <w:r>
        <w:t xml:space="preserve">, the best printed Greek New testament that was readily available was the</w:t>
      </w:r>
      <w:r>
        <w:t xml:space="preserve"> </w:t>
      </w:r>
      <w:r>
        <w:rPr>
          <w:iCs/>
          <w:i/>
        </w:rPr>
        <w:t xml:space="preserve">Textus Receptus</w:t>
      </w:r>
      <w:r>
        <w:t xml:space="preserve">, the Received Text—it was the Greek Text of the Protestant Reformation. John William Burgon, Dean of Chichester, called it the</w:t>
      </w:r>
      <w:r>
        <w:t xml:space="preserve"> </w:t>
      </w:r>
      <w:r>
        <w:t xml:space="preserve">‘</w:t>
      </w:r>
      <w:r>
        <w:t xml:space="preserve">Traditional Text</w:t>
      </w:r>
      <w:r>
        <w:t xml:space="preserve">’</w:t>
      </w:r>
      <w:r>
        <w:t xml:space="preserve">. Although Zane C. Hodges and Arthur L. Farstad had started working on a Majority Text, based on the work of Hermann von Soden,1 it was not published until 1982. In 1977 I demonstrated that the Westcott-Hort critical theory was false at every point, and that demonstration has never been refuted since, that I know of. But when it came to offering an alternative, I was limited to generalities and Burgon’s seven</w:t>
      </w:r>
      <w:r>
        <w:t xml:space="preserve"> </w:t>
      </w:r>
      <w:r>
        <w:t xml:space="preserve">“</w:t>
      </w:r>
      <w:r>
        <w:t xml:space="preserve">Notes of Truth</w:t>
      </w:r>
      <w:r>
        <w:t xml:space="preserve">”</w:t>
      </w:r>
      <w:r>
        <w:t xml:space="preserve">.2 Thomas Nelson put my book through at least three further printings, including some revision, the last one appearing in 1990. Even then, I had nothing better to offer.</w:t>
      </w:r>
    </w:p>
    <w:p>
      <w:pPr>
        <w:pStyle w:val="BodyText"/>
      </w:pPr>
      <w:r>
        <w:t xml:space="preserve">Jednak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pStyle w:val="BodyText"/>
      </w:pPr>
      <w:r>
        <w:t xml:space="preserve">However, in 1988 I helped to start the Majority Text Society, along with Zane Hodges, Art Farstad and Frank Carmichal, and was its first pre-sident. At that time I began to seriously work on Majority Text theory, and during the next decade developed what I was pleased to call Original Text theory. I used it as a steppingstone to my present approach to NT textual criticism (that we may call Family 35 Priority Theory). Here it is:</w:t>
      </w:r>
    </w:p>
    <w:p>
      <w:pPr>
        <w:numPr>
          <w:ilvl w:val="0"/>
          <w:numId w:val="1008"/>
        </w:numPr>
        <w:pStyle w:val="Compact"/>
      </w:pPr>
      <w:r>
        <w:t xml:space="preserve">First, OTT is concerned to identify the precise original wording of the NT writings.</w:t>
      </w:r>
      <w:r>
        <w:rPr>
          <w:rStyle w:val="FootnoteReference"/>
        </w:rPr>
        <w:footnoteReference w:id="193"/>
      </w:r>
    </w:p>
    <w:bookmarkEnd w:id="194"/>
    <w:bookmarkEnd w:id="1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w:t>
      </w:r>
      <w:r>
        <w:t xml:space="preserve"> </w:t>
      </w:r>
      <w:r>
        <w:t xml:space="preserve">‘</w:t>
      </w:r>
      <w:r>
        <w:t xml:space="preserve">h</w:t>
      </w:r>
      <w:r>
        <w:t xml:space="preserve">’</w:t>
      </w:r>
      <w:r>
        <w:t xml:space="preserve"> </w:t>
      </w:r>
      <w:r>
        <w:t xml:space="preserve">-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w:t>
      </w:r>
      <w:r>
        <w:t xml:space="preserve">która</w:t>
      </w:r>
      <w:r>
        <w:t xml:space="preserve">”</w:t>
      </w:r>
      <w:r>
        <w:t xml:space="preserve"> </w:t>
      </w:r>
      <w:r>
        <w:t xml:space="preserve">powstała z</w:t>
      </w:r>
      <w:r>
        <w:t xml:space="preserve"> </w:t>
      </w:r>
      <w:r>
        <w:t xml:space="preserve">“</w:t>
      </w:r>
      <w:r>
        <w:t xml:space="preserve">kto</w:t>
      </w:r>
      <w:r>
        <w:t xml:space="preserve">”</w:t>
      </w:r>
      <w:r>
        <w:t xml:space="preserve">, wówczas to drugie musi być starsze. Odczyt</w:t>
      </w:r>
      <w:r>
        <w:t xml:space="preserve"> </w:t>
      </w:r>
      <w:r>
        <w:t xml:space="preserve">“</w:t>
      </w:r>
      <w:r>
        <w:t xml:space="preserve">kto</w:t>
      </w:r>
      <w:r>
        <w:t xml:space="preserve">”</w:t>
      </w:r>
      <w:r>
        <w:t xml:space="preserve"> </w:t>
      </w:r>
      <w:r>
        <w:t xml:space="preserve">jest co prawda najtrudniejszy, do tego stopnia, że stosowanie zasady</w:t>
      </w:r>
      <w:r>
        <w:t xml:space="preserve"> </w:t>
      </w:r>
      <w:r>
        <w:t xml:space="preserve">“</w:t>
      </w:r>
      <w:r>
        <w:t xml:space="preserve">trudniejszego odczytu</w:t>
      </w:r>
      <w:r>
        <w:t xml:space="preserve">”</w:t>
      </w:r>
      <w:r>
        <w:t xml:space="preserve"> </w:t>
      </w:r>
      <w:r>
        <w:t xml:space="preserve">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(Teil 1, Berlin: Verlag von Alexander Duncker, 1902-1910; Teil 2 Göttingen: Vandenhoeck und Ruprecht, 1913).</w:t>
      </w:r>
    </w:p>
  </w:footnote>
  <w:footnote w:id="192">
    <w:p>
      <w:pPr>
        <w:pStyle w:val="FootnoteText"/>
      </w:pPr>
      <w:r>
        <w:rPr>
          <w:rStyle w:val="FootnoteReference"/>
        </w:rPr>
        <w:footnoteRef/>
      </w:r>
      <w:r>
        <w:t xml:space="preserve"> </w:t>
      </w:r>
      <w:r>
        <w:t xml:space="preserve">They are: 1. Antiquity, or Primitiveness; 2. Consent of Witnesses, or Number; 3. Variety of Evidence, or Catholicity; 4. Respectability of Witnesses, or Weight; 5. Continuity, or Unbroken Tradition; 6. Evidence of the Entire Passage, or Context; 7. Internal Considerations, or Reasonableness. Burgon,</w:t>
      </w:r>
      <w:r>
        <w:t xml:space="preserve"> </w:t>
      </w:r>
      <w:r>
        <w:rPr>
          <w:iCs/>
          <w:i/>
        </w:rPr>
        <w:t xml:space="preserve">The Traditional Text</w:t>
      </w:r>
      <w:r>
        <w:t xml:space="preserve">, p. 29.</w:t>
      </w:r>
    </w:p>
  </w:footnote>
  <w:footnote w:id="193">
    <w:p>
      <w:pPr>
        <w:pStyle w:val="FootnoteText"/>
      </w:pPr>
      <w:r>
        <w:rPr>
          <w:rStyle w:val="FootnoteReference"/>
        </w:rPr>
        <w:footnoteRef/>
      </w:r>
      <w:r>
        <w:t xml:space="preserve"> </w:t>
      </w:r>
      <w:r>
        <w:t xml:space="preserve">Here I reject the allegation that the original wording is lost and gone.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2026-07-28T13:13:39Z</dcterms:created>
  <dcterms:modified xsi:type="dcterms:W3CDTF">2026-07-28T13:13:39Z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