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a musiały istnieć prywatne kopie wśród tych, którzy mogli sobie na nie pozwolić.</w:t>
      </w:r>
    </w:p>
    <w:p>
      <w:pPr>
        <w:pStyle w:val="BodyText"/>
      </w:pPr>
      <w:r>
        <w:t xml:space="preserve">Both Justin Martyr and Irenaeus claimed that the Church was spread throughout the whole earth, in their day—remember that Irenaeus, in 177, became bishop of Lyons, in</w:t>
      </w:r>
      <w:r>
        <w:t xml:space="preserve"> </w:t>
      </w:r>
      <w:r>
        <w:rPr>
          <w:bCs/>
          <w:b/>
        </w:rPr>
        <w:t xml:space="preserve">Gaul</w:t>
      </w:r>
      <w:r>
        <w:t xml:space="preserve">, and he was not the first bishop in that area. Coupling this information with Justin’s statement that the memoirs of the apostles were read each Sunday in the assemblies, it becomes clear that there must have been thousands of copies of the New Testament writings in use by 200 AD Each assembly would need at least one copy to read from, and there must have been private copies among those who could afford them.</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2026-03-01T16:30:02Z</dcterms:created>
  <dcterms:modified xsi:type="dcterms:W3CDTF">2026-03-01T16:30:02Z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