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4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Again the Aegean Area is far and away the best qualified to transmit the Text with confidence and integrity. Note that even if Egypt had started out with a good text, already by the end of the 2nd century its competence to transmit the text was steadily deteriorating. In fact the early papyri (they come from Egypt) are demonstrably inferior in quality, taken individually, as well as exhibiting rather different types of text (they disagree among themselves).</w:t>
      </w:r>
    </w:p>
    <w:p>
      <w:pPr>
        <w:pStyle w:val="BodyText"/>
      </w:pPr>
      <w:r>
        <w:t xml:space="preserve">Ponownie region Morza Egejskiego jest zdecydowanie najlepiej wykwalifikowany do przekazywania Tekstu z pewnością i integralnością. Zauważ, że nawet gdyby Egipt zaczynał od dobrego tekstu,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2026-03-22T05:20:32Z</dcterms:created>
  <dcterms:modified xsi:type="dcterms:W3CDTF">2026-03-22T05:20:32Z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