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komentował dowody najwcześniejszych papirusów.</w:t>
      </w:r>
    </w:p>
    <w:p>
      <w:pPr>
        <w:pStyle w:val="BodyText"/>
      </w:pPr>
      <w:r>
        <w:t xml:space="preserve">Let us take our two manuscripts of about this date [AD 200] which contain parts of John, the Chester Beatty Papyrus and the Bodmer Papyrus. They are together extant for about seventy verses. Over these seventy verses they differ some seventy-three times apart from mistakes.</w:t>
      </w:r>
    </w:p>
    <w:p>
      <w:pPr>
        <w:pStyle w:val="BodyText"/>
      </w:pPr>
      <w:r>
        <w:t xml:space="preserve">[^gd-kilpatrick-ix-128-29]</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2026-04-28T18:13:39Z</dcterms:created>
  <dcterms:modified xsi:type="dcterms:W3CDTF">2026-04-28T18:13:39Z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