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 ‘Sprawiedliwy z wiary żyć będzie‘.”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344"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7"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bCs/>
          <w:b/>
        </w:rPr>
        <w:t xml:space="preserve">Ewangelia Jana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(podział na 5 części)</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w:t>
            </w:r>
            <w:r>
              <w:t xml:space="preserve"> </w:t>
            </w:r>
            <w:r>
              <w:rPr>
                <w:bCs/>
                <w:b/>
              </w:rPr>
              <w:t xml:space="preserve">f</w:t>
            </w:r>
            <w:r>
              <w:rPr>
                <w:vertAlign w:val="superscript"/>
                <w:bCs/>
                <w:b/>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(7)</w:t>
            </w:r>
          </w:p>
        </w:tc>
      </w:tr>
      <w:tr>
        <w:tc>
          <w:tcPr/>
          <w:p>
            <w:pPr>
              <w:pStyle w:val="Compact"/>
              <w:jc w:val="left"/>
            </w:pPr>
            <w:r>
              <w:t xml:space="preserve">++</w:t>
            </w:r>
          </w:p>
        </w:tc>
        <w:tc>
          <w:tcPr/>
          <w:p>
            <w:pPr>
              <w:pStyle w:val="Compact"/>
              <w:jc w:val="left"/>
            </w:pPr>
            <w:r>
              <w:t xml:space="preserve">około 30% = niezłe (11)</w:t>
            </w:r>
          </w:p>
        </w:tc>
      </w:tr>
      <w:tr>
        <w:tc>
          <w:tcPr/>
          <w:p>
            <w:pPr>
              <w:pStyle w:val="Compact"/>
              <w:jc w:val="left"/>
            </w:pPr>
            <w:r>
              <w:t xml:space="preserve">+--</w:t>
            </w:r>
          </w:p>
        </w:tc>
        <w:tc>
          <w:tcPr/>
          <w:p>
            <w:pPr>
              <w:pStyle w:val="Compact"/>
              <w:jc w:val="left"/>
            </w:pPr>
            <w:r>
              <w:t xml:space="preserve">około 35% (4)</w:t>
            </w:r>
          </w:p>
        </w:tc>
      </w:tr>
      <w:tr>
        <w:tc>
          <w:tcPr/>
          <w:p>
            <w:pPr>
              <w:pStyle w:val="Compact"/>
              <w:jc w:val="left"/>
            </w:pPr>
            <w:r>
              <w:t xml:space="preserve">+</w:t>
            </w:r>
          </w:p>
        </w:tc>
        <w:tc>
          <w:tcPr/>
          <w:p>
            <w:pPr>
              <w:pStyle w:val="Compact"/>
              <w:jc w:val="left"/>
            </w:pPr>
            <w:r>
              <w:t xml:space="preserve">około 40% (13)</w:t>
            </w:r>
          </w:p>
        </w:tc>
      </w:tr>
    </w:tbl>
    <w:p>
      <w:pPr>
        <w:pStyle w:val="BodyText"/>
      </w:pPr>
      <w:r>
        <w:t xml:space="preserve">Łącznie: 43</w:t>
      </w:r>
      <w:r>
        <w:br/>
      </w:r>
      <w:r>
        <w:t xml:space="preserve">(Przekazywanie Ewangelii Jana przebiegało bardziej zachowawczo niż pozostałych Ewangelii.)</w:t>
      </w:r>
    </w:p>
    <w:p>
      <w:pPr>
        <w:pStyle w:val="BodyText"/>
      </w:pPr>
      <w:r>
        <w:rPr>
          <w:bCs/>
          <w:b/>
        </w:rPr>
        <w:t xml:space="preserve">Dzieje Apostolskie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 [20%]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 [25%]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 [25%]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 [20%]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 [20%]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 [25%]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 [20%]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 [20%]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 [18%]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 [20%]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 [25%]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 [18%]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 [30%]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 [22%]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 [18%]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 [25%]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 [30%]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 [20%]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 [18%]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 [20%]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εισηλθεις προς ανδρας ακροβυστιαν εχοντας και συνεφαγες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 [18%]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 [18%]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 (5.1%)+{19.5%} || 1 ιερουσαλημ (60%) || || || ||</w:t>
            </w:r>
            <w:r>
              <w:t xml:space="preserve"> </w:t>
            </w:r>
            <w:r>
              <w:rPr>
                <w:rStyle w:val="FootnoteReference"/>
              </w:rPr>
              <w:footnoteReference w:id="206"/>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 [20%]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 [20%]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 [20%]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 [20%]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 [18%]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 [20%]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 [20%]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 [20%]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 [20%]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 [18%]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 [20%]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 [20%]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 [20%]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 [25%]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 [25%]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 [20%]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 [30%]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 [20%]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 [20%]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 [25%]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 [25%]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 [18%]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 [18%]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 [20%]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 [25%]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 [25%]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 [20%]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 [20%]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 [20%]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 [20%]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και4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 [20%]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 [20%]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 [20%]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 (33.1%)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 [18%] + {4%} || --- [75%]</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 [18%] || πλειον [79%]</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 [30%]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 [18%]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 [25%]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 [30%]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 [18%]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 [20%]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 [21%]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 [21%]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 [22%]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 [20%]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 [20%]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 [25%]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t xml:space="preserve">Łącznie: 180</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pPr>
        <w:pStyle w:val="BodyText"/>
      </w:pPr>
      <w:r>
        <w:rPr>
          <w:bCs/>
          <w:b/>
        </w:rPr>
        <w:t xml:space="preserve">Korpus Pawłowy</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Rz 1:23</w:t>
            </w:r>
          </w:p>
        </w:tc>
        <w:tc>
          <w:tcPr/>
          <w:p>
            <w:pPr>
              <w:pStyle w:val="Compact"/>
              <w:jc w:val="left"/>
            </w:pPr>
            <w:r>
              <w:t xml:space="preserve">ηλλαξαντο [26%] || ηλλαξαν [74%]</w:t>
            </w:r>
          </w:p>
        </w:tc>
      </w:tr>
      <w:tr>
        <w:tc>
          <w:tcPr/>
          <w:p>
            <w:pPr>
              <w:pStyle w:val="Compact"/>
              <w:jc w:val="left"/>
            </w:pPr>
            <w:r>
              <w:t xml:space="preserve">++--</w:t>
            </w:r>
          </w:p>
        </w:tc>
        <w:tc>
          <w:tcPr/>
          <w:p>
            <w:pPr>
              <w:pStyle w:val="Compact"/>
              <w:jc w:val="left"/>
            </w:pPr>
            <w:r>
              <w:t xml:space="preserve">Rz 1:27</w:t>
            </w:r>
            <w:r>
              <w:rPr>
                <w:vertAlign w:val="superscript"/>
              </w:rPr>
              <w:t xml:space="preserve">a</w:t>
            </w:r>
          </w:p>
        </w:tc>
        <w:tc>
          <w:tcPr/>
          <w:p>
            <w:pPr>
              <w:pStyle w:val="Compact"/>
              <w:jc w:val="left"/>
            </w:pPr>
            <w:r>
              <w:t xml:space="preserve">ομοιως [23%] || 1 τε [70%] ||</w:t>
            </w:r>
          </w:p>
        </w:tc>
      </w:tr>
      <w:tr>
        <w:tc>
          <w:tcPr/>
          <w:p>
            <w:pPr>
              <w:pStyle w:val="Compact"/>
              <w:jc w:val="left"/>
            </w:pPr>
            <w:r>
              <w:t xml:space="preserve">+++</w:t>
            </w:r>
          </w:p>
        </w:tc>
        <w:tc>
          <w:tcPr/>
          <w:p>
            <w:pPr>
              <w:pStyle w:val="Compact"/>
              <w:jc w:val="left"/>
            </w:pPr>
            <w:r>
              <w:t xml:space="preserve">Rz 1:27</w:t>
            </w:r>
            <w:r>
              <w:rPr>
                <w:vertAlign w:val="superscript"/>
              </w:rPr>
              <w:t xml:space="preserve">b</w:t>
            </w:r>
          </w:p>
        </w:tc>
        <w:tc>
          <w:tcPr/>
          <w:p>
            <w:pPr>
              <w:pStyle w:val="Compact"/>
              <w:jc w:val="left"/>
            </w:pPr>
            <w:r>
              <w:t xml:space="preserve">εξεκαυθησαν [20%] || 1 εν [80%]</w:t>
            </w:r>
          </w:p>
        </w:tc>
      </w:tr>
      <w:tr>
        <w:tc>
          <w:tcPr/>
          <w:p>
            <w:pPr>
              <w:pStyle w:val="Compact"/>
              <w:jc w:val="left"/>
            </w:pPr>
            <w:r>
              <w:t xml:space="preserve">+++</w:t>
            </w:r>
          </w:p>
        </w:tc>
        <w:tc>
          <w:tcPr/>
          <w:p>
            <w:pPr>
              <w:pStyle w:val="Compact"/>
              <w:jc w:val="left"/>
            </w:pPr>
            <w:r>
              <w:t xml:space="preserve">Rz 4:16</w:t>
            </w:r>
          </w:p>
        </w:tc>
        <w:tc>
          <w:tcPr/>
          <w:p>
            <w:pPr>
              <w:pStyle w:val="Compact"/>
              <w:jc w:val="left"/>
            </w:pPr>
            <w:r>
              <w:t xml:space="preserve">εκ [20%] || 1 του [80%]</w:t>
            </w:r>
          </w:p>
        </w:tc>
      </w:tr>
      <w:tr>
        <w:tc>
          <w:tcPr/>
          <w:p>
            <w:pPr>
              <w:pStyle w:val="Compact"/>
              <w:jc w:val="left"/>
            </w:pPr>
            <w:r>
              <w:t xml:space="preserve">+</w:t>
            </w:r>
          </w:p>
        </w:tc>
        <w:tc>
          <w:tcPr/>
          <w:p>
            <w:pPr>
              <w:pStyle w:val="Compact"/>
              <w:jc w:val="left"/>
            </w:pPr>
            <w:r>
              <w:t xml:space="preserve">Rz 5:1</w:t>
            </w:r>
          </w:p>
        </w:tc>
        <w:tc>
          <w:tcPr/>
          <w:p>
            <w:pPr>
              <w:pStyle w:val="Compact"/>
              <w:jc w:val="left"/>
            </w:pPr>
            <w:r>
              <w:t xml:space="preserve">εχωμεν (43%) || εχομεν (57%)</w:t>
            </w:r>
          </w:p>
        </w:tc>
      </w:tr>
      <w:tr>
        <w:tc>
          <w:tcPr/>
          <w:p>
            <w:pPr>
              <w:pStyle w:val="Compact"/>
              <w:jc w:val="left"/>
            </w:pPr>
            <w:r>
              <w:t xml:space="preserve">+</w:t>
            </w:r>
          </w:p>
        </w:tc>
        <w:tc>
          <w:tcPr/>
          <w:p>
            <w:pPr>
              <w:pStyle w:val="Compact"/>
              <w:jc w:val="left"/>
            </w:pPr>
            <w:r>
              <w:t xml:space="preserve">Rz 5:11</w:t>
            </w:r>
          </w:p>
        </w:tc>
        <w:tc>
          <w:tcPr/>
          <w:p>
            <w:pPr>
              <w:pStyle w:val="Compact"/>
              <w:jc w:val="left"/>
            </w:pPr>
            <w:r>
              <w:t xml:space="preserve">καυχωμεθα [38%] || καυχωμενοι [52%] ||</w:t>
            </w:r>
          </w:p>
        </w:tc>
      </w:tr>
      <w:tr>
        <w:tc>
          <w:tcPr/>
          <w:p>
            <w:pPr>
              <w:pStyle w:val="Compact"/>
              <w:jc w:val="left"/>
            </w:pPr>
            <w:r>
              <w:t xml:space="preserve">++</w:t>
            </w:r>
          </w:p>
        </w:tc>
        <w:tc>
          <w:tcPr/>
          <w:p>
            <w:pPr>
              <w:pStyle w:val="Compact"/>
              <w:jc w:val="left"/>
            </w:pPr>
            <w:r>
              <w:t xml:space="preserve">Rz 5:14</w:t>
            </w:r>
          </w:p>
        </w:tc>
        <w:tc>
          <w:tcPr/>
          <w:p>
            <w:pPr>
              <w:pStyle w:val="Compact"/>
              <w:jc w:val="left"/>
            </w:pPr>
            <w:r>
              <w:t xml:space="preserve">μωυσεος [30%] || μωυσεως [50%] || μωσεως [20%]</w:t>
            </w:r>
          </w:p>
        </w:tc>
      </w:tr>
      <w:tr>
        <w:tc>
          <w:tcPr/>
          <w:p>
            <w:pPr>
              <w:pStyle w:val="Compact"/>
              <w:jc w:val="left"/>
            </w:pPr>
            <w:r>
              <w:t xml:space="preserve">++--</w:t>
            </w:r>
          </w:p>
        </w:tc>
        <w:tc>
          <w:tcPr/>
          <w:p>
            <w:pPr>
              <w:pStyle w:val="Compact"/>
              <w:jc w:val="left"/>
            </w:pPr>
            <w:r>
              <w:t xml:space="preserve">Rz 9:13</w:t>
            </w:r>
          </w:p>
        </w:tc>
        <w:tc>
          <w:tcPr/>
          <w:p>
            <w:pPr>
              <w:pStyle w:val="Compact"/>
              <w:jc w:val="left"/>
            </w:pPr>
            <w:r>
              <w:t xml:space="preserve">ἡσαυ [25%] || ἠσαυ [75%]</w:t>
            </w:r>
          </w:p>
        </w:tc>
      </w:tr>
      <w:tr>
        <w:tc>
          <w:tcPr/>
          <w:p>
            <w:pPr>
              <w:pStyle w:val="Compact"/>
              <w:jc w:val="left"/>
            </w:pPr>
            <w:r>
              <w:t xml:space="preserve">++</w:t>
            </w:r>
          </w:p>
        </w:tc>
        <w:tc>
          <w:tcPr/>
          <w:p>
            <w:pPr>
              <w:pStyle w:val="Compact"/>
              <w:jc w:val="left"/>
            </w:pPr>
            <w:r>
              <w:t xml:space="preserve">Rz 10:5</w:t>
            </w:r>
          </w:p>
        </w:tc>
        <w:tc>
          <w:tcPr/>
          <w:p>
            <w:pPr>
              <w:pStyle w:val="Compact"/>
              <w:jc w:val="left"/>
            </w:pPr>
            <w:r>
              <w:t xml:space="preserve">μωσης [30%] || μωυσης [70%]</w:t>
            </w:r>
          </w:p>
        </w:tc>
      </w:tr>
      <w:tr>
        <w:tc>
          <w:tcPr/>
          <w:p>
            <w:pPr>
              <w:pStyle w:val="Compact"/>
              <w:jc w:val="left"/>
            </w:pPr>
            <w:r>
              <w:t xml:space="preserve">+++</w:t>
            </w:r>
          </w:p>
        </w:tc>
        <w:tc>
          <w:tcPr/>
          <w:p>
            <w:pPr>
              <w:pStyle w:val="Compact"/>
              <w:jc w:val="left"/>
            </w:pPr>
            <w:r>
              <w:t xml:space="preserve">Rz 10:19</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Rz 11:7</w:t>
            </w:r>
          </w:p>
        </w:tc>
        <w:tc>
          <w:tcPr/>
          <w:p>
            <w:pPr>
              <w:pStyle w:val="Compact"/>
              <w:jc w:val="left"/>
            </w:pPr>
            <w:r>
              <w:t xml:space="preserve">τουτου [32%] || τουτο [68%]</w:t>
            </w:r>
          </w:p>
        </w:tc>
      </w:tr>
      <w:tr>
        <w:tc>
          <w:tcPr/>
          <w:p>
            <w:pPr>
              <w:pStyle w:val="Compact"/>
              <w:jc w:val="left"/>
            </w:pPr>
            <w:r>
              <w:t xml:space="preserve">++--</w:t>
            </w:r>
          </w:p>
        </w:tc>
        <w:tc>
          <w:tcPr/>
          <w:p>
            <w:pPr>
              <w:pStyle w:val="Compact"/>
              <w:jc w:val="left"/>
            </w:pPr>
            <w:r>
              <w:t xml:space="preserve">Rz 15:9</w:t>
            </w:r>
          </w:p>
        </w:tc>
        <w:tc>
          <w:tcPr/>
          <w:p>
            <w:pPr>
              <w:pStyle w:val="Compact"/>
              <w:jc w:val="left"/>
            </w:pPr>
            <w:r>
              <w:t xml:space="preserve">κυριε [27%] || --- [73%]</w:t>
            </w:r>
          </w:p>
        </w:tc>
      </w:tr>
      <w:tr>
        <w:tc>
          <w:tcPr/>
          <w:p>
            <w:pPr>
              <w:pStyle w:val="Compact"/>
              <w:jc w:val="left"/>
            </w:pPr>
            <w:r>
              <w:t xml:space="preserve">+++</w:t>
            </w:r>
          </w:p>
        </w:tc>
        <w:tc>
          <w:tcPr/>
          <w:p>
            <w:pPr>
              <w:pStyle w:val="Compact"/>
              <w:jc w:val="left"/>
            </w:pPr>
            <w:r>
              <w:t xml:space="preserve">Rz 16:6</w:t>
            </w:r>
          </w:p>
        </w:tc>
        <w:tc>
          <w:tcPr/>
          <w:p>
            <w:pPr>
              <w:pStyle w:val="Compact"/>
              <w:jc w:val="left"/>
            </w:pPr>
            <w:r>
              <w:t xml:space="preserve">υμας (22.8%) || ημας (76.4%)</w:t>
            </w:r>
          </w:p>
        </w:tc>
      </w:tr>
      <w:tr>
        <w:tc>
          <w:tcPr/>
          <w:p>
            <w:pPr>
              <w:pStyle w:val="Compact"/>
              <w:jc w:val="left"/>
            </w:pPr>
            <w:r>
              <w:t xml:space="preserve">++++</w:t>
            </w:r>
          </w:p>
        </w:tc>
        <w:tc>
          <w:tcPr/>
          <w:p>
            <w:pPr>
              <w:pStyle w:val="Compact"/>
              <w:jc w:val="left"/>
            </w:pPr>
            <w:r>
              <w:t xml:space="preserve">Rz 16:24</w:t>
            </w:r>
          </w:p>
        </w:tc>
        <w:tc>
          <w:tcPr/>
          <w:p>
            <w:pPr>
              <w:pStyle w:val="Compact"/>
              <w:jc w:val="left"/>
            </w:pPr>
            <w:r>
              <w:t xml:space="preserve">ημων [18%] || υμων [82%]</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1Kor 1:2</w:t>
            </w:r>
          </w:p>
        </w:tc>
        <w:tc>
          <w:tcPr/>
          <w:p>
            <w:pPr>
              <w:pStyle w:val="Compact"/>
              <w:jc w:val="left"/>
            </w:pPr>
            <w:r>
              <w:t xml:space="preserve">υμων [25%] || ημων [75%]</w:t>
            </w:r>
          </w:p>
        </w:tc>
      </w:tr>
      <w:tr>
        <w:tc>
          <w:tcPr/>
          <w:p>
            <w:pPr>
              <w:pStyle w:val="Compact"/>
              <w:jc w:val="left"/>
            </w:pPr>
            <w:r>
              <w:t xml:space="preserve">+</w:t>
            </w:r>
          </w:p>
        </w:tc>
        <w:tc>
          <w:tcPr/>
          <w:p>
            <w:pPr>
              <w:pStyle w:val="Compact"/>
              <w:jc w:val="left"/>
            </w:pPr>
            <w:r>
              <w:t xml:space="preserve">1Kor 4:11</w:t>
            </w:r>
          </w:p>
        </w:tc>
        <w:tc>
          <w:tcPr/>
          <w:p>
            <w:pPr>
              <w:pStyle w:val="Compact"/>
              <w:jc w:val="left"/>
            </w:pPr>
            <w:r>
              <w:t xml:space="preserve">γυμνιτευομεν [40%] || γυμνητευομεν [60%]</w:t>
            </w:r>
          </w:p>
        </w:tc>
      </w:tr>
      <w:tr>
        <w:tc>
          <w:tcPr/>
          <w:p>
            <w:pPr>
              <w:pStyle w:val="Compact"/>
              <w:jc w:val="left"/>
            </w:pPr>
            <w:r>
              <w:t xml:space="preserve">+++</w:t>
            </w:r>
          </w:p>
        </w:tc>
        <w:tc>
          <w:tcPr/>
          <w:p>
            <w:pPr>
              <w:pStyle w:val="Compact"/>
              <w:jc w:val="left"/>
            </w:pPr>
            <w:r>
              <w:t xml:space="preserve">1Kor 5:8</w:t>
            </w:r>
          </w:p>
        </w:tc>
        <w:tc>
          <w:tcPr/>
          <w:p>
            <w:pPr>
              <w:pStyle w:val="Compact"/>
              <w:jc w:val="left"/>
            </w:pPr>
            <w:r>
              <w:t xml:space="preserve">εἱλικρινειας [20%] || εἰλικρινειας [55%] ||</w:t>
            </w:r>
          </w:p>
        </w:tc>
      </w:tr>
      <w:tr>
        <w:tc>
          <w:tcPr/>
          <w:p>
            <w:pPr>
              <w:pStyle w:val="Compact"/>
              <w:jc w:val="left"/>
            </w:pPr>
            <w:r>
              <w:t xml:space="preserve">+--</w:t>
            </w:r>
          </w:p>
        </w:tc>
        <w:tc>
          <w:tcPr/>
          <w:p>
            <w:pPr>
              <w:pStyle w:val="Compact"/>
              <w:jc w:val="left"/>
            </w:pPr>
            <w:r>
              <w:t xml:space="preserve">1Kor 6:8</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1Kor 6:11</w:t>
            </w:r>
          </w:p>
        </w:tc>
        <w:tc>
          <w:tcPr/>
          <w:p>
            <w:pPr>
              <w:pStyle w:val="Compact"/>
              <w:jc w:val="left"/>
            </w:pPr>
            <w:r>
              <w:t xml:space="preserve">αλλ1 [35%] || αλλα [65%]</w:t>
            </w:r>
          </w:p>
        </w:tc>
      </w:tr>
      <w:tr>
        <w:tc>
          <w:tcPr/>
          <w:p>
            <w:pPr>
              <w:pStyle w:val="Compact"/>
              <w:jc w:val="left"/>
            </w:pPr>
            <w:r>
              <w:t xml:space="preserve">++</w:t>
            </w:r>
          </w:p>
        </w:tc>
        <w:tc>
          <w:tcPr/>
          <w:p>
            <w:pPr>
              <w:pStyle w:val="Compact"/>
              <w:jc w:val="left"/>
            </w:pPr>
            <w:r>
              <w:t xml:space="preserve">1Kor 9:9</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1Kor 9:10</w:t>
            </w:r>
          </w:p>
        </w:tc>
        <w:tc>
          <w:tcPr/>
          <w:p>
            <w:pPr>
              <w:pStyle w:val="Compact"/>
              <w:jc w:val="left"/>
            </w:pPr>
            <w:r>
              <w:t xml:space="preserve">ἁλοων [30%] || ἀλοων [70%]</w:t>
            </w:r>
          </w:p>
        </w:tc>
      </w:tr>
      <w:tr>
        <w:tc>
          <w:tcPr/>
          <w:p>
            <w:pPr>
              <w:pStyle w:val="Compact"/>
              <w:jc w:val="left"/>
            </w:pPr>
            <w:r>
              <w:t xml:space="preserve">+--</w:t>
            </w:r>
          </w:p>
        </w:tc>
        <w:tc>
          <w:tcPr/>
          <w:p>
            <w:pPr>
              <w:pStyle w:val="Compact"/>
              <w:jc w:val="left"/>
            </w:pPr>
            <w:r>
              <w:t xml:space="preserve">1Kor 9:26</w:t>
            </w:r>
          </w:p>
        </w:tc>
        <w:tc>
          <w:tcPr/>
          <w:p>
            <w:pPr>
              <w:pStyle w:val="Compact"/>
              <w:jc w:val="left"/>
            </w:pPr>
            <w:r>
              <w:t xml:space="preserve">δαιρων [35%] || δερων [65%]</w:t>
            </w:r>
          </w:p>
        </w:tc>
      </w:tr>
      <w:tr>
        <w:tc>
          <w:tcPr/>
          <w:p>
            <w:pPr>
              <w:pStyle w:val="Compact"/>
              <w:jc w:val="left"/>
            </w:pPr>
            <w:r>
              <w:t xml:space="preserve">++</w:t>
            </w:r>
          </w:p>
        </w:tc>
        <w:tc>
          <w:tcPr/>
          <w:p>
            <w:pPr>
              <w:pStyle w:val="Compact"/>
              <w:jc w:val="left"/>
            </w:pPr>
            <w:r>
              <w:t xml:space="preserve">1Kor 10:13</w:t>
            </w:r>
          </w:p>
        </w:tc>
        <w:tc>
          <w:tcPr/>
          <w:p>
            <w:pPr>
              <w:pStyle w:val="Compact"/>
              <w:jc w:val="left"/>
            </w:pPr>
            <w:r>
              <w:t xml:space="preserve">δυνατος [30%] || πιστος [70%]</w:t>
            </w:r>
          </w:p>
        </w:tc>
      </w:tr>
      <w:tr>
        <w:tc>
          <w:tcPr/>
          <w:p>
            <w:pPr>
              <w:pStyle w:val="Compact"/>
              <w:jc w:val="left"/>
            </w:pPr>
            <w:r>
              <w:t xml:space="preserve">++</w:t>
            </w:r>
          </w:p>
        </w:tc>
        <w:tc>
          <w:tcPr/>
          <w:p>
            <w:pPr>
              <w:pStyle w:val="Compact"/>
              <w:jc w:val="left"/>
            </w:pPr>
            <w:r>
              <w:t xml:space="preserve">1Kor 11:6</w:t>
            </w:r>
          </w:p>
        </w:tc>
        <w:tc>
          <w:tcPr/>
          <w:p>
            <w:pPr>
              <w:pStyle w:val="Compact"/>
              <w:jc w:val="left"/>
            </w:pPr>
            <w:r>
              <w:t xml:space="preserve">κειρεσθαι [32%] || κειρασθαι [64%]</w:t>
            </w:r>
          </w:p>
        </w:tc>
      </w:tr>
      <w:tr>
        <w:tc>
          <w:tcPr/>
          <w:p>
            <w:pPr>
              <w:pStyle w:val="Compact"/>
              <w:jc w:val="left"/>
            </w:pPr>
            <w:r>
              <w:t xml:space="preserve">+</w:t>
            </w:r>
          </w:p>
        </w:tc>
        <w:tc>
          <w:tcPr/>
          <w:p>
            <w:pPr>
              <w:pStyle w:val="Compact"/>
              <w:jc w:val="left"/>
            </w:pPr>
            <w:r>
              <w:t xml:space="preserve">1Kor 12:26</w:t>
            </w:r>
            <w:r>
              <w:rPr>
                <w:vertAlign w:val="superscript"/>
              </w:rPr>
              <w:t xml:space="preserve">a</w:t>
            </w:r>
          </w:p>
        </w:tc>
        <w:tc>
          <w:tcPr/>
          <w:p>
            <w:pPr>
              <w:pStyle w:val="Compact"/>
              <w:jc w:val="left"/>
            </w:pPr>
            <w:r>
              <w:t xml:space="preserve">συμπασχη [40%] || συμπασχει [60%]</w:t>
            </w:r>
          </w:p>
        </w:tc>
      </w:tr>
      <w:tr>
        <w:tc>
          <w:tcPr/>
          <w:p>
            <w:pPr>
              <w:pStyle w:val="Compact"/>
              <w:jc w:val="left"/>
            </w:pPr>
            <w:r>
              <w:t xml:space="preserve">+</w:t>
            </w:r>
          </w:p>
        </w:tc>
        <w:tc>
          <w:tcPr/>
          <w:p>
            <w:pPr>
              <w:pStyle w:val="Compact"/>
              <w:jc w:val="left"/>
            </w:pPr>
            <w:r>
              <w:t xml:space="preserve">1Kor 12:26</w:t>
            </w:r>
            <w:r>
              <w:rPr>
                <w:vertAlign w:val="superscript"/>
              </w:rPr>
              <w:t xml:space="preserve">b</w:t>
            </w:r>
          </w:p>
        </w:tc>
        <w:tc>
          <w:tcPr/>
          <w:p>
            <w:pPr>
              <w:pStyle w:val="Compact"/>
              <w:jc w:val="left"/>
            </w:pPr>
            <w:r>
              <w:t xml:space="preserve">συγχαιρη [40%] || συγχαιρει [60%]</w:t>
            </w:r>
          </w:p>
        </w:tc>
      </w:tr>
      <w:tr>
        <w:tc>
          <w:tcPr/>
          <w:p>
            <w:pPr>
              <w:pStyle w:val="Compact"/>
              <w:jc w:val="left"/>
            </w:pPr>
            <w:r>
              <w:t xml:space="preserve">++--</w:t>
            </w:r>
          </w:p>
        </w:tc>
        <w:tc>
          <w:tcPr/>
          <w:p>
            <w:pPr>
              <w:pStyle w:val="Compact"/>
              <w:jc w:val="left"/>
            </w:pPr>
            <w:r>
              <w:t xml:space="preserve">1Kor 14:25</w:t>
            </w:r>
          </w:p>
        </w:tc>
        <w:tc>
          <w:tcPr/>
          <w:p>
            <w:pPr>
              <w:pStyle w:val="Compact"/>
              <w:jc w:val="left"/>
            </w:pPr>
            <w:r>
              <w:t xml:space="preserve">οντως ο θεος εν υμιν εστιν [23%] || ~ 231456 [75%]</w:t>
            </w:r>
          </w:p>
        </w:tc>
      </w:tr>
      <w:tr>
        <w:tc>
          <w:tcPr/>
          <w:p>
            <w:pPr>
              <w:pStyle w:val="Compact"/>
              <w:jc w:val="left"/>
            </w:pPr>
            <w:r>
              <w:t xml:space="preserve">++</w:t>
            </w:r>
          </w:p>
        </w:tc>
        <w:tc>
          <w:tcPr/>
          <w:p>
            <w:pPr>
              <w:pStyle w:val="Compact"/>
              <w:jc w:val="left"/>
            </w:pPr>
            <w:r>
              <w:t xml:space="preserve">1Kor 16:2</w:t>
            </w:r>
          </w:p>
        </w:tc>
        <w:tc>
          <w:tcPr/>
          <w:p>
            <w:pPr>
              <w:pStyle w:val="Compact"/>
              <w:jc w:val="left"/>
            </w:pPr>
            <w:r>
              <w:t xml:space="preserve">ευοδουται [30%] || ευοδωται [61%] ||</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2Kor 1:12</w:t>
            </w:r>
          </w:p>
        </w:tc>
        <w:tc>
          <w:tcPr/>
          <w:p>
            <w:pPr>
              <w:pStyle w:val="Compact"/>
              <w:jc w:val="left"/>
            </w:pPr>
            <w:r>
              <w:t xml:space="preserve">εἱλικρινεια [25%] || εἰλικρινεια [60%] || || (również w 2:17)</w:t>
            </w:r>
          </w:p>
        </w:tc>
      </w:tr>
      <w:tr>
        <w:tc>
          <w:tcPr/>
          <w:p>
            <w:pPr>
              <w:pStyle w:val="Compact"/>
              <w:jc w:val="left"/>
            </w:pPr>
            <w:r>
              <w:t xml:space="preserve">+++</w:t>
            </w:r>
          </w:p>
        </w:tc>
        <w:tc>
          <w:tcPr/>
          <w:p>
            <w:pPr>
              <w:pStyle w:val="Compact"/>
              <w:jc w:val="left"/>
            </w:pPr>
            <w:r>
              <w:t xml:space="preserve">2Kor 1:15</w:t>
            </w:r>
          </w:p>
        </w:tc>
        <w:tc>
          <w:tcPr/>
          <w:p>
            <w:pPr>
              <w:pStyle w:val="Compact"/>
              <w:jc w:val="left"/>
            </w:pPr>
            <w:r>
              <w:t xml:space="preserve">προς υμας ελθειν το προτερον (21.6%) || ~ 31245 (61.1%) || ||</w:t>
            </w:r>
          </w:p>
        </w:tc>
      </w:tr>
      <w:tr>
        <w:tc>
          <w:tcPr/>
          <w:p>
            <w:pPr>
              <w:pStyle w:val="Compact"/>
              <w:jc w:val="left"/>
            </w:pPr>
            <w:r>
              <w:t xml:space="preserve">+--</w:t>
            </w:r>
          </w:p>
        </w:tc>
        <w:tc>
          <w:tcPr/>
          <w:p>
            <w:pPr>
              <w:pStyle w:val="Compact"/>
              <w:jc w:val="left"/>
            </w:pPr>
            <w:r>
              <w:t xml:space="preserve">2Kor 3:7</w:t>
            </w:r>
          </w:p>
        </w:tc>
        <w:tc>
          <w:tcPr/>
          <w:p>
            <w:pPr>
              <w:pStyle w:val="Compact"/>
              <w:jc w:val="left"/>
            </w:pPr>
            <w:r>
              <w:t xml:space="preserve">μωυσεος [35%] || μωυσεως [55%] ||</w:t>
            </w:r>
          </w:p>
        </w:tc>
      </w:tr>
      <w:tr>
        <w:tc>
          <w:tcPr/>
          <w:p>
            <w:pPr>
              <w:pStyle w:val="Compact"/>
              <w:jc w:val="left"/>
            </w:pPr>
            <w:r>
              <w:t xml:space="preserve">+</w:t>
            </w:r>
          </w:p>
        </w:tc>
        <w:tc>
          <w:tcPr/>
          <w:p>
            <w:pPr>
              <w:pStyle w:val="Compact"/>
              <w:jc w:val="left"/>
            </w:pPr>
            <w:r>
              <w:t xml:space="preserve">2Kor 3:10</w:t>
            </w:r>
          </w:p>
        </w:tc>
        <w:tc>
          <w:tcPr/>
          <w:p>
            <w:pPr>
              <w:pStyle w:val="Compact"/>
              <w:jc w:val="left"/>
            </w:pPr>
            <w:r>
              <w:t xml:space="preserve">εινεκεν [43%] || ενεκεν [57%]</w:t>
            </w:r>
          </w:p>
        </w:tc>
      </w:tr>
      <w:tr>
        <w:tc>
          <w:tcPr/>
          <w:p>
            <w:pPr>
              <w:pStyle w:val="Compact"/>
              <w:jc w:val="left"/>
            </w:pPr>
            <w:r>
              <w:t xml:space="preserve">+</w:t>
            </w:r>
          </w:p>
        </w:tc>
        <w:tc>
          <w:tcPr/>
          <w:p>
            <w:pPr>
              <w:pStyle w:val="Compact"/>
              <w:jc w:val="left"/>
            </w:pPr>
            <w:r>
              <w:t xml:space="preserve">2Kor 3:15</w:t>
            </w:r>
          </w:p>
        </w:tc>
        <w:tc>
          <w:tcPr/>
          <w:p>
            <w:pPr>
              <w:pStyle w:val="Compact"/>
              <w:jc w:val="left"/>
            </w:pPr>
            <w:r>
              <w:t xml:space="preserve">μωσης [40%] || μωυσης [60%]</w:t>
            </w:r>
          </w:p>
        </w:tc>
      </w:tr>
      <w:tr>
        <w:tc>
          <w:tcPr/>
          <w:p>
            <w:pPr>
              <w:pStyle w:val="Compact"/>
              <w:jc w:val="left"/>
            </w:pPr>
            <w:r>
              <w:t xml:space="preserve">+--</w:t>
            </w:r>
          </w:p>
        </w:tc>
        <w:tc>
          <w:tcPr/>
          <w:p>
            <w:pPr>
              <w:pStyle w:val="Compact"/>
              <w:jc w:val="left"/>
            </w:pPr>
            <w:r>
              <w:t xml:space="preserve">2Kor 5:15</w:t>
            </w:r>
          </w:p>
        </w:tc>
        <w:tc>
          <w:tcPr/>
          <w:p>
            <w:pPr>
              <w:pStyle w:val="Compact"/>
              <w:jc w:val="left"/>
            </w:pPr>
            <w:r>
              <w:t xml:space="preserve">παντων [35%] || αυτων [55%] ||</w:t>
            </w:r>
          </w:p>
        </w:tc>
      </w:tr>
      <w:tr>
        <w:tc>
          <w:tcPr/>
          <w:p>
            <w:pPr>
              <w:pStyle w:val="Compact"/>
              <w:jc w:val="left"/>
            </w:pPr>
            <w:r>
              <w:t xml:space="preserve">++--</w:t>
            </w:r>
          </w:p>
        </w:tc>
        <w:tc>
          <w:tcPr/>
          <w:p>
            <w:pPr>
              <w:pStyle w:val="Compact"/>
              <w:jc w:val="left"/>
            </w:pPr>
            <w:r>
              <w:t xml:space="preserve">2Kor 7:11</w:t>
            </w:r>
          </w:p>
        </w:tc>
        <w:tc>
          <w:tcPr/>
          <w:p>
            <w:pPr>
              <w:pStyle w:val="Compact"/>
              <w:jc w:val="left"/>
            </w:pPr>
            <w:r>
              <w:t xml:space="preserve">αλλ1 [27%] || αλλα [73%]</w:t>
            </w:r>
          </w:p>
        </w:tc>
      </w:tr>
      <w:tr>
        <w:tc>
          <w:tcPr/>
          <w:p>
            <w:pPr>
              <w:pStyle w:val="Compact"/>
              <w:jc w:val="left"/>
            </w:pPr>
            <w:r>
              <w:t xml:space="preserve">++</w:t>
            </w:r>
          </w:p>
        </w:tc>
        <w:tc>
          <w:tcPr/>
          <w:p>
            <w:pPr>
              <w:pStyle w:val="Compact"/>
              <w:jc w:val="left"/>
            </w:pPr>
            <w:r>
              <w:t xml:space="preserve">2Kor 8:4</w:t>
            </w:r>
          </w:p>
        </w:tc>
        <w:tc>
          <w:tcPr/>
          <w:p>
            <w:pPr>
              <w:pStyle w:val="Compact"/>
              <w:jc w:val="left"/>
            </w:pPr>
            <w:r>
              <w:t xml:space="preserve">δεξασθαι ημας [30%] || --- [70%]</w:t>
            </w:r>
          </w:p>
        </w:tc>
      </w:tr>
      <w:tr>
        <w:tc>
          <w:tcPr/>
          <w:p>
            <w:pPr>
              <w:pStyle w:val="Compact"/>
              <w:jc w:val="left"/>
            </w:pPr>
            <w:r>
              <w:t xml:space="preserve">+</w:t>
            </w:r>
          </w:p>
        </w:tc>
        <w:tc>
          <w:tcPr/>
          <w:p>
            <w:pPr>
              <w:pStyle w:val="Compact"/>
              <w:jc w:val="left"/>
            </w:pPr>
            <w:r>
              <w:t xml:space="preserve">2Kor 8:9</w:t>
            </w:r>
          </w:p>
        </w:tc>
        <w:tc>
          <w:tcPr/>
          <w:p>
            <w:pPr>
              <w:pStyle w:val="Compact"/>
              <w:jc w:val="left"/>
            </w:pPr>
            <w:r>
              <w:t xml:space="preserve">ημας [40%] || υμας [60%]</w:t>
            </w:r>
          </w:p>
        </w:tc>
      </w:tr>
      <w:tr>
        <w:tc>
          <w:tcPr/>
          <w:p>
            <w:pPr>
              <w:pStyle w:val="Compact"/>
              <w:jc w:val="left"/>
            </w:pPr>
            <w:r>
              <w:t xml:space="preserve">++</w:t>
            </w:r>
          </w:p>
        </w:tc>
        <w:tc>
          <w:tcPr/>
          <w:p>
            <w:pPr>
              <w:pStyle w:val="Compact"/>
              <w:jc w:val="left"/>
            </w:pPr>
            <w:r>
              <w:t xml:space="preserve">2Kor 8:12</w:t>
            </w:r>
          </w:p>
        </w:tc>
        <w:tc>
          <w:tcPr/>
          <w:p>
            <w:pPr>
              <w:pStyle w:val="Compact"/>
              <w:jc w:val="left"/>
            </w:pPr>
            <w:r>
              <w:t xml:space="preserve">καθὸ εαν [30%] || καθ ὃ εαν [58%] ||</w:t>
            </w:r>
          </w:p>
        </w:tc>
      </w:tr>
      <w:tr>
        <w:tc>
          <w:tcPr/>
          <w:p>
            <w:pPr>
              <w:pStyle w:val="Compact"/>
              <w:jc w:val="left"/>
            </w:pPr>
            <w:r>
              <w:t xml:space="preserve">+++</w:t>
            </w:r>
          </w:p>
        </w:tc>
        <w:tc>
          <w:tcPr/>
          <w:p>
            <w:pPr>
              <w:pStyle w:val="Compact"/>
              <w:jc w:val="left"/>
            </w:pPr>
            <w:r>
              <w:t xml:space="preserve">2Kor 11:7</w:t>
            </w:r>
          </w:p>
        </w:tc>
        <w:tc>
          <w:tcPr/>
          <w:p>
            <w:pPr>
              <w:pStyle w:val="Compact"/>
              <w:jc w:val="left"/>
            </w:pPr>
            <w:r>
              <w:t xml:space="preserve">εαυτον [22%] || εμαυτον [78%]</w:t>
            </w:r>
          </w:p>
        </w:tc>
      </w:tr>
      <w:tr>
        <w:tc>
          <w:tcPr/>
          <w:p>
            <w:pPr>
              <w:pStyle w:val="Compact"/>
              <w:jc w:val="left"/>
            </w:pPr>
            <w:r>
              <w:t xml:space="preserve">+</w:t>
            </w:r>
          </w:p>
        </w:tc>
        <w:tc>
          <w:tcPr/>
          <w:p>
            <w:pPr>
              <w:pStyle w:val="Compact"/>
              <w:jc w:val="left"/>
            </w:pPr>
            <w:r>
              <w:t xml:space="preserve">2Kor 11:20</w:t>
            </w:r>
          </w:p>
        </w:tc>
        <w:tc>
          <w:tcPr/>
          <w:p>
            <w:pPr>
              <w:pStyle w:val="Compact"/>
              <w:jc w:val="left"/>
            </w:pPr>
            <w:r>
              <w:t xml:space="preserve">δαιρει [40%] || δερει [60%]</w:t>
            </w:r>
          </w:p>
        </w:tc>
      </w:tr>
      <w:tr>
        <w:tc>
          <w:tcPr/>
          <w:p>
            <w:pPr>
              <w:pStyle w:val="Compact"/>
              <w:jc w:val="left"/>
            </w:pPr>
            <w:r>
              <w:t xml:space="preserve">++</w:t>
            </w:r>
          </w:p>
        </w:tc>
        <w:tc>
          <w:tcPr/>
          <w:p>
            <w:pPr>
              <w:pStyle w:val="Compact"/>
              <w:jc w:val="left"/>
            </w:pPr>
            <w:r>
              <w:t xml:space="preserve">2Kor 13:11</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2Kor 13:13</w:t>
            </w:r>
          </w:p>
        </w:tc>
        <w:tc>
          <w:tcPr/>
          <w:p>
            <w:pPr>
              <w:pStyle w:val="Compact"/>
              <w:jc w:val="left"/>
            </w:pPr>
            <w:r>
              <w:t xml:space="preserve">ημων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Ga 1:12</w:t>
            </w:r>
          </w:p>
        </w:tc>
        <w:tc>
          <w:tcPr/>
          <w:p>
            <w:pPr>
              <w:pStyle w:val="Compact"/>
              <w:jc w:val="left"/>
            </w:pPr>
            <w:r>
              <w:t xml:space="preserve">αποκαλυψεως [30%] || 1 ιησου [70%]</w:t>
            </w:r>
          </w:p>
        </w:tc>
      </w:tr>
      <w:tr>
        <w:tc>
          <w:tcPr/>
          <w:p>
            <w:pPr>
              <w:pStyle w:val="Compact"/>
              <w:jc w:val="left"/>
            </w:pPr>
            <w:r>
              <w:t xml:space="preserve">+</w:t>
            </w:r>
          </w:p>
        </w:tc>
        <w:tc>
          <w:tcPr/>
          <w:p>
            <w:pPr>
              <w:pStyle w:val="Compact"/>
              <w:jc w:val="left"/>
            </w:pPr>
            <w:r>
              <w:t xml:space="preserve">Ga 3:6,itd.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Ga 3:16</w:t>
            </w:r>
          </w:p>
        </w:tc>
        <w:tc>
          <w:tcPr/>
          <w:p>
            <w:pPr>
              <w:pStyle w:val="Compact"/>
              <w:jc w:val="left"/>
            </w:pPr>
            <w:r>
              <w:t xml:space="preserve">ερρεθησαν [40%] || ερρηθησαν [55%] ||</w:t>
            </w:r>
          </w:p>
        </w:tc>
      </w:tr>
      <w:tr>
        <w:tc>
          <w:tcPr/>
          <w:p>
            <w:pPr>
              <w:pStyle w:val="Compact"/>
              <w:jc w:val="left"/>
            </w:pPr>
            <w:r>
              <w:t xml:space="preserve">+</w:t>
            </w:r>
          </w:p>
        </w:tc>
        <w:tc>
          <w:tcPr/>
          <w:p>
            <w:pPr>
              <w:pStyle w:val="Compact"/>
              <w:jc w:val="left"/>
            </w:pPr>
            <w:r>
              <w:t xml:space="preserve">Ga 4:2</w:t>
            </w:r>
          </w:p>
        </w:tc>
        <w:tc>
          <w:tcPr/>
          <w:p>
            <w:pPr>
              <w:pStyle w:val="Compact"/>
              <w:jc w:val="left"/>
            </w:pPr>
            <w:r>
              <w:t xml:space="preserve">αλλ [40%] || αλλα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Ef 1:12</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Ef 2:17</w:t>
            </w:r>
          </w:p>
        </w:tc>
        <w:tc>
          <w:tcPr/>
          <w:p>
            <w:pPr>
              <w:pStyle w:val="Compact"/>
              <w:jc w:val="left"/>
            </w:pPr>
            <w:r>
              <w:t xml:space="preserve">ημιν [40%] || υμιν [60%]</w:t>
            </w:r>
          </w:p>
        </w:tc>
      </w:tr>
      <w:tr>
        <w:tc>
          <w:tcPr/>
          <w:p>
            <w:pPr>
              <w:pStyle w:val="Compact"/>
              <w:jc w:val="left"/>
            </w:pPr>
            <w:r>
              <w:t xml:space="preserve">+--</w:t>
            </w:r>
          </w:p>
        </w:tc>
        <w:tc>
          <w:tcPr/>
          <w:p>
            <w:pPr>
              <w:pStyle w:val="Compact"/>
              <w:jc w:val="left"/>
            </w:pPr>
            <w:r>
              <w:t xml:space="preserve">Ef 4:32</w:t>
            </w:r>
          </w:p>
        </w:tc>
        <w:tc>
          <w:tcPr/>
          <w:p>
            <w:pPr>
              <w:pStyle w:val="Compact"/>
              <w:jc w:val="left"/>
            </w:pPr>
            <w:r>
              <w:t xml:space="preserve">υμιν [35%] || ημιν [65%]</w:t>
            </w:r>
          </w:p>
        </w:tc>
      </w:tr>
      <w:tr>
        <w:tc>
          <w:tcPr/>
          <w:p>
            <w:pPr>
              <w:pStyle w:val="Compact"/>
              <w:jc w:val="left"/>
            </w:pPr>
            <w:r>
              <w:t xml:space="preserve">++</w:t>
            </w:r>
          </w:p>
        </w:tc>
        <w:tc>
          <w:tcPr/>
          <w:p>
            <w:pPr>
              <w:pStyle w:val="Compact"/>
              <w:jc w:val="left"/>
            </w:pPr>
            <w:r>
              <w:t xml:space="preserve">Ef 5:5</w:t>
            </w:r>
          </w:p>
        </w:tc>
        <w:tc>
          <w:tcPr/>
          <w:p>
            <w:pPr>
              <w:pStyle w:val="Compact"/>
              <w:jc w:val="left"/>
            </w:pPr>
            <w:r>
              <w:t xml:space="preserve">ιστε [30%] || εστε [70%]</w:t>
            </w:r>
          </w:p>
        </w:tc>
      </w:tr>
      <w:tr>
        <w:tc>
          <w:tcPr/>
          <w:p>
            <w:pPr>
              <w:pStyle w:val="Compact"/>
              <w:jc w:val="left"/>
            </w:pPr>
            <w:r>
              <w:t xml:space="preserve">+</w:t>
            </w:r>
          </w:p>
        </w:tc>
        <w:tc>
          <w:tcPr/>
          <w:p>
            <w:pPr>
              <w:pStyle w:val="Compact"/>
              <w:jc w:val="left"/>
            </w:pPr>
            <w:r>
              <w:t xml:space="preserve">Ef 6:6</w:t>
            </w:r>
          </w:p>
        </w:tc>
        <w:tc>
          <w:tcPr/>
          <w:p>
            <w:pPr>
              <w:pStyle w:val="Compact"/>
              <w:jc w:val="left"/>
            </w:pPr>
            <w:r>
              <w:t xml:space="preserve">οφθαλμοδουλιαν [40%] || οφθαλμοδουλειαν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Flp 1:10</w:t>
            </w:r>
          </w:p>
        </w:tc>
        <w:tc>
          <w:tcPr/>
          <w:p>
            <w:pPr>
              <w:pStyle w:val="Compact"/>
              <w:jc w:val="left"/>
            </w:pPr>
            <w:r>
              <w:t xml:space="preserve">εἱλικρινεις [30%] || εἰλικρινεις [70%]</w:t>
            </w:r>
          </w:p>
        </w:tc>
      </w:tr>
      <w:tr>
        <w:tc>
          <w:tcPr/>
          <w:p>
            <w:pPr>
              <w:pStyle w:val="Compact"/>
              <w:jc w:val="left"/>
            </w:pPr>
            <w:r>
              <w:t xml:space="preserve">++--</w:t>
            </w:r>
          </w:p>
        </w:tc>
        <w:tc>
          <w:tcPr/>
          <w:p>
            <w:pPr>
              <w:pStyle w:val="Compact"/>
              <w:jc w:val="left"/>
            </w:pPr>
            <w:r>
              <w:t xml:space="preserve">Flp 1:20</w:t>
            </w:r>
          </w:p>
        </w:tc>
        <w:tc>
          <w:tcPr/>
          <w:p>
            <w:pPr>
              <w:pStyle w:val="Compact"/>
              <w:jc w:val="left"/>
            </w:pPr>
            <w:r>
              <w:t xml:space="preserve">καραδοκιαν [25%] || αποκαραδοκιαν [74%]</w:t>
            </w:r>
          </w:p>
        </w:tc>
      </w:tr>
      <w:tr>
        <w:tc>
          <w:tcPr/>
          <w:p>
            <w:pPr>
              <w:pStyle w:val="Compact"/>
              <w:jc w:val="left"/>
            </w:pPr>
            <w:r>
              <w:t xml:space="preserve">+--</w:t>
            </w:r>
          </w:p>
        </w:tc>
        <w:tc>
          <w:tcPr/>
          <w:p>
            <w:pPr>
              <w:pStyle w:val="Compact"/>
              <w:jc w:val="left"/>
            </w:pPr>
            <w:r>
              <w:t xml:space="preserve">Flp 2:1</w:t>
            </w:r>
          </w:p>
        </w:tc>
        <w:tc>
          <w:tcPr/>
          <w:p>
            <w:pPr>
              <w:pStyle w:val="Compact"/>
              <w:jc w:val="left"/>
            </w:pPr>
            <w:r>
              <w:t xml:space="preserve">τι2 [35%] || τις [60%] ||</w:t>
            </w:r>
          </w:p>
        </w:tc>
      </w:tr>
      <w:tr>
        <w:tc>
          <w:tcPr/>
          <w:p>
            <w:pPr>
              <w:pStyle w:val="Compact"/>
              <w:jc w:val="left"/>
            </w:pPr>
            <w:r>
              <w:t xml:space="preserve">+</w:t>
            </w:r>
          </w:p>
        </w:tc>
        <w:tc>
          <w:tcPr/>
          <w:p>
            <w:pPr>
              <w:pStyle w:val="Compact"/>
              <w:jc w:val="left"/>
            </w:pPr>
            <w:r>
              <w:t xml:space="preserve">Flp 2:4</w:t>
            </w:r>
          </w:p>
        </w:tc>
        <w:tc>
          <w:tcPr/>
          <w:p>
            <w:pPr>
              <w:pStyle w:val="Compact"/>
              <w:jc w:val="left"/>
            </w:pPr>
            <w:r>
              <w:t xml:space="preserve">το [40%] || τα [45%] || των [15%]</w:t>
            </w:r>
          </w:p>
        </w:tc>
      </w:tr>
      <w:tr>
        <w:tc>
          <w:tcPr/>
          <w:p>
            <w:pPr>
              <w:pStyle w:val="Compact"/>
              <w:jc w:val="left"/>
            </w:pPr>
            <w:r>
              <w:t xml:space="preserve">+</w:t>
            </w:r>
          </w:p>
        </w:tc>
        <w:tc>
          <w:tcPr/>
          <w:p>
            <w:pPr>
              <w:pStyle w:val="Compact"/>
              <w:jc w:val="left"/>
            </w:pPr>
            <w:r>
              <w:t xml:space="preserve">Flp 2:30</w:t>
            </w:r>
          </w:p>
        </w:tc>
        <w:tc>
          <w:tcPr/>
          <w:p>
            <w:pPr>
              <w:pStyle w:val="Compact"/>
              <w:jc w:val="left"/>
            </w:pPr>
            <w:r>
              <w:t xml:space="preserve">πληρωση [40%] || αναπληρωση [55%] ||</w:t>
            </w:r>
          </w:p>
        </w:tc>
      </w:tr>
      <w:tr>
        <w:tc>
          <w:tcPr/>
          <w:p>
            <w:pPr>
              <w:pStyle w:val="Compact"/>
              <w:jc w:val="left"/>
            </w:pPr>
            <w:r>
              <w:t xml:space="preserve">+</w:t>
            </w:r>
          </w:p>
        </w:tc>
        <w:tc>
          <w:tcPr/>
          <w:p>
            <w:pPr>
              <w:pStyle w:val="Compact"/>
              <w:jc w:val="left"/>
            </w:pPr>
            <w:r>
              <w:t xml:space="preserve">Flp 3:1</w:t>
            </w:r>
          </w:p>
        </w:tc>
        <w:tc>
          <w:tcPr/>
          <w:p>
            <w:pPr>
              <w:pStyle w:val="Compact"/>
              <w:jc w:val="left"/>
            </w:pPr>
            <w:r>
              <w:t xml:space="preserve">το [40%] || --- [60%]</w:t>
            </w:r>
          </w:p>
        </w:tc>
      </w:tr>
      <w:tr>
        <w:tc>
          <w:tcPr/>
          <w:p>
            <w:pPr>
              <w:pStyle w:val="Compact"/>
              <w:jc w:val="left"/>
            </w:pPr>
            <w:r>
              <w:t xml:space="preserve">+</w:t>
            </w:r>
          </w:p>
        </w:tc>
        <w:tc>
          <w:tcPr/>
          <w:p>
            <w:pPr>
              <w:pStyle w:val="Compact"/>
              <w:jc w:val="left"/>
            </w:pPr>
            <w:r>
              <w:t xml:space="preserve">Flp 3:13</w:t>
            </w:r>
          </w:p>
        </w:tc>
        <w:tc>
          <w:tcPr/>
          <w:p>
            <w:pPr>
              <w:pStyle w:val="Compact"/>
              <w:jc w:val="left"/>
            </w:pPr>
            <w:r>
              <w:t xml:space="preserve">ουπω [40%] || ου [60%]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Kol 1:22</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Kol 1:27</w:t>
            </w:r>
          </w:p>
        </w:tc>
        <w:tc>
          <w:tcPr/>
          <w:p>
            <w:pPr>
              <w:pStyle w:val="Compact"/>
              <w:jc w:val="left"/>
            </w:pPr>
            <w:r>
              <w:t xml:space="preserve">τις ο [40%] || τι το [60%]</w:t>
            </w:r>
          </w:p>
        </w:tc>
      </w:tr>
      <w:tr>
        <w:tc>
          <w:tcPr/>
          <w:p>
            <w:pPr>
              <w:pStyle w:val="Compact"/>
              <w:jc w:val="left"/>
            </w:pPr>
            <w:r>
              <w:t xml:space="preserve">+</w:t>
            </w:r>
          </w:p>
        </w:tc>
        <w:tc>
          <w:tcPr/>
          <w:p>
            <w:pPr>
              <w:pStyle w:val="Compact"/>
              <w:jc w:val="left"/>
            </w:pPr>
            <w:r>
              <w:t xml:space="preserve">Kol 1:28</w:t>
            </w:r>
          </w:p>
        </w:tc>
        <w:tc>
          <w:tcPr/>
          <w:p>
            <w:pPr>
              <w:pStyle w:val="Compact"/>
              <w:jc w:val="left"/>
            </w:pPr>
            <w:r>
              <w:t xml:space="preserve">χριστω [40%] || 1 ιησου [60%]</w:t>
            </w:r>
          </w:p>
        </w:tc>
      </w:tr>
      <w:tr>
        <w:tc>
          <w:tcPr/>
          <w:p>
            <w:pPr>
              <w:pStyle w:val="Compact"/>
              <w:jc w:val="left"/>
            </w:pPr>
            <w:r>
              <w:t xml:space="preserve">+</w:t>
            </w:r>
          </w:p>
        </w:tc>
        <w:tc>
          <w:tcPr/>
          <w:p>
            <w:pPr>
              <w:pStyle w:val="Compact"/>
              <w:jc w:val="left"/>
            </w:pPr>
            <w:r>
              <w:t xml:space="preserve">Kol 3:22</w:t>
            </w:r>
          </w:p>
        </w:tc>
        <w:tc>
          <w:tcPr/>
          <w:p>
            <w:pPr>
              <w:pStyle w:val="Compact"/>
              <w:jc w:val="left"/>
            </w:pPr>
            <w:r>
              <w:t xml:space="preserve">οφθαλμοδουλιαις [40%] || οφθαλμοδουλειαις [43%]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1Tes 1:7</w:t>
            </w:r>
          </w:p>
        </w:tc>
        <w:tc>
          <w:tcPr/>
          <w:p>
            <w:pPr>
              <w:pStyle w:val="Compact"/>
              <w:jc w:val="left"/>
            </w:pPr>
            <w:r>
              <w:t xml:space="preserve">και [40%] || 1 τη [30%] || 1 εν τη [30%]</w:t>
            </w:r>
          </w:p>
        </w:tc>
      </w:tr>
      <w:tr>
        <w:tc>
          <w:tcPr/>
          <w:p>
            <w:pPr>
              <w:pStyle w:val="Compact"/>
              <w:jc w:val="left"/>
            </w:pPr>
            <w:r>
              <w:t xml:space="preserve">+</w:t>
            </w:r>
          </w:p>
        </w:tc>
        <w:tc>
          <w:tcPr/>
          <w:p>
            <w:pPr>
              <w:pStyle w:val="Compact"/>
              <w:jc w:val="left"/>
            </w:pPr>
            <w:r>
              <w:t xml:space="preserve">1Tes 1:9</w:t>
            </w:r>
          </w:p>
        </w:tc>
        <w:tc>
          <w:tcPr/>
          <w:p>
            <w:pPr>
              <w:pStyle w:val="Compact"/>
              <w:jc w:val="left"/>
            </w:pPr>
            <w:r>
              <w:t xml:space="preserve">υμων [40%] || ημων [60%]</w:t>
            </w:r>
          </w:p>
        </w:tc>
      </w:tr>
      <w:tr>
        <w:tc>
          <w:tcPr/>
          <w:p>
            <w:pPr>
              <w:pStyle w:val="Compact"/>
              <w:jc w:val="left"/>
            </w:pPr>
            <w:r>
              <w:t xml:space="preserve">+</w:t>
            </w:r>
          </w:p>
        </w:tc>
        <w:tc>
          <w:tcPr/>
          <w:p>
            <w:pPr>
              <w:pStyle w:val="Compact"/>
              <w:jc w:val="left"/>
            </w:pPr>
            <w:r>
              <w:t xml:space="preserve">1Tes 3:8</w:t>
            </w:r>
          </w:p>
        </w:tc>
        <w:tc>
          <w:tcPr/>
          <w:p>
            <w:pPr>
              <w:pStyle w:val="Compact"/>
              <w:jc w:val="left"/>
            </w:pPr>
            <w:r>
              <w:t xml:space="preserve">στηκητε [40%] || στηκετε [60%]</w:t>
            </w:r>
          </w:p>
        </w:tc>
      </w:tr>
      <w:tr>
        <w:tc>
          <w:tcPr/>
          <w:p>
            <w:pPr>
              <w:pStyle w:val="Compact"/>
              <w:jc w:val="left"/>
            </w:pPr>
            <w:r>
              <w:t xml:space="preserve">++</w:t>
            </w:r>
          </w:p>
        </w:tc>
        <w:tc>
          <w:tcPr/>
          <w:p>
            <w:pPr>
              <w:pStyle w:val="Compact"/>
              <w:jc w:val="left"/>
            </w:pPr>
            <w:r>
              <w:t xml:space="preserve">1Tes 4:9</w:t>
            </w:r>
          </w:p>
        </w:tc>
        <w:tc>
          <w:tcPr/>
          <w:p>
            <w:pPr>
              <w:pStyle w:val="Compact"/>
              <w:jc w:val="left"/>
            </w:pPr>
            <w:r>
              <w:t xml:space="preserve">γαρ [30%] || 1 υμεις [70%]</w:t>
            </w:r>
          </w:p>
        </w:tc>
      </w:tr>
    </w:tbl>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1Tm 3:2</w:t>
            </w:r>
          </w:p>
        </w:tc>
        <w:tc>
          <w:tcPr/>
          <w:p>
            <w:pPr>
              <w:pStyle w:val="Compact"/>
              <w:jc w:val="left"/>
            </w:pPr>
            <w:r>
              <w:t xml:space="preserve">νηφαλιον [40%] || νηφαλεον [50%] ||</w:t>
            </w:r>
          </w:p>
        </w:tc>
      </w:tr>
      <w:tr>
        <w:tc>
          <w:tcPr/>
          <w:p>
            <w:pPr>
              <w:pStyle w:val="Compact"/>
              <w:jc w:val="left"/>
            </w:pPr>
            <w:r>
              <w:t xml:space="preserve">+</w:t>
            </w:r>
          </w:p>
        </w:tc>
        <w:tc>
          <w:tcPr/>
          <w:p>
            <w:pPr>
              <w:pStyle w:val="Compact"/>
              <w:jc w:val="left"/>
            </w:pPr>
            <w:r>
              <w:t xml:space="preserve">1Tm 3:11</w:t>
            </w:r>
          </w:p>
        </w:tc>
        <w:tc>
          <w:tcPr/>
          <w:p>
            <w:pPr>
              <w:pStyle w:val="Compact"/>
              <w:jc w:val="left"/>
            </w:pPr>
            <w:r>
              <w:t xml:space="preserve">νηφαλιους [40%] || νηφαλεους [50%] ||</w:t>
            </w:r>
          </w:p>
        </w:tc>
      </w:tr>
      <w:tr>
        <w:tc>
          <w:tcPr/>
          <w:p>
            <w:pPr>
              <w:pStyle w:val="Compact"/>
              <w:jc w:val="left"/>
            </w:pPr>
            <w:r>
              <w:t xml:space="preserve">++</w:t>
            </w:r>
          </w:p>
        </w:tc>
        <w:tc>
          <w:tcPr/>
          <w:p>
            <w:pPr>
              <w:pStyle w:val="Compact"/>
              <w:jc w:val="left"/>
            </w:pPr>
            <w:r>
              <w:t xml:space="preserve">1Tm 5:18</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1Tm 5:21</w:t>
            </w:r>
          </w:p>
        </w:tc>
        <w:tc>
          <w:tcPr/>
          <w:p>
            <w:pPr>
              <w:pStyle w:val="Compact"/>
              <w:jc w:val="left"/>
            </w:pPr>
            <w:r>
              <w:t xml:space="preserve">προσκλισιν [25%] || προσκλησιν</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1Tm 6:12</w:t>
            </w:r>
          </w:p>
        </w:tc>
        <w:tc>
          <w:tcPr/>
          <w:p>
            <w:pPr>
              <w:pStyle w:val="Compact"/>
              <w:jc w:val="left"/>
            </w:pPr>
            <w:r>
              <w:t xml:space="preserve">και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2Tm 3:6</w:t>
            </w:r>
          </w:p>
        </w:tc>
        <w:tc>
          <w:tcPr/>
          <w:p>
            <w:pPr>
              <w:pStyle w:val="Compact"/>
              <w:jc w:val="left"/>
            </w:pPr>
            <w:r>
              <w:t xml:space="preserve">ενδυοντες [20%] || ενδυνοντες [77%]</w:t>
            </w:r>
          </w:p>
        </w:tc>
      </w:tr>
      <w:tr>
        <w:tc>
          <w:tcPr/>
          <w:p>
            <w:pPr>
              <w:pStyle w:val="Compact"/>
              <w:jc w:val="left"/>
            </w:pPr>
            <w:r>
              <w:t xml:space="preserve">+++</w:t>
            </w:r>
          </w:p>
        </w:tc>
        <w:tc>
          <w:tcPr/>
          <w:p>
            <w:pPr>
              <w:pStyle w:val="Compact"/>
              <w:jc w:val="left"/>
            </w:pPr>
            <w:r>
              <w:t xml:space="preserve">2Tm 3:14</w:t>
            </w:r>
          </w:p>
        </w:tc>
        <w:tc>
          <w:tcPr/>
          <w:p>
            <w:pPr>
              <w:pStyle w:val="Compact"/>
              <w:jc w:val="left"/>
            </w:pPr>
            <w:r>
              <w:t xml:space="preserve">οις</w:t>
            </w:r>
            <w:r>
              <w:rPr>
                <w:vertAlign w:val="superscript"/>
              </w:rPr>
              <w:t xml:space="preserve">2</w:t>
            </w:r>
            <w:r>
              <w:t xml:space="preserve"> </w:t>
            </w:r>
            <w:r>
              <w:t xml:space="preserve">[20%] || --- [80%]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Tt 2:1</w:t>
            </w:r>
          </w:p>
        </w:tc>
        <w:tc>
          <w:tcPr/>
          <w:p>
            <w:pPr>
              <w:pStyle w:val="Compact"/>
              <w:jc w:val="left"/>
            </w:pPr>
            <w:r>
              <w:t xml:space="preserve">νηφαλιους [40%] || νηφαλεους [40%] || νηφαλαιους [20%]</w:t>
            </w:r>
          </w:p>
        </w:tc>
      </w:tr>
      <w:tr>
        <w:tc>
          <w:tcPr/>
          <w:p>
            <w:pPr>
              <w:pStyle w:val="Compact"/>
              <w:jc w:val="left"/>
            </w:pPr>
            <w:r>
              <w:t xml:space="preserve">+++</w:t>
            </w:r>
          </w:p>
        </w:tc>
        <w:tc>
          <w:tcPr/>
          <w:p>
            <w:pPr>
              <w:pStyle w:val="Compact"/>
              <w:jc w:val="left"/>
            </w:pPr>
            <w:r>
              <w:t xml:space="preserve">Tt 3:9</w:t>
            </w:r>
          </w:p>
        </w:tc>
        <w:tc>
          <w:tcPr/>
          <w:p>
            <w:pPr>
              <w:pStyle w:val="Compact"/>
              <w:jc w:val="left"/>
            </w:pPr>
            <w:r>
              <w:t xml:space="preserve">ερις [20%] || ερεις [75%]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Flm 1</w:t>
            </w:r>
          </w:p>
        </w:tc>
        <w:tc>
          <w:tcPr/>
          <w:p>
            <w:pPr>
              <w:pStyle w:val="Compact"/>
              <w:jc w:val="left"/>
            </w:pPr>
            <w:r>
              <w:t xml:space="preserve">ιησου χριστου [40%] || ~ 21 [60%]</w:t>
            </w:r>
          </w:p>
        </w:tc>
      </w:tr>
      <w:tr>
        <w:tc>
          <w:tcPr/>
          <w:p>
            <w:pPr>
              <w:pStyle w:val="Compact"/>
              <w:jc w:val="left"/>
            </w:pPr>
            <w:r>
              <w:t xml:space="preserve">+++</w:t>
            </w:r>
          </w:p>
        </w:tc>
        <w:tc>
          <w:tcPr/>
          <w:p>
            <w:pPr>
              <w:pStyle w:val="Compact"/>
              <w:jc w:val="left"/>
            </w:pPr>
            <w:r>
              <w:t xml:space="preserve">Flm 25</w:t>
            </w:r>
          </w:p>
        </w:tc>
        <w:tc>
          <w:tcPr/>
          <w:p>
            <w:pPr>
              <w:pStyle w:val="Compact"/>
              <w:jc w:val="left"/>
            </w:pPr>
            <w:r>
              <w:t xml:space="preserve">ιησου [20%] || 1 χριστου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Hbr 2:4</w:t>
            </w:r>
          </w:p>
        </w:tc>
        <w:tc>
          <w:tcPr/>
          <w:p>
            <w:pPr>
              <w:pStyle w:val="Compact"/>
              <w:jc w:val="left"/>
            </w:pPr>
            <w:r>
              <w:t xml:space="preserve">σημειοις [35%] || 1 τε [65%]</w:t>
            </w:r>
          </w:p>
        </w:tc>
      </w:tr>
      <w:tr>
        <w:tc>
          <w:tcPr/>
          <w:p>
            <w:pPr>
              <w:pStyle w:val="Compact"/>
              <w:jc w:val="left"/>
            </w:pPr>
            <w:r>
              <w:t xml:space="preserve">+</w:t>
            </w:r>
          </w:p>
        </w:tc>
        <w:tc>
          <w:tcPr/>
          <w:p>
            <w:pPr>
              <w:pStyle w:val="Compact"/>
              <w:jc w:val="left"/>
            </w:pPr>
            <w:r>
              <w:t xml:space="preserve">Hbr 2:16,itd.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Hbr 3:16</w:t>
            </w:r>
          </w:p>
        </w:tc>
        <w:tc>
          <w:tcPr/>
          <w:p>
            <w:pPr>
              <w:pStyle w:val="Compact"/>
              <w:jc w:val="left"/>
            </w:pPr>
            <w:r>
              <w:t xml:space="preserve">μωυσεος [40%] || μωυσεως [45%] || μωσεως [15%]</w:t>
            </w:r>
          </w:p>
        </w:tc>
      </w:tr>
      <w:tr>
        <w:tc>
          <w:tcPr/>
          <w:p>
            <w:pPr>
              <w:pStyle w:val="Compact"/>
              <w:jc w:val="left"/>
            </w:pPr>
            <w:r>
              <w:t xml:space="preserve">+</w:t>
            </w:r>
          </w:p>
        </w:tc>
        <w:tc>
          <w:tcPr/>
          <w:p>
            <w:pPr>
              <w:pStyle w:val="Compact"/>
              <w:jc w:val="left"/>
            </w:pPr>
            <w:r>
              <w:t xml:space="preserve">Hbr 3:19</w:t>
            </w:r>
          </w:p>
        </w:tc>
        <w:tc>
          <w:tcPr/>
          <w:p>
            <w:pPr>
              <w:pStyle w:val="Compact"/>
              <w:jc w:val="left"/>
            </w:pPr>
            <w:r>
              <w:t xml:space="preserve">δια [40%] || δι [60%]</w:t>
            </w:r>
          </w:p>
        </w:tc>
      </w:tr>
      <w:tr>
        <w:tc>
          <w:tcPr/>
          <w:p>
            <w:pPr>
              <w:pStyle w:val="Compact"/>
              <w:jc w:val="left"/>
            </w:pPr>
            <w:r>
              <w:t xml:space="preserve">+</w:t>
            </w:r>
          </w:p>
        </w:tc>
        <w:tc>
          <w:tcPr/>
          <w:p>
            <w:pPr>
              <w:pStyle w:val="Compact"/>
              <w:jc w:val="left"/>
            </w:pPr>
            <w:r>
              <w:t xml:space="preserve">Hbr 6:3</w:t>
            </w:r>
          </w:p>
        </w:tc>
        <w:tc>
          <w:tcPr/>
          <w:p>
            <w:pPr>
              <w:pStyle w:val="Compact"/>
              <w:jc w:val="left"/>
            </w:pPr>
            <w:r>
              <w:t xml:space="preserve">ποιησομεν [40%] || ποιησωμεν [59%]</w:t>
            </w:r>
          </w:p>
        </w:tc>
      </w:tr>
      <w:tr>
        <w:tc>
          <w:tcPr/>
          <w:p>
            <w:pPr>
              <w:pStyle w:val="Compact"/>
              <w:jc w:val="left"/>
            </w:pPr>
            <w:r>
              <w:t xml:space="preserve">+++</w:t>
            </w:r>
          </w:p>
        </w:tc>
        <w:tc>
          <w:tcPr/>
          <w:p>
            <w:pPr>
              <w:pStyle w:val="Compact"/>
              <w:jc w:val="left"/>
            </w:pPr>
            <w:r>
              <w:t xml:space="preserve">Hbr 8:3</w:t>
            </w:r>
          </w:p>
        </w:tc>
        <w:tc>
          <w:tcPr/>
          <w:p>
            <w:pPr>
              <w:pStyle w:val="Compact"/>
              <w:jc w:val="left"/>
            </w:pPr>
            <w:r>
              <w:t xml:space="preserve">προσενεγκοι [20%] || προσενεγκη [80%]</w:t>
            </w:r>
          </w:p>
        </w:tc>
      </w:tr>
      <w:tr>
        <w:tc>
          <w:tcPr/>
          <w:p>
            <w:pPr>
              <w:pStyle w:val="Compact"/>
              <w:jc w:val="left"/>
            </w:pPr>
            <w:r>
              <w:t xml:space="preserve">+</w:t>
            </w:r>
          </w:p>
        </w:tc>
        <w:tc>
          <w:tcPr/>
          <w:p>
            <w:pPr>
              <w:pStyle w:val="Compact"/>
              <w:jc w:val="left"/>
            </w:pPr>
            <w:r>
              <w:t xml:space="preserve">Hbr 8:6</w:t>
            </w:r>
          </w:p>
        </w:tc>
        <w:tc>
          <w:tcPr/>
          <w:p>
            <w:pPr>
              <w:pStyle w:val="Compact"/>
              <w:jc w:val="left"/>
            </w:pPr>
            <w:r>
              <w:t xml:space="preserve">τετευχεν [40%] || τετυχεν [50%] ||</w:t>
            </w:r>
          </w:p>
        </w:tc>
      </w:tr>
      <w:tr>
        <w:tc>
          <w:tcPr/>
          <w:p>
            <w:pPr>
              <w:pStyle w:val="Compact"/>
              <w:jc w:val="left"/>
            </w:pPr>
            <w:r>
              <w:t xml:space="preserve">+--</w:t>
            </w:r>
          </w:p>
        </w:tc>
        <w:tc>
          <w:tcPr/>
          <w:p>
            <w:pPr>
              <w:pStyle w:val="Compact"/>
              <w:jc w:val="left"/>
            </w:pPr>
            <w:r>
              <w:t xml:space="preserve">Hbr 8:11</w:t>
            </w:r>
          </w:p>
        </w:tc>
        <w:tc>
          <w:tcPr/>
          <w:p>
            <w:pPr>
              <w:pStyle w:val="Compact"/>
              <w:jc w:val="left"/>
            </w:pPr>
            <w:r>
              <w:t xml:space="preserve">πλησιον [35%] || πολιτην [65%]</w:t>
            </w:r>
          </w:p>
        </w:tc>
      </w:tr>
      <w:tr>
        <w:tc>
          <w:tcPr/>
          <w:p>
            <w:pPr>
              <w:pStyle w:val="Compact"/>
              <w:jc w:val="left"/>
            </w:pPr>
            <w:r>
              <w:t xml:space="preserve">+++</w:t>
            </w:r>
          </w:p>
        </w:tc>
        <w:tc>
          <w:tcPr/>
          <w:p>
            <w:pPr>
              <w:pStyle w:val="Compact"/>
              <w:jc w:val="left"/>
            </w:pPr>
            <w:r>
              <w:t xml:space="preserve">Hbr 9:12</w:t>
            </w:r>
          </w:p>
        </w:tc>
        <w:tc>
          <w:tcPr/>
          <w:p>
            <w:pPr>
              <w:pStyle w:val="Compact"/>
              <w:jc w:val="left"/>
            </w:pPr>
            <w:r>
              <w:t xml:space="preserve">ευρομενος [20%] || ευραμενος [80%]</w:t>
            </w:r>
          </w:p>
        </w:tc>
      </w:tr>
      <w:tr>
        <w:tc>
          <w:tcPr/>
          <w:p>
            <w:pPr>
              <w:pStyle w:val="Compact"/>
              <w:jc w:val="left"/>
            </w:pPr>
            <w:r>
              <w:t xml:space="preserve">++</w:t>
            </w:r>
          </w:p>
        </w:tc>
        <w:tc>
          <w:tcPr/>
          <w:p>
            <w:pPr>
              <w:pStyle w:val="Compact"/>
              <w:jc w:val="left"/>
            </w:pPr>
            <w:r>
              <w:t xml:space="preserve">Hbr 9:14</w:t>
            </w:r>
          </w:p>
        </w:tc>
        <w:tc>
          <w:tcPr/>
          <w:p>
            <w:pPr>
              <w:pStyle w:val="Compact"/>
              <w:jc w:val="left"/>
            </w:pPr>
            <w:r>
              <w:t xml:space="preserve">αγιου [29%] || αιωνιου [70%]</w:t>
            </w:r>
          </w:p>
        </w:tc>
      </w:tr>
      <w:tr>
        <w:tc>
          <w:tcPr/>
          <w:p>
            <w:pPr>
              <w:pStyle w:val="Compact"/>
              <w:jc w:val="left"/>
            </w:pPr>
            <w:r>
              <w:t xml:space="preserve">+--</w:t>
            </w:r>
          </w:p>
        </w:tc>
        <w:tc>
          <w:tcPr/>
          <w:p>
            <w:pPr>
              <w:pStyle w:val="Compact"/>
              <w:jc w:val="left"/>
            </w:pPr>
            <w:r>
              <w:t xml:space="preserve">Hbr 9:19</w:t>
            </w:r>
          </w:p>
        </w:tc>
        <w:tc>
          <w:tcPr/>
          <w:p>
            <w:pPr>
              <w:pStyle w:val="Compact"/>
              <w:jc w:val="left"/>
            </w:pPr>
            <w:r>
              <w:t xml:space="preserve">μωυσεος [35%] || μωυσεως [45%] || μωσεως [20%]</w:t>
            </w:r>
          </w:p>
        </w:tc>
      </w:tr>
      <w:tr>
        <w:tc>
          <w:tcPr/>
          <w:p>
            <w:pPr>
              <w:pStyle w:val="Compact"/>
              <w:jc w:val="left"/>
            </w:pPr>
            <w:r>
              <w:t xml:space="preserve">+</w:t>
            </w:r>
          </w:p>
        </w:tc>
        <w:tc>
          <w:tcPr/>
          <w:p>
            <w:pPr>
              <w:pStyle w:val="Compact"/>
              <w:jc w:val="left"/>
            </w:pPr>
            <w:r>
              <w:t xml:space="preserve">Hbr 10:1</w:t>
            </w:r>
          </w:p>
        </w:tc>
        <w:tc>
          <w:tcPr/>
          <w:p>
            <w:pPr>
              <w:pStyle w:val="Compact"/>
              <w:jc w:val="left"/>
            </w:pPr>
            <w:r>
              <w:t xml:space="preserve">δυναται [40%] || δυνανται [59%]</w:t>
            </w:r>
          </w:p>
        </w:tc>
      </w:tr>
      <w:tr>
        <w:tc>
          <w:tcPr/>
          <w:p>
            <w:pPr>
              <w:pStyle w:val="Compact"/>
              <w:jc w:val="left"/>
            </w:pPr>
            <w:r>
              <w:t xml:space="preserve">++</w:t>
            </w:r>
          </w:p>
        </w:tc>
        <w:tc>
          <w:tcPr/>
          <w:p>
            <w:pPr>
              <w:pStyle w:val="Compact"/>
              <w:jc w:val="left"/>
            </w:pPr>
            <w:r>
              <w:t xml:space="preserve">Hbr 10:28</w:t>
            </w:r>
          </w:p>
        </w:tc>
        <w:tc>
          <w:tcPr/>
          <w:p>
            <w:pPr>
              <w:pStyle w:val="Compact"/>
              <w:jc w:val="left"/>
            </w:pPr>
            <w:r>
              <w:t xml:space="preserve">μωυσεος [30%] || μωυσεως [55%] || μωσεως [15%]</w:t>
            </w:r>
          </w:p>
        </w:tc>
      </w:tr>
      <w:tr>
        <w:tc>
          <w:tcPr/>
          <w:p>
            <w:pPr>
              <w:pStyle w:val="Compact"/>
              <w:jc w:val="left"/>
            </w:pPr>
            <w:r>
              <w:t xml:space="preserve">++</w:t>
            </w:r>
          </w:p>
        </w:tc>
        <w:tc>
          <w:tcPr/>
          <w:p>
            <w:pPr>
              <w:pStyle w:val="Compact"/>
              <w:jc w:val="left"/>
            </w:pPr>
            <w:r>
              <w:t xml:space="preserve">Hbr 11:20</w:t>
            </w:r>
          </w:p>
        </w:tc>
        <w:tc>
          <w:tcPr/>
          <w:p>
            <w:pPr>
              <w:pStyle w:val="Compact"/>
              <w:jc w:val="left"/>
            </w:pPr>
            <w:r>
              <w:t xml:space="preserve">ἡσαυ [30%] || ἠσαυ [70%] (also 12:16)</w:t>
            </w:r>
          </w:p>
        </w:tc>
      </w:tr>
      <w:tr>
        <w:tc>
          <w:tcPr/>
          <w:p>
            <w:pPr>
              <w:pStyle w:val="Compact"/>
              <w:jc w:val="left"/>
            </w:pPr>
            <w:r>
              <w:t xml:space="preserve">+--</w:t>
            </w:r>
          </w:p>
        </w:tc>
        <w:tc>
          <w:tcPr/>
          <w:p>
            <w:pPr>
              <w:pStyle w:val="Compact"/>
              <w:jc w:val="left"/>
            </w:pPr>
            <w:r>
              <w:t xml:space="preserve">Hbr 12:7</w:t>
            </w:r>
          </w:p>
        </w:tc>
        <w:tc>
          <w:tcPr/>
          <w:p>
            <w:pPr>
              <w:pStyle w:val="Compact"/>
              <w:jc w:val="left"/>
            </w:pPr>
            <w:r>
              <w:t xml:space="preserve">ει [35%] || εις [65%]</w:t>
            </w:r>
          </w:p>
        </w:tc>
      </w:tr>
      <w:tr>
        <w:tc>
          <w:tcPr/>
          <w:p>
            <w:pPr>
              <w:pStyle w:val="Compact"/>
              <w:jc w:val="left"/>
            </w:pPr>
            <w:r>
              <w:t xml:space="preserve">++</w:t>
            </w:r>
          </w:p>
        </w:tc>
        <w:tc>
          <w:tcPr/>
          <w:p>
            <w:pPr>
              <w:pStyle w:val="Compact"/>
              <w:jc w:val="left"/>
            </w:pPr>
            <w:r>
              <w:t xml:space="preserve">Hbr 12:24</w:t>
            </w:r>
          </w:p>
        </w:tc>
        <w:tc>
          <w:tcPr/>
          <w:p>
            <w:pPr>
              <w:pStyle w:val="Compact"/>
              <w:jc w:val="left"/>
            </w:pPr>
            <w:r>
              <w:t xml:space="preserve">το [30%] || τον [70%]</w:t>
            </w:r>
          </w:p>
        </w:tc>
      </w:tr>
      <w:tr>
        <w:tc>
          <w:tcPr/>
          <w:p>
            <w:pPr>
              <w:pStyle w:val="Compact"/>
              <w:jc w:val="left"/>
            </w:pPr>
            <w:r>
              <w:t xml:space="preserve">+</w:t>
            </w:r>
          </w:p>
        </w:tc>
        <w:tc>
          <w:tcPr/>
          <w:p>
            <w:pPr>
              <w:pStyle w:val="Compact"/>
              <w:jc w:val="left"/>
            </w:pPr>
            <w:r>
              <w:t xml:space="preserve">Hbr 12:25</w:t>
            </w:r>
          </w:p>
        </w:tc>
        <w:tc>
          <w:tcPr/>
          <w:p>
            <w:pPr>
              <w:pStyle w:val="Compact"/>
              <w:jc w:val="left"/>
            </w:pPr>
            <w:r>
              <w:t xml:space="preserve">ουρανου [40%] || ουρανων [60%]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(14)</w:t>
            </w:r>
          </w:p>
        </w:tc>
      </w:tr>
      <w:tr>
        <w:tc>
          <w:tcPr/>
          <w:p>
            <w:pPr>
              <w:pStyle w:val="Compact"/>
              <w:jc w:val="left"/>
            </w:pPr>
            <w:r>
              <w:t xml:space="preserve">++--</w:t>
            </w:r>
          </w:p>
        </w:tc>
        <w:tc>
          <w:tcPr/>
          <w:p>
            <w:pPr>
              <w:pStyle w:val="Compact"/>
              <w:jc w:val="left"/>
            </w:pPr>
            <w:r>
              <w:t xml:space="preserve">około 25% = całkiem dobre (10)</w:t>
            </w:r>
          </w:p>
        </w:tc>
      </w:tr>
      <w:tr>
        <w:tc>
          <w:tcPr/>
          <w:p>
            <w:pPr>
              <w:pStyle w:val="Compact"/>
              <w:jc w:val="left"/>
            </w:pPr>
            <w:r>
              <w:t xml:space="preserve">++</w:t>
            </w:r>
          </w:p>
        </w:tc>
        <w:tc>
          <w:tcPr/>
          <w:p>
            <w:pPr>
              <w:pStyle w:val="Compact"/>
              <w:jc w:val="left"/>
            </w:pPr>
            <w:r>
              <w:t xml:space="preserve">około 30% = niezłe (21)</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(38)</w:t>
            </w:r>
          </w:p>
        </w:tc>
      </w:tr>
    </w:tbl>
    <w:p>
      <w:pPr>
        <w:pStyle w:val="BodyText"/>
      </w:pPr>
      <w:r>
        <w:t xml:space="preserve">Łącznie: 94</w:t>
      </w:r>
    </w:p>
    <w:p>
      <w:pPr>
        <w:pStyle w:val="BodyText"/>
      </w:pPr>
      <w:r>
        <w:rPr>
          <w:bCs/>
          <w:b/>
        </w:rPr>
        <w:t xml:space="preserve">Listy Powszechne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Jk 1:23</w:t>
            </w:r>
          </w:p>
        </w:tc>
        <w:tc>
          <w:tcPr/>
          <w:p>
            <w:pPr>
              <w:pStyle w:val="Compact"/>
              <w:jc w:val="left"/>
            </w:pPr>
            <w:r>
              <w:t xml:space="preserve">νομου [30%] || λογου [69%]</w:t>
            </w:r>
          </w:p>
        </w:tc>
      </w:tr>
      <w:tr>
        <w:tc>
          <w:tcPr/>
          <w:p>
            <w:pPr>
              <w:pStyle w:val="Compact"/>
              <w:jc w:val="left"/>
            </w:pPr>
            <w:r>
              <w:t xml:space="preserve">+--</w:t>
            </w:r>
          </w:p>
        </w:tc>
        <w:tc>
          <w:tcPr/>
          <w:p>
            <w:pPr>
              <w:pStyle w:val="Compact"/>
              <w:jc w:val="left"/>
            </w:pPr>
            <w:r>
              <w:t xml:space="preserve">Jk 1:26</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Jk 2:3</w:t>
            </w:r>
          </w:p>
        </w:tc>
        <w:tc>
          <w:tcPr/>
          <w:p>
            <w:pPr>
              <w:pStyle w:val="Compact"/>
              <w:jc w:val="left"/>
            </w:pPr>
            <w:r>
              <w:t xml:space="preserve">λαμπραν εσθητα [30%] || ~ 2 την 1 [70%]</w:t>
            </w:r>
          </w:p>
        </w:tc>
      </w:tr>
      <w:tr>
        <w:tc>
          <w:tcPr/>
          <w:p>
            <w:pPr>
              <w:pStyle w:val="Compact"/>
              <w:jc w:val="left"/>
            </w:pPr>
            <w:r>
              <w:t xml:space="preserve">++--</w:t>
            </w:r>
          </w:p>
        </w:tc>
        <w:tc>
          <w:tcPr/>
          <w:p>
            <w:pPr>
              <w:pStyle w:val="Compact"/>
              <w:jc w:val="left"/>
            </w:pPr>
            <w:r>
              <w:t xml:space="preserve">Jk 2:4</w:t>
            </w:r>
          </w:p>
        </w:tc>
        <w:tc>
          <w:tcPr/>
          <w:p>
            <w:pPr>
              <w:pStyle w:val="Compact"/>
              <w:jc w:val="left"/>
            </w:pPr>
            <w:r>
              <w:t xml:space="preserve">ου (26.8%) || και 1 (72.2%)</w:t>
            </w:r>
          </w:p>
        </w:tc>
      </w:tr>
      <w:tr>
        <w:tc>
          <w:tcPr/>
          <w:p>
            <w:pPr>
              <w:pStyle w:val="Compact"/>
              <w:jc w:val="left"/>
            </w:pPr>
            <w:r>
              <w:t xml:space="preserve">+++</w:t>
            </w:r>
          </w:p>
        </w:tc>
        <w:tc>
          <w:tcPr/>
          <w:p>
            <w:pPr>
              <w:pStyle w:val="Compact"/>
              <w:jc w:val="left"/>
            </w:pPr>
            <w:r>
              <w:t xml:space="preserve">Jk 2:13</w:t>
            </w:r>
          </w:p>
        </w:tc>
        <w:tc>
          <w:tcPr/>
          <w:p>
            <w:pPr>
              <w:pStyle w:val="Compact"/>
              <w:jc w:val="left"/>
            </w:pPr>
            <w:r>
              <w:t xml:space="preserve">ανηλεος [20%] || ανελεος [30%] || ανιλεως [50%]</w:t>
            </w:r>
          </w:p>
        </w:tc>
      </w:tr>
      <w:tr>
        <w:tc>
          <w:tcPr/>
          <w:p>
            <w:pPr>
              <w:pStyle w:val="Compact"/>
              <w:jc w:val="left"/>
            </w:pPr>
            <w:r>
              <w:t xml:space="preserve">++--</w:t>
            </w:r>
          </w:p>
        </w:tc>
        <w:tc>
          <w:tcPr/>
          <w:p>
            <w:pPr>
              <w:pStyle w:val="Compact"/>
              <w:jc w:val="left"/>
            </w:pPr>
            <w:r>
              <w:t xml:space="preserve">Jk 3:2</w:t>
            </w:r>
          </w:p>
        </w:tc>
        <w:tc>
          <w:tcPr/>
          <w:p>
            <w:pPr>
              <w:pStyle w:val="Compact"/>
              <w:jc w:val="left"/>
            </w:pPr>
            <w:r>
              <w:t xml:space="preserve">δυναμενος [23%] || δυνατος [76.5%]</w:t>
            </w:r>
          </w:p>
        </w:tc>
      </w:tr>
      <w:tr>
        <w:tc>
          <w:tcPr/>
          <w:p>
            <w:pPr>
              <w:pStyle w:val="Compact"/>
              <w:jc w:val="left"/>
            </w:pPr>
            <w:r>
              <w:t xml:space="preserve">+++</w:t>
            </w:r>
          </w:p>
        </w:tc>
        <w:tc>
          <w:tcPr/>
          <w:p>
            <w:pPr>
              <w:pStyle w:val="Compact"/>
              <w:jc w:val="left"/>
            </w:pPr>
            <w:r>
              <w:t xml:space="preserve">Jk 3:4</w:t>
            </w:r>
          </w:p>
        </w:tc>
        <w:tc>
          <w:tcPr/>
          <w:p>
            <w:pPr>
              <w:pStyle w:val="Compact"/>
              <w:jc w:val="left"/>
            </w:pPr>
            <w:r>
              <w:t xml:space="preserve">ιθυνοντος [21%] || ευθυνοντος [79%]</w:t>
            </w:r>
          </w:p>
        </w:tc>
      </w:tr>
      <w:tr>
        <w:tc>
          <w:tcPr/>
          <w:p>
            <w:pPr>
              <w:pStyle w:val="Compact"/>
              <w:jc w:val="left"/>
            </w:pPr>
            <w:r>
              <w:t xml:space="preserve">++--</w:t>
            </w:r>
          </w:p>
        </w:tc>
        <w:tc>
          <w:tcPr/>
          <w:p>
            <w:pPr>
              <w:pStyle w:val="Compact"/>
              <w:jc w:val="left"/>
            </w:pPr>
            <w:r>
              <w:t xml:space="preserve">Jk 4:11</w:t>
            </w:r>
          </w:p>
        </w:tc>
        <w:tc>
          <w:tcPr/>
          <w:p>
            <w:pPr>
              <w:pStyle w:val="Compact"/>
              <w:jc w:val="left"/>
            </w:pPr>
            <w:r>
              <w:t xml:space="preserve">γαρ [26%] || --- [74%]</w:t>
            </w:r>
          </w:p>
        </w:tc>
      </w:tr>
      <w:tr>
        <w:tc>
          <w:tcPr/>
          <w:p>
            <w:pPr>
              <w:pStyle w:val="Compact"/>
              <w:jc w:val="left"/>
            </w:pPr>
            <w:r>
              <w:t xml:space="preserve">++--</w:t>
            </w:r>
          </w:p>
        </w:tc>
        <w:tc>
          <w:tcPr/>
          <w:p>
            <w:pPr>
              <w:pStyle w:val="Compact"/>
              <w:jc w:val="left"/>
            </w:pPr>
            <w:r>
              <w:t xml:space="preserve">Jk 4:14</w:t>
            </w:r>
            <w:r>
              <w:rPr>
                <w:vertAlign w:val="superscript"/>
              </w:rPr>
              <w:t xml:space="preserve">a</w:t>
            </w:r>
          </w:p>
        </w:tc>
        <w:tc>
          <w:tcPr/>
          <w:p>
            <w:pPr>
              <w:pStyle w:val="Compact"/>
              <w:jc w:val="left"/>
            </w:pPr>
            <w:r>
              <w:t xml:space="preserve">ημων [26%] || υμων [74%]</w:t>
            </w:r>
          </w:p>
        </w:tc>
      </w:tr>
      <w:tr>
        <w:tc>
          <w:tcPr/>
          <w:p>
            <w:pPr>
              <w:pStyle w:val="Compact"/>
              <w:jc w:val="left"/>
            </w:pPr>
            <w:r>
              <w:t xml:space="preserve">++</w:t>
            </w:r>
          </w:p>
        </w:tc>
        <w:tc>
          <w:tcPr/>
          <w:p>
            <w:pPr>
              <w:pStyle w:val="Compact"/>
              <w:jc w:val="left"/>
            </w:pPr>
            <w:r>
              <w:t xml:space="preserve">Jk 4:14</w:t>
            </w:r>
            <w:r>
              <w:rPr>
                <w:vertAlign w:val="superscript"/>
              </w:rPr>
              <w:t xml:space="preserve">b</w:t>
            </w:r>
          </w:p>
        </w:tc>
        <w:tc>
          <w:tcPr/>
          <w:p>
            <w:pPr>
              <w:pStyle w:val="Compact"/>
              <w:jc w:val="left"/>
            </w:pPr>
            <w:r>
              <w:t xml:space="preserve">επειτα [29.5%] || 1 δε και [46%] || 1 δε [15%] || 1 και [9.5%]</w:t>
            </w:r>
          </w:p>
        </w:tc>
      </w:tr>
      <w:tr>
        <w:tc>
          <w:tcPr/>
          <w:p>
            <w:pPr>
              <w:pStyle w:val="Compact"/>
              <w:jc w:val="left"/>
            </w:pPr>
            <w:r>
              <w:t xml:space="preserve">+--</w:t>
            </w:r>
          </w:p>
        </w:tc>
        <w:tc>
          <w:tcPr/>
          <w:p>
            <w:pPr>
              <w:pStyle w:val="Compact"/>
              <w:jc w:val="left"/>
            </w:pPr>
            <w:r>
              <w:t xml:space="preserve">Jk 5:10</w:t>
            </w:r>
            <w:r>
              <w:rPr>
                <w:vertAlign w:val="superscript"/>
              </w:rPr>
              <w:t xml:space="preserve">a</w:t>
            </w:r>
          </w:p>
        </w:tc>
        <w:tc>
          <w:tcPr/>
          <w:p>
            <w:pPr>
              <w:pStyle w:val="Compact"/>
              <w:jc w:val="left"/>
            </w:pPr>
            <w:r>
              <w:t xml:space="preserve">αδελφοι [35%] || 1 μου [62%] ||</w:t>
            </w:r>
          </w:p>
        </w:tc>
      </w:tr>
      <w:tr>
        <w:tc>
          <w:tcPr/>
          <w:p>
            <w:pPr>
              <w:pStyle w:val="Compact"/>
              <w:jc w:val="left"/>
            </w:pPr>
            <w:r>
              <w:t xml:space="preserve">+</w:t>
            </w:r>
          </w:p>
        </w:tc>
        <w:tc>
          <w:tcPr/>
          <w:p>
            <w:pPr>
              <w:pStyle w:val="Compact"/>
              <w:jc w:val="left"/>
            </w:pPr>
            <w:r>
              <w:t xml:space="preserve">Jk 5:10</w:t>
            </w:r>
            <w:r>
              <w:rPr>
                <w:vertAlign w:val="superscript"/>
              </w:rPr>
              <w:t xml:space="preserve">b</w:t>
            </w:r>
          </w:p>
        </w:tc>
        <w:tc>
          <w:tcPr/>
          <w:p>
            <w:pPr>
              <w:pStyle w:val="Compact"/>
              <w:jc w:val="left"/>
            </w:pPr>
            <w:r>
              <w:t xml:space="preserve">εν τω [40%] || 2 [58%]</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1P 1:3</w:t>
            </w:r>
          </w:p>
        </w:tc>
        <w:tc>
          <w:tcPr/>
          <w:p>
            <w:pPr>
              <w:pStyle w:val="Compact"/>
              <w:jc w:val="left"/>
            </w:pPr>
            <w:r>
              <w:t xml:space="preserve">ελεος αυτου [38%] || ~ 21 [60%]</w:t>
            </w:r>
          </w:p>
        </w:tc>
      </w:tr>
      <w:tr>
        <w:tc>
          <w:tcPr/>
          <w:p>
            <w:pPr>
              <w:pStyle w:val="Compact"/>
              <w:jc w:val="left"/>
            </w:pPr>
            <w:r>
              <w:t xml:space="preserve">+--</w:t>
            </w:r>
          </w:p>
        </w:tc>
        <w:tc>
          <w:tcPr/>
          <w:p>
            <w:pPr>
              <w:pStyle w:val="Compact"/>
              <w:jc w:val="left"/>
            </w:pPr>
            <w:r>
              <w:t xml:space="preserve">1P 1:7</w:t>
            </w:r>
          </w:p>
        </w:tc>
        <w:tc>
          <w:tcPr/>
          <w:p>
            <w:pPr>
              <w:pStyle w:val="Compact"/>
              <w:jc w:val="left"/>
            </w:pPr>
            <w:r>
              <w:t xml:space="preserve">δοξαν και τιμην [35%] || ~ 321 [28%] || ~ 32 εις 1 [37%]</w:t>
            </w:r>
          </w:p>
        </w:tc>
      </w:tr>
      <w:tr>
        <w:tc>
          <w:tcPr/>
          <w:p>
            <w:pPr>
              <w:pStyle w:val="Compact"/>
              <w:jc w:val="left"/>
            </w:pPr>
            <w:r>
              <w:t xml:space="preserve">+</w:t>
            </w:r>
          </w:p>
        </w:tc>
        <w:tc>
          <w:tcPr/>
          <w:p>
            <w:pPr>
              <w:pStyle w:val="Compact"/>
              <w:jc w:val="left"/>
            </w:pPr>
            <w:r>
              <w:t xml:space="preserve">1P 1:23</w:t>
            </w:r>
          </w:p>
        </w:tc>
        <w:tc>
          <w:tcPr/>
          <w:p>
            <w:pPr>
              <w:pStyle w:val="Compact"/>
              <w:jc w:val="left"/>
            </w:pPr>
            <w:r>
              <w:t xml:space="preserve">αλλ [40%] || αλλα [60%]</w:t>
            </w:r>
          </w:p>
        </w:tc>
      </w:tr>
      <w:tr>
        <w:tc>
          <w:tcPr/>
          <w:p>
            <w:pPr>
              <w:pStyle w:val="Compact"/>
              <w:jc w:val="left"/>
            </w:pPr>
            <w:r>
              <w:t xml:space="preserve">+--</w:t>
            </w:r>
          </w:p>
        </w:tc>
        <w:tc>
          <w:tcPr/>
          <w:p>
            <w:pPr>
              <w:pStyle w:val="Compact"/>
              <w:jc w:val="left"/>
            </w:pPr>
            <w:r>
              <w:t xml:space="preserve">1P 2:6</w:t>
            </w:r>
          </w:p>
        </w:tc>
        <w:tc>
          <w:tcPr/>
          <w:p>
            <w:pPr>
              <w:pStyle w:val="Compact"/>
              <w:jc w:val="left"/>
            </w:pPr>
            <w:r>
              <w:t xml:space="preserve">ἡ [35%] || εν τη [59%] ||</w:t>
            </w:r>
          </w:p>
        </w:tc>
      </w:tr>
      <w:tr>
        <w:tc>
          <w:tcPr/>
          <w:p>
            <w:pPr>
              <w:pStyle w:val="Compact"/>
              <w:jc w:val="left"/>
            </w:pPr>
            <w:r>
              <w:t xml:space="preserve">++--</w:t>
            </w:r>
          </w:p>
        </w:tc>
        <w:tc>
          <w:tcPr/>
          <w:p>
            <w:pPr>
              <w:pStyle w:val="Compact"/>
              <w:jc w:val="left"/>
            </w:pPr>
            <w:r>
              <w:t xml:space="preserve">1P 2:21</w:t>
            </w:r>
          </w:p>
        </w:tc>
        <w:tc>
          <w:tcPr/>
          <w:p>
            <w:pPr>
              <w:pStyle w:val="Compact"/>
              <w:jc w:val="left"/>
            </w:pPr>
            <w:r>
              <w:t xml:space="preserve">και [23%] || --- [77%]</w:t>
            </w:r>
          </w:p>
        </w:tc>
      </w:tr>
      <w:tr>
        <w:tc>
          <w:tcPr/>
          <w:p>
            <w:pPr>
              <w:pStyle w:val="Compact"/>
              <w:jc w:val="left"/>
            </w:pPr>
            <w:r>
              <w:t xml:space="preserve">++--</w:t>
            </w:r>
          </w:p>
        </w:tc>
        <w:tc>
          <w:tcPr/>
          <w:p>
            <w:pPr>
              <w:pStyle w:val="Compact"/>
              <w:jc w:val="left"/>
            </w:pPr>
            <w:r>
              <w:t xml:space="preserve">1P 3:10</w:t>
            </w:r>
          </w:p>
        </w:tc>
        <w:tc>
          <w:tcPr/>
          <w:p>
            <w:pPr>
              <w:pStyle w:val="Compact"/>
              <w:jc w:val="left"/>
            </w:pPr>
            <w:r>
              <w:t xml:space="preserve">ημερας ιδειν [26%] || ~ 21 [74%]</w:t>
            </w:r>
          </w:p>
        </w:tc>
      </w:tr>
      <w:tr>
        <w:tc>
          <w:tcPr/>
          <w:p>
            <w:pPr>
              <w:pStyle w:val="Compact"/>
              <w:jc w:val="left"/>
            </w:pPr>
            <w:r>
              <w:t xml:space="preserve">+++</w:t>
            </w:r>
          </w:p>
        </w:tc>
        <w:tc>
          <w:tcPr/>
          <w:p>
            <w:pPr>
              <w:pStyle w:val="Compact"/>
              <w:jc w:val="left"/>
            </w:pPr>
            <w:r>
              <w:t xml:space="preserve">1P 3:16</w:t>
            </w:r>
          </w:p>
        </w:tc>
        <w:tc>
          <w:tcPr/>
          <w:p>
            <w:pPr>
              <w:pStyle w:val="Compact"/>
              <w:jc w:val="left"/>
            </w:pPr>
            <w:r>
              <w:t xml:space="preserve">τη αγαθη εν χριστω αναστροφη [20%] || την αγαθην 34 αναστροφην [50%] || ~ την 34 αγαθην αναστροφην [24%] || ||</w:t>
            </w:r>
          </w:p>
        </w:tc>
      </w:tr>
      <w:tr>
        <w:tc>
          <w:tcPr/>
          <w:p>
            <w:pPr>
              <w:pStyle w:val="Compact"/>
              <w:jc w:val="left"/>
            </w:pPr>
            <w:r>
              <w:t xml:space="preserve">+++</w:t>
            </w:r>
          </w:p>
        </w:tc>
        <w:tc>
          <w:tcPr/>
          <w:p>
            <w:pPr>
              <w:pStyle w:val="Compact"/>
              <w:jc w:val="left"/>
            </w:pPr>
            <w:r>
              <w:t xml:space="preserve">1P 4:2</w:t>
            </w:r>
          </w:p>
        </w:tc>
        <w:tc>
          <w:tcPr/>
          <w:p>
            <w:pPr>
              <w:pStyle w:val="Compact"/>
              <w:jc w:val="left"/>
            </w:pPr>
            <w:r>
              <w:t xml:space="preserve">του [22%] || --- [78%]</w:t>
            </w:r>
          </w:p>
        </w:tc>
      </w:tr>
      <w:tr>
        <w:tc>
          <w:tcPr/>
          <w:p>
            <w:pPr>
              <w:pStyle w:val="Compact"/>
              <w:jc w:val="left"/>
            </w:pPr>
            <w:r>
              <w:t xml:space="preserve">+</w:t>
            </w:r>
          </w:p>
        </w:tc>
        <w:tc>
          <w:tcPr/>
          <w:p>
            <w:pPr>
              <w:pStyle w:val="Compact"/>
              <w:jc w:val="left"/>
            </w:pPr>
            <w:r>
              <w:t xml:space="preserve">1P 4:3</w:t>
            </w:r>
            <w:r>
              <w:rPr>
                <w:vertAlign w:val="superscript"/>
              </w:rPr>
              <w:t xml:space="preserve">a</w:t>
            </w:r>
          </w:p>
        </w:tc>
        <w:tc>
          <w:tcPr/>
          <w:p>
            <w:pPr>
              <w:pStyle w:val="Compact"/>
              <w:jc w:val="left"/>
            </w:pPr>
            <w:r>
              <w:t xml:space="preserve">υμιν (41.7%) || ημιν (47.1%) || --- (11.2%)</w:t>
            </w:r>
          </w:p>
        </w:tc>
      </w:tr>
      <w:tr>
        <w:tc>
          <w:tcPr/>
          <w:p>
            <w:pPr>
              <w:pStyle w:val="Compact"/>
              <w:jc w:val="left"/>
            </w:pPr>
            <w:r>
              <w:t xml:space="preserve">++--</w:t>
            </w:r>
          </w:p>
        </w:tc>
        <w:tc>
          <w:tcPr/>
          <w:p>
            <w:pPr>
              <w:pStyle w:val="Compact"/>
              <w:jc w:val="left"/>
            </w:pPr>
            <w:r>
              <w:t xml:space="preserve">1P 4:3</w:t>
            </w:r>
            <w:r>
              <w:rPr>
                <w:vertAlign w:val="superscript"/>
              </w:rPr>
              <w:t xml:space="preserve">b</w:t>
            </w:r>
          </w:p>
        </w:tc>
        <w:tc>
          <w:tcPr/>
          <w:p>
            <w:pPr>
              <w:pStyle w:val="Compact"/>
              <w:jc w:val="left"/>
            </w:pPr>
            <w:r>
              <w:t xml:space="preserve">χρονος [26%] || 1 του βιου [74%]</w:t>
            </w:r>
          </w:p>
        </w:tc>
      </w:tr>
      <w:tr>
        <w:tc>
          <w:tcPr/>
          <w:p>
            <w:pPr>
              <w:pStyle w:val="Compact"/>
              <w:jc w:val="left"/>
            </w:pPr>
            <w:r>
              <w:t xml:space="preserve">+++</w:t>
            </w:r>
          </w:p>
        </w:tc>
        <w:tc>
          <w:tcPr/>
          <w:p>
            <w:pPr>
              <w:pStyle w:val="Compact"/>
              <w:jc w:val="left"/>
            </w:pPr>
            <w:r>
              <w:t xml:space="preserve">1P 4:11</w:t>
            </w:r>
            <w:r>
              <w:rPr>
                <w:vertAlign w:val="superscript"/>
              </w:rPr>
              <w:t xml:space="preserve">a</w:t>
            </w:r>
          </w:p>
        </w:tc>
        <w:tc>
          <w:tcPr/>
          <w:p>
            <w:pPr>
              <w:pStyle w:val="Compact"/>
              <w:jc w:val="left"/>
            </w:pPr>
            <w:r>
              <w:t xml:space="preserve">δοξαζηται θεος [20%] || 1 ο 2 [73%] ||</w:t>
            </w:r>
          </w:p>
        </w:tc>
      </w:tr>
      <w:tr>
        <w:tc>
          <w:tcPr/>
          <w:p>
            <w:pPr>
              <w:pStyle w:val="Compact"/>
              <w:jc w:val="left"/>
            </w:pPr>
            <w:r>
              <w:t xml:space="preserve">++--</w:t>
            </w:r>
          </w:p>
        </w:tc>
        <w:tc>
          <w:tcPr/>
          <w:p>
            <w:pPr>
              <w:pStyle w:val="Compact"/>
              <w:jc w:val="left"/>
            </w:pPr>
            <w:r>
              <w:t xml:space="preserve">1P 4:11</w:t>
            </w:r>
            <w:r>
              <w:rPr>
                <w:vertAlign w:val="superscript"/>
              </w:rPr>
              <w:t xml:space="preserve">b</w:t>
            </w:r>
          </w:p>
        </w:tc>
        <w:tc>
          <w:tcPr/>
          <w:p>
            <w:pPr>
              <w:pStyle w:val="Compact"/>
              <w:jc w:val="left"/>
            </w:pPr>
            <w:r>
              <w:t xml:space="preserve">αιωνας [27%] || 1 των αιωνων [73%]</w:t>
            </w:r>
          </w:p>
        </w:tc>
      </w:tr>
      <w:tr>
        <w:tc>
          <w:tcPr/>
          <w:p>
            <w:pPr>
              <w:pStyle w:val="Compact"/>
              <w:jc w:val="left"/>
            </w:pPr>
            <w:r>
              <w:t xml:space="preserve">+</w:t>
            </w:r>
          </w:p>
        </w:tc>
        <w:tc>
          <w:tcPr/>
          <w:p>
            <w:pPr>
              <w:pStyle w:val="Compact"/>
              <w:jc w:val="left"/>
            </w:pPr>
            <w:r>
              <w:t xml:space="preserve">1P 4:14</w:t>
            </w:r>
          </w:p>
        </w:tc>
        <w:tc>
          <w:tcPr/>
          <w:p>
            <w:pPr>
              <w:pStyle w:val="Compact"/>
              <w:jc w:val="left"/>
            </w:pPr>
            <w:r>
              <w:t xml:space="preserve">αναπεπαυται [39%] || αναπαυεται [52%] || ||</w:t>
            </w:r>
          </w:p>
        </w:tc>
      </w:tr>
      <w:tr>
        <w:tc>
          <w:tcPr/>
          <w:p>
            <w:pPr>
              <w:pStyle w:val="Compact"/>
              <w:jc w:val="left"/>
            </w:pPr>
            <w:r>
              <w:t xml:space="preserve">+--</w:t>
            </w:r>
          </w:p>
        </w:tc>
        <w:tc>
          <w:tcPr/>
          <w:p>
            <w:pPr>
              <w:pStyle w:val="Compact"/>
              <w:jc w:val="left"/>
            </w:pPr>
            <w:r>
              <w:t xml:space="preserve">1P 5:7</w:t>
            </w:r>
          </w:p>
        </w:tc>
        <w:tc>
          <w:tcPr/>
          <w:p>
            <w:pPr>
              <w:pStyle w:val="Compact"/>
              <w:jc w:val="left"/>
            </w:pPr>
            <w:r>
              <w:t xml:space="preserve">υπερ [35%] || περι [65%]</w:t>
            </w:r>
          </w:p>
        </w:tc>
      </w:tr>
      <w:tr>
        <w:tc>
          <w:tcPr/>
          <w:p>
            <w:pPr>
              <w:pStyle w:val="Compact"/>
              <w:jc w:val="left"/>
            </w:pPr>
            <w:r>
              <w:t xml:space="preserve">++--</w:t>
            </w:r>
          </w:p>
        </w:tc>
        <w:tc>
          <w:tcPr/>
          <w:p>
            <w:pPr>
              <w:pStyle w:val="Compact"/>
              <w:jc w:val="left"/>
            </w:pPr>
            <w:r>
              <w:t xml:space="preserve">1P 5:8</w:t>
            </w:r>
          </w:p>
        </w:tc>
        <w:tc>
          <w:tcPr/>
          <w:p>
            <w:pPr>
              <w:pStyle w:val="Compact"/>
              <w:jc w:val="left"/>
            </w:pPr>
            <w:r>
              <w:t xml:space="preserve">περιερχεται [24%] || περιπατει [76%]</w:t>
            </w:r>
          </w:p>
        </w:tc>
      </w:tr>
      <w:tr>
        <w:tc>
          <w:tcPr/>
          <w:p>
            <w:pPr>
              <w:pStyle w:val="Compact"/>
              <w:jc w:val="left"/>
            </w:pPr>
            <w:r>
              <w:t xml:space="preserve">++</w:t>
            </w:r>
          </w:p>
        </w:tc>
        <w:tc>
          <w:tcPr/>
          <w:p>
            <w:pPr>
              <w:pStyle w:val="Compact"/>
              <w:jc w:val="left"/>
            </w:pPr>
            <w:r>
              <w:t xml:space="preserve">1P 5:10</w:t>
            </w:r>
          </w:p>
        </w:tc>
        <w:tc>
          <w:tcPr/>
          <w:p>
            <w:pPr>
              <w:pStyle w:val="Compact"/>
              <w:jc w:val="left"/>
            </w:pPr>
            <w:r>
              <w:t xml:space="preserve">στηριξαι…σθενωσαι…θεμελιωσαι [30%] || στηριξει…σθενωσει…θεμελιωσει [66%]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2P 2:2</w:t>
            </w:r>
          </w:p>
        </w:tc>
        <w:tc>
          <w:tcPr/>
          <w:p>
            <w:pPr>
              <w:pStyle w:val="Compact"/>
              <w:jc w:val="left"/>
            </w:pPr>
            <w:r>
              <w:t xml:space="preserve">ας [20%] || ους [80%]</w:t>
            </w:r>
          </w:p>
        </w:tc>
      </w:tr>
      <w:tr>
        <w:tc>
          <w:tcPr/>
          <w:p>
            <w:pPr>
              <w:pStyle w:val="Compact"/>
              <w:jc w:val="left"/>
            </w:pPr>
            <w:r>
              <w:t xml:space="preserve">+--</w:t>
            </w:r>
          </w:p>
        </w:tc>
        <w:tc>
          <w:tcPr/>
          <w:p>
            <w:pPr>
              <w:pStyle w:val="Compact"/>
              <w:jc w:val="left"/>
            </w:pPr>
            <w:r>
              <w:t xml:space="preserve">2P 2:9</w:t>
            </w:r>
          </w:p>
        </w:tc>
        <w:tc>
          <w:tcPr/>
          <w:p>
            <w:pPr>
              <w:pStyle w:val="Compact"/>
              <w:jc w:val="left"/>
            </w:pPr>
            <w:r>
              <w:t xml:space="preserve">πειρασμων [33%] || πειρασμου [67%]</w:t>
            </w:r>
          </w:p>
        </w:tc>
      </w:tr>
      <w:tr>
        <w:tc>
          <w:tcPr/>
          <w:p>
            <w:pPr>
              <w:pStyle w:val="Compact"/>
              <w:jc w:val="left"/>
            </w:pPr>
            <w:r>
              <w:t xml:space="preserve">++--</w:t>
            </w:r>
          </w:p>
        </w:tc>
        <w:tc>
          <w:tcPr/>
          <w:p>
            <w:pPr>
              <w:pStyle w:val="Compact"/>
              <w:jc w:val="left"/>
            </w:pPr>
            <w:r>
              <w:t xml:space="preserve">2P 2:12</w:t>
            </w:r>
          </w:p>
        </w:tc>
        <w:tc>
          <w:tcPr/>
          <w:p>
            <w:pPr>
              <w:pStyle w:val="Compact"/>
              <w:jc w:val="left"/>
            </w:pPr>
            <w:r>
              <w:t xml:space="preserve">γεγενημενα φυσικα [26%] || ~ 21 [54%] || ||</w:t>
            </w:r>
          </w:p>
        </w:tc>
      </w:tr>
      <w:tr>
        <w:tc>
          <w:tcPr/>
          <w:p>
            <w:pPr>
              <w:pStyle w:val="Compact"/>
              <w:jc w:val="left"/>
            </w:pPr>
            <w:r>
              <w:t xml:space="preserve">++--</w:t>
            </w:r>
          </w:p>
        </w:tc>
        <w:tc>
          <w:tcPr/>
          <w:p>
            <w:pPr>
              <w:pStyle w:val="Compact"/>
              <w:jc w:val="left"/>
            </w:pPr>
            <w:r>
              <w:t xml:space="preserve">2P 2:17</w:t>
            </w:r>
          </w:p>
        </w:tc>
        <w:tc>
          <w:tcPr/>
          <w:p>
            <w:pPr>
              <w:pStyle w:val="Compact"/>
              <w:jc w:val="left"/>
            </w:pPr>
            <w:r>
              <w:t xml:space="preserve">εις αιωνας (25.1%) || 1 αιωνα (70.3%) || ||</w:t>
            </w:r>
          </w:p>
        </w:tc>
      </w:tr>
      <w:tr>
        <w:tc>
          <w:tcPr/>
          <w:p>
            <w:pPr>
              <w:pStyle w:val="Compact"/>
              <w:jc w:val="left"/>
            </w:pPr>
            <w:r>
              <w:t xml:space="preserve">+</w:t>
            </w:r>
          </w:p>
        </w:tc>
        <w:tc>
          <w:tcPr/>
          <w:p>
            <w:pPr>
              <w:pStyle w:val="Compact"/>
              <w:jc w:val="left"/>
            </w:pPr>
            <w:r>
              <w:t xml:space="preserve">2P 2:18</w:t>
            </w:r>
          </w:p>
        </w:tc>
        <w:tc>
          <w:tcPr/>
          <w:p>
            <w:pPr>
              <w:pStyle w:val="Compact"/>
              <w:jc w:val="left"/>
            </w:pPr>
            <w:r>
              <w:t xml:space="preserve">ασελγειας [40%] || ασελγειαις [60%]</w:t>
            </w:r>
          </w:p>
        </w:tc>
      </w:tr>
      <w:tr>
        <w:tc>
          <w:tcPr/>
          <w:p>
            <w:pPr>
              <w:pStyle w:val="Compact"/>
              <w:jc w:val="left"/>
            </w:pPr>
            <w:r>
              <w:t xml:space="preserve">+++</w:t>
            </w:r>
          </w:p>
        </w:tc>
        <w:tc>
          <w:tcPr/>
          <w:p>
            <w:pPr>
              <w:pStyle w:val="Compact"/>
              <w:jc w:val="left"/>
            </w:pPr>
            <w:r>
              <w:t xml:space="preserve">2P 3:1</w:t>
            </w:r>
          </w:p>
        </w:tc>
        <w:tc>
          <w:tcPr/>
          <w:p>
            <w:pPr>
              <w:pStyle w:val="Compact"/>
              <w:jc w:val="left"/>
            </w:pPr>
            <w:r>
              <w:t xml:space="preserve">εἱλικρινη [20%] || ειλικρινη [80%]</w:t>
            </w:r>
          </w:p>
        </w:tc>
      </w:tr>
      <w:tr>
        <w:tc>
          <w:tcPr/>
          <w:p>
            <w:pPr>
              <w:pStyle w:val="Compact"/>
              <w:jc w:val="left"/>
            </w:pPr>
            <w:r>
              <w:t xml:space="preserve">++--</w:t>
            </w:r>
          </w:p>
        </w:tc>
        <w:tc>
          <w:tcPr/>
          <w:p>
            <w:pPr>
              <w:pStyle w:val="Compact"/>
              <w:jc w:val="left"/>
            </w:pPr>
            <w:r>
              <w:t xml:space="preserve">2P 3:5</w:t>
            </w:r>
          </w:p>
        </w:tc>
        <w:tc>
          <w:tcPr/>
          <w:p>
            <w:pPr>
              <w:pStyle w:val="Compact"/>
              <w:jc w:val="left"/>
            </w:pPr>
            <w:r>
              <w:t xml:space="preserve">συνεστωτα [23%] || συνεστωσα [76%]</w:t>
            </w:r>
          </w:p>
        </w:tc>
      </w:tr>
      <w:tr>
        <w:tc>
          <w:tcPr/>
          <w:p>
            <w:pPr>
              <w:pStyle w:val="Compact"/>
              <w:jc w:val="left"/>
            </w:pPr>
            <w:r>
              <w:t xml:space="preserve">+--</w:t>
            </w:r>
          </w:p>
        </w:tc>
        <w:tc>
          <w:tcPr/>
          <w:p>
            <w:pPr>
              <w:pStyle w:val="Compact"/>
              <w:jc w:val="left"/>
            </w:pPr>
            <w:r>
              <w:t xml:space="preserve">2P 3:16</w:t>
            </w:r>
          </w:p>
        </w:tc>
        <w:tc>
          <w:tcPr/>
          <w:p>
            <w:pPr>
              <w:pStyle w:val="Compact"/>
              <w:jc w:val="left"/>
            </w:pPr>
            <w:r>
              <w:t xml:space="preserve">εισιν [33%] || εστιν [67%]</w:t>
            </w:r>
          </w:p>
        </w:tc>
      </w:tr>
      <w:tr>
        <w:tc>
          <w:tcPr/>
          <w:p>
            <w:pPr>
              <w:pStyle w:val="Compact"/>
              <w:jc w:val="left"/>
            </w:pPr>
            <w:r>
              <w:t xml:space="preserve">++--</w:t>
            </w:r>
          </w:p>
        </w:tc>
        <w:tc>
          <w:tcPr/>
          <w:p>
            <w:pPr>
              <w:pStyle w:val="Compact"/>
              <w:jc w:val="left"/>
            </w:pPr>
            <w:r>
              <w:t xml:space="preserve">2P 3:18</w:t>
            </w:r>
          </w:p>
        </w:tc>
        <w:tc>
          <w:tcPr/>
          <w:p>
            <w:pPr>
              <w:pStyle w:val="Compact"/>
              <w:jc w:val="left"/>
            </w:pPr>
            <w:r>
              <w:t xml:space="preserve">αυξανητε [27%] || αυξανετε [60%] ||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1J 1:6</w:t>
            </w:r>
          </w:p>
        </w:tc>
        <w:tc>
          <w:tcPr/>
          <w:p>
            <w:pPr>
              <w:pStyle w:val="Compact"/>
              <w:jc w:val="left"/>
            </w:pPr>
            <w:r>
              <w:t xml:space="preserve">περιπατουμεν [29%] || περιπατωμεν [71%]</w:t>
            </w:r>
          </w:p>
        </w:tc>
      </w:tr>
      <w:tr>
        <w:tc>
          <w:tcPr/>
          <w:p>
            <w:pPr>
              <w:pStyle w:val="Compact"/>
              <w:jc w:val="left"/>
            </w:pPr>
            <w:r>
              <w:t xml:space="preserve">+--</w:t>
            </w:r>
          </w:p>
        </w:tc>
        <w:tc>
          <w:tcPr/>
          <w:p>
            <w:pPr>
              <w:pStyle w:val="Compact"/>
              <w:jc w:val="left"/>
            </w:pPr>
            <w:r>
              <w:t xml:space="preserve">1J 2:24</w:t>
            </w:r>
          </w:p>
        </w:tc>
        <w:tc>
          <w:tcPr/>
          <w:p>
            <w:pPr>
              <w:pStyle w:val="Compact"/>
              <w:jc w:val="left"/>
            </w:pPr>
            <w:r>
              <w:t xml:space="preserve">πατρι και εν τω υιω [35%] || ~ 52341 [65%]</w:t>
            </w:r>
          </w:p>
        </w:tc>
      </w:tr>
      <w:tr>
        <w:tc>
          <w:tcPr/>
          <w:p>
            <w:pPr>
              <w:pStyle w:val="Compact"/>
              <w:jc w:val="left"/>
            </w:pPr>
            <w:r>
              <w:t xml:space="preserve">+--</w:t>
            </w:r>
          </w:p>
        </w:tc>
        <w:tc>
          <w:tcPr/>
          <w:p>
            <w:pPr>
              <w:pStyle w:val="Compact"/>
              <w:jc w:val="left"/>
            </w:pPr>
            <w:r>
              <w:t xml:space="preserve">1J 2:29</w:t>
            </w:r>
          </w:p>
        </w:tc>
        <w:tc>
          <w:tcPr/>
          <w:p>
            <w:pPr>
              <w:pStyle w:val="Compact"/>
              <w:jc w:val="left"/>
            </w:pPr>
            <w:r>
              <w:t xml:space="preserve">ειδητε [37%] || ιδητε [59%] ||</w:t>
            </w:r>
          </w:p>
        </w:tc>
      </w:tr>
      <w:tr>
        <w:tc>
          <w:tcPr/>
          <w:p>
            <w:pPr>
              <w:pStyle w:val="Compact"/>
              <w:jc w:val="left"/>
            </w:pPr>
            <w:r>
              <w:t xml:space="preserve">+--</w:t>
            </w:r>
          </w:p>
        </w:tc>
        <w:tc>
          <w:tcPr/>
          <w:p>
            <w:pPr>
              <w:pStyle w:val="Compact"/>
              <w:jc w:val="left"/>
            </w:pPr>
            <w:r>
              <w:t xml:space="preserve">1J 3:1</w:t>
            </w:r>
          </w:p>
        </w:tc>
        <w:tc>
          <w:tcPr/>
          <w:p>
            <w:pPr>
              <w:pStyle w:val="Compact"/>
              <w:jc w:val="left"/>
            </w:pPr>
            <w:r>
              <w:t xml:space="preserve">ημας [36%] || υμας [63.5%]</w:t>
            </w:r>
          </w:p>
        </w:tc>
      </w:tr>
      <w:tr>
        <w:tc>
          <w:tcPr/>
          <w:p>
            <w:pPr>
              <w:pStyle w:val="Compact"/>
              <w:jc w:val="left"/>
            </w:pPr>
            <w:r>
              <w:t xml:space="preserve">+++</w:t>
            </w:r>
          </w:p>
        </w:tc>
        <w:tc>
          <w:tcPr/>
          <w:p>
            <w:pPr>
              <w:pStyle w:val="Compact"/>
              <w:jc w:val="left"/>
            </w:pPr>
            <w:r>
              <w:t xml:space="preserve">1J 3:6</w:t>
            </w:r>
          </w:p>
        </w:tc>
        <w:tc>
          <w:tcPr/>
          <w:p>
            <w:pPr>
              <w:pStyle w:val="Compact"/>
              <w:jc w:val="left"/>
            </w:pPr>
            <w:r>
              <w:t xml:space="preserve">και [20%] || --- [80%]</w:t>
            </w:r>
          </w:p>
        </w:tc>
      </w:tr>
      <w:tr>
        <w:tc>
          <w:tcPr/>
          <w:p>
            <w:pPr>
              <w:pStyle w:val="Compact"/>
              <w:jc w:val="left"/>
            </w:pPr>
            <w:r>
              <w:t xml:space="preserve">++</w:t>
            </w:r>
          </w:p>
        </w:tc>
        <w:tc>
          <w:tcPr/>
          <w:p>
            <w:pPr>
              <w:pStyle w:val="Compact"/>
              <w:jc w:val="left"/>
            </w:pPr>
            <w:r>
              <w:t xml:space="preserve">1J 3:24</w:t>
            </w:r>
          </w:p>
        </w:tc>
        <w:tc>
          <w:tcPr/>
          <w:p>
            <w:pPr>
              <w:pStyle w:val="Compact"/>
              <w:jc w:val="left"/>
            </w:pPr>
            <w:r>
              <w:t xml:space="preserve">εν [30%] || και 1 [70%]</w:t>
            </w:r>
          </w:p>
        </w:tc>
      </w:tr>
      <w:tr>
        <w:tc>
          <w:tcPr/>
          <w:p>
            <w:pPr>
              <w:pStyle w:val="Compact"/>
              <w:jc w:val="left"/>
            </w:pPr>
            <w:r>
              <w:t xml:space="preserve">+--</w:t>
            </w:r>
          </w:p>
        </w:tc>
        <w:tc>
          <w:tcPr/>
          <w:p>
            <w:pPr>
              <w:pStyle w:val="Compact"/>
              <w:jc w:val="left"/>
            </w:pPr>
            <w:r>
              <w:t xml:space="preserve">1J 4:16</w:t>
            </w:r>
          </w:p>
        </w:tc>
        <w:tc>
          <w:tcPr/>
          <w:p>
            <w:pPr>
              <w:pStyle w:val="Compact"/>
              <w:jc w:val="left"/>
            </w:pPr>
            <w:r>
              <w:t xml:space="preserve">αυτω [37%] || 1 μενει [63%]</w:t>
            </w:r>
          </w:p>
        </w:tc>
      </w:tr>
      <w:tr>
        <w:tc>
          <w:tcPr/>
          <w:p>
            <w:pPr>
              <w:pStyle w:val="Compact"/>
              <w:jc w:val="left"/>
            </w:pPr>
            <w:r>
              <w:t xml:space="preserve">++--</w:t>
            </w:r>
          </w:p>
        </w:tc>
        <w:tc>
          <w:tcPr/>
          <w:p>
            <w:pPr>
              <w:pStyle w:val="Compact"/>
              <w:jc w:val="left"/>
            </w:pPr>
            <w:r>
              <w:t xml:space="preserve">1J 5:11</w:t>
            </w:r>
          </w:p>
        </w:tc>
        <w:tc>
          <w:tcPr/>
          <w:p>
            <w:pPr>
              <w:pStyle w:val="Compact"/>
              <w:jc w:val="left"/>
            </w:pPr>
            <w:r>
              <w:t xml:space="preserve">ο θεος ημιν [24%] || ~ 312 [76%]</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2J 5</w:t>
            </w:r>
          </w:p>
        </w:tc>
        <w:tc>
          <w:tcPr/>
          <w:p>
            <w:pPr>
              <w:pStyle w:val="Compact"/>
              <w:jc w:val="left"/>
            </w:pPr>
            <w:r>
              <w:t xml:space="preserve">εχομεν [32%] || ειχομεν [68%]</w:t>
            </w:r>
          </w:p>
        </w:tc>
      </w:tr>
      <w:tr>
        <w:tc>
          <w:tcPr/>
          <w:p>
            <w:pPr>
              <w:pStyle w:val="Compact"/>
              <w:jc w:val="left"/>
            </w:pPr>
            <w:r>
              <w:t xml:space="preserve">+++</w:t>
            </w:r>
          </w:p>
        </w:tc>
        <w:tc>
          <w:tcPr/>
          <w:p>
            <w:pPr>
              <w:pStyle w:val="Compact"/>
              <w:jc w:val="left"/>
            </w:pPr>
            <w:r>
              <w:t xml:space="preserve">2J 9</w:t>
            </w:r>
          </w:p>
        </w:tc>
        <w:tc>
          <w:tcPr/>
          <w:p>
            <w:pPr>
              <w:pStyle w:val="Compact"/>
              <w:jc w:val="left"/>
            </w:pPr>
            <w:r>
              <w:t xml:space="preserve">δε [20%] || ---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3J 11</w:t>
            </w:r>
          </w:p>
        </w:tc>
        <w:tc>
          <w:tcPr/>
          <w:p>
            <w:pPr>
              <w:pStyle w:val="Compact"/>
              <w:jc w:val="left"/>
            </w:pPr>
            <w:r>
              <w:t xml:space="preserve">δε [25%] || --- [75%]</w:t>
            </w:r>
          </w:p>
        </w:tc>
      </w:tr>
      <w:tr>
        <w:tc>
          <w:tcPr/>
          <w:p>
            <w:pPr>
              <w:pStyle w:val="Compact"/>
              <w:jc w:val="left"/>
            </w:pPr>
            <w:r>
              <w:t xml:space="preserve">++--</w:t>
            </w:r>
          </w:p>
        </w:tc>
        <w:tc>
          <w:tcPr/>
          <w:p>
            <w:pPr>
              <w:pStyle w:val="Compact"/>
              <w:jc w:val="left"/>
            </w:pPr>
            <w:r>
              <w:t xml:space="preserve">3J 12</w:t>
            </w:r>
          </w:p>
        </w:tc>
        <w:tc>
          <w:tcPr/>
          <w:p>
            <w:pPr>
              <w:pStyle w:val="Compact"/>
              <w:jc w:val="left"/>
            </w:pPr>
            <w:r>
              <w:t xml:space="preserve">οιδαμεν (23%) || οιδατε (61.5%) || οιδας (15.1%)</w:t>
            </w:r>
          </w:p>
        </w:tc>
      </w:tr>
    </w:tbl>
    <w:p>
      <w:pPr>
        <w:pStyle w:val="BodyText"/>
      </w:pPr>
      <w:r>
        <w:rPr>
          <w:bCs/>
          <w:b/>
        </w:rPr>
        <w:t xml:space="preserve">Brak dla Listu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(9)</w:t>
            </w:r>
          </w:p>
        </w:tc>
      </w:tr>
      <w:tr>
        <w:tc>
          <w:tcPr/>
          <w:p>
            <w:pPr>
              <w:pStyle w:val="Compact"/>
              <w:jc w:val="left"/>
            </w:pPr>
            <w:r>
              <w:t xml:space="preserve">++--</w:t>
            </w:r>
          </w:p>
        </w:tc>
        <w:tc>
          <w:tcPr/>
          <w:p>
            <w:pPr>
              <w:pStyle w:val="Compact"/>
              <w:jc w:val="left"/>
            </w:pPr>
            <w:r>
              <w:t xml:space="preserve">około 25% = całkiem dobre (16)</w:t>
            </w:r>
          </w:p>
        </w:tc>
      </w:tr>
      <w:tr>
        <w:tc>
          <w:tcPr/>
          <w:p>
            <w:pPr>
              <w:pStyle w:val="Compact"/>
              <w:jc w:val="left"/>
            </w:pPr>
            <w:r>
              <w:t xml:space="preserve">++</w:t>
            </w:r>
          </w:p>
        </w:tc>
        <w:tc>
          <w:tcPr/>
          <w:p>
            <w:pPr>
              <w:pStyle w:val="Compact"/>
              <w:jc w:val="left"/>
            </w:pPr>
            <w:r>
              <w:t xml:space="preserve">około 30% = niezłe (7)</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(6)</w:t>
            </w:r>
          </w:p>
        </w:tc>
      </w:tr>
    </w:tbl>
    <w:p>
      <w:pPr>
        <w:pStyle w:val="BodyText"/>
      </w:pPr>
      <w:r>
        <w:t xml:space="preserve">Łącznie: 49</w:t>
      </w:r>
    </w:p>
    <w:p>
      <w:pPr>
        <w:pStyle w:val="BodyText"/>
      </w:pPr>
      <w:r>
        <w:rPr>
          <w:bCs/>
          <w:b/>
        </w:rPr>
        <w:t xml:space="preserve">Objawienie Jana</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w:t>
            </w:r>
          </w:p>
        </w:tc>
        <w:tc>
          <w:tcPr/>
          <w:p>
            <w:pPr>
              <w:pStyle w:val="Compact"/>
              <w:jc w:val="left"/>
            </w:pPr>
            <w:r>
              <w:t xml:space="preserve">ἅ || ἁτινα || ---</w:t>
            </w:r>
          </w:p>
        </w:tc>
      </w:tr>
      <w:tr>
        <w:tc>
          <w:tcPr/>
          <w:p>
            <w:pPr>
              <w:pStyle w:val="Compact"/>
              <w:jc w:val="left"/>
            </w:pPr>
            <w:r>
              <w:t xml:space="preserve">+</w:t>
            </w:r>
          </w:p>
        </w:tc>
        <w:tc>
          <w:tcPr/>
          <w:p>
            <w:pPr>
              <w:pStyle w:val="Compact"/>
              <w:jc w:val="left"/>
            </w:pPr>
            <w:r>
              <w:t xml:space="preserve">1:5</w:t>
            </w:r>
          </w:p>
        </w:tc>
        <w:tc>
          <w:tcPr/>
          <w:p>
            <w:pPr>
              <w:pStyle w:val="Compact"/>
              <w:jc w:val="left"/>
            </w:pPr>
            <w:r>
              <w:t xml:space="preserve">εκ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μαζοις || μαστοις || μασθοις</w:t>
            </w:r>
          </w:p>
        </w:tc>
      </w:tr>
      <w:tr>
        <w:tc>
          <w:tcPr/>
          <w:p>
            <w:pPr>
              <w:pStyle w:val="Compact"/>
              <w:jc w:val="left"/>
            </w:pPr>
            <w:r>
              <w:t xml:space="preserve">+--</w:t>
            </w:r>
          </w:p>
        </w:tc>
        <w:tc>
          <w:tcPr/>
          <w:p>
            <w:pPr>
              <w:pStyle w:val="Compact"/>
              <w:jc w:val="left"/>
            </w:pPr>
            <w:r>
              <w:t xml:space="preserve">2:2</w:t>
            </w:r>
          </w:p>
        </w:tc>
        <w:tc>
          <w:tcPr/>
          <w:p>
            <w:pPr>
              <w:pStyle w:val="Compact"/>
              <w:jc w:val="left"/>
            </w:pPr>
            <w:r>
              <w:t xml:space="preserve">κοπον || 1 σου</w:t>
            </w:r>
          </w:p>
        </w:tc>
      </w:tr>
      <w:tr>
        <w:tc>
          <w:tcPr/>
          <w:p>
            <w:pPr>
              <w:pStyle w:val="Compact"/>
              <w:jc w:val="left"/>
            </w:pPr>
            <w:r>
              <w:t xml:space="preserve">++--</w:t>
            </w:r>
          </w:p>
        </w:tc>
        <w:tc>
          <w:tcPr/>
          <w:p>
            <w:pPr>
              <w:pStyle w:val="Compact"/>
              <w:jc w:val="left"/>
            </w:pPr>
            <w:r>
              <w:t xml:space="preserve">2:7</w:t>
            </w:r>
          </w:p>
        </w:tc>
        <w:tc>
          <w:tcPr/>
          <w:p>
            <w:pPr>
              <w:pStyle w:val="Compact"/>
              <w:jc w:val="left"/>
            </w:pPr>
            <w:r>
              <w:t xml:space="preserve">δωσω || 1 αυτω</w:t>
            </w:r>
          </w:p>
        </w:tc>
      </w:tr>
      <w:tr>
        <w:tc>
          <w:tcPr/>
          <w:p>
            <w:pPr>
              <w:pStyle w:val="Compact"/>
              <w:jc w:val="left"/>
            </w:pPr>
            <w:r>
              <w:t xml:space="preserve">++--</w:t>
            </w:r>
          </w:p>
        </w:tc>
        <w:tc>
          <w:tcPr/>
          <w:p>
            <w:pPr>
              <w:pStyle w:val="Compact"/>
              <w:jc w:val="left"/>
            </w:pPr>
            <w:r>
              <w:t xml:space="preserve">2:24</w:t>
            </w:r>
          </w:p>
        </w:tc>
        <w:tc>
          <w:tcPr/>
          <w:p>
            <w:pPr>
              <w:pStyle w:val="Compact"/>
              <w:jc w:val="left"/>
            </w:pPr>
            <w:r>
              <w:t xml:space="preserve">βαλω || βαλλω</w:t>
            </w:r>
          </w:p>
        </w:tc>
      </w:tr>
      <w:tr>
        <w:tc>
          <w:tcPr/>
          <w:p>
            <w:pPr>
              <w:pStyle w:val="Compact"/>
              <w:jc w:val="left"/>
            </w:pPr>
            <w:r>
              <w:t xml:space="preserve">+++</w:t>
            </w:r>
          </w:p>
        </w:tc>
        <w:tc>
          <w:tcPr/>
          <w:p>
            <w:pPr>
              <w:pStyle w:val="Compact"/>
              <w:jc w:val="left"/>
            </w:pPr>
            <w:r>
              <w:t xml:space="preserve">3:2</w:t>
            </w:r>
          </w:p>
        </w:tc>
        <w:tc>
          <w:tcPr/>
          <w:p>
            <w:pPr>
              <w:pStyle w:val="Compact"/>
              <w:jc w:val="left"/>
            </w:pPr>
            <w:r>
              <w:t xml:space="preserve">εμελλες αποβαλειν || 1 αποβαλλειν || ημελλες αποβαλλειν || itd.</w:t>
            </w:r>
          </w:p>
        </w:tc>
      </w:tr>
      <w:tr>
        <w:tc>
          <w:tcPr/>
          <w:p>
            <w:pPr>
              <w:pStyle w:val="Compact"/>
              <w:jc w:val="left"/>
            </w:pPr>
            <w:r>
              <w:t xml:space="preserve">+--</w:t>
            </w:r>
          </w:p>
        </w:tc>
        <w:tc>
          <w:tcPr/>
          <w:p>
            <w:pPr>
              <w:pStyle w:val="Compact"/>
              <w:jc w:val="left"/>
            </w:pPr>
            <w:r>
              <w:t xml:space="preserve">3:5</w:t>
            </w:r>
          </w:p>
        </w:tc>
        <w:tc>
          <w:tcPr/>
          <w:p>
            <w:pPr>
              <w:pStyle w:val="Compact"/>
              <w:jc w:val="left"/>
            </w:pPr>
            <w:r>
              <w:t xml:space="preserve">ουτως || ουτος</w:t>
            </w:r>
          </w:p>
        </w:tc>
      </w:tr>
      <w:tr>
        <w:tc>
          <w:tcPr/>
          <w:p>
            <w:pPr>
              <w:pStyle w:val="Compact"/>
              <w:jc w:val="left"/>
            </w:pPr>
            <w:r>
              <w:t xml:space="preserve">++</w:t>
            </w:r>
          </w:p>
        </w:tc>
        <w:tc>
          <w:tcPr/>
          <w:p>
            <w:pPr>
              <w:pStyle w:val="Compact"/>
              <w:jc w:val="left"/>
            </w:pPr>
            <w:r>
              <w:t xml:space="preserve">3:18</w:t>
            </w:r>
            <w:r>
              <w:rPr>
                <w:vertAlign w:val="superscript"/>
              </w:rPr>
              <w:t xml:space="preserve">a</w:t>
            </w:r>
          </w:p>
        </w:tc>
        <w:tc>
          <w:tcPr/>
          <w:p>
            <w:pPr>
              <w:pStyle w:val="Compact"/>
              <w:jc w:val="left"/>
            </w:pPr>
            <w:r>
              <w:t xml:space="preserve">κολλουριον || κουλουριον || κολλυριον</w:t>
            </w:r>
          </w:p>
        </w:tc>
      </w:tr>
      <w:tr>
        <w:tc>
          <w:tcPr/>
          <w:p>
            <w:pPr>
              <w:pStyle w:val="Compact"/>
              <w:jc w:val="left"/>
            </w:pPr>
            <w:r>
              <w:t xml:space="preserve">+++</w:t>
            </w:r>
          </w:p>
        </w:tc>
        <w:tc>
          <w:tcPr/>
          <w:p>
            <w:pPr>
              <w:pStyle w:val="Compact"/>
              <w:jc w:val="left"/>
            </w:pPr>
            <w:r>
              <w:t xml:space="preserve">3:18</w:t>
            </w:r>
            <w:r>
              <w:rPr>
                <w:vertAlign w:val="superscript"/>
              </w:rPr>
              <w:t xml:space="preserve">b</w:t>
            </w:r>
          </w:p>
        </w:tc>
        <w:tc>
          <w:tcPr/>
          <w:p>
            <w:pPr>
              <w:pStyle w:val="Compact"/>
              <w:jc w:val="left"/>
            </w:pPr>
            <w:r>
              <w:t xml:space="preserve">εγχρισον επι || 1 || ινα εγχριση || ινα εγχρισαι || εγχρισαι || itd.</w:t>
            </w:r>
          </w:p>
        </w:tc>
      </w:tr>
      <w:tr>
        <w:tc>
          <w:tcPr/>
          <w:p>
            <w:pPr>
              <w:pStyle w:val="Compact"/>
              <w:jc w:val="left"/>
            </w:pPr>
            <w:r>
              <w:t xml:space="preserve">+</w:t>
            </w:r>
          </w:p>
        </w:tc>
        <w:tc>
          <w:tcPr/>
          <w:p>
            <w:pPr>
              <w:pStyle w:val="Compact"/>
              <w:jc w:val="left"/>
            </w:pPr>
            <w:r>
              <w:t xml:space="preserve">4:3</w:t>
            </w:r>
          </w:p>
        </w:tc>
        <w:tc>
          <w:tcPr/>
          <w:p>
            <w:pPr>
              <w:pStyle w:val="Compact"/>
              <w:jc w:val="left"/>
            </w:pPr>
            <w:r>
              <w:t xml:space="preserve">ομοια || ομοιος || ομοιως</w:t>
            </w:r>
          </w:p>
        </w:tc>
      </w:tr>
      <w:tr>
        <w:tc>
          <w:tcPr/>
          <w:p>
            <w:pPr>
              <w:pStyle w:val="Compact"/>
              <w:jc w:val="left"/>
            </w:pPr>
            <w:r>
              <w:t xml:space="preserve">+++</w:t>
            </w:r>
          </w:p>
        </w:tc>
        <w:tc>
          <w:tcPr/>
          <w:p>
            <w:pPr>
              <w:pStyle w:val="Compact"/>
              <w:jc w:val="left"/>
            </w:pPr>
            <w:r>
              <w:t xml:space="preserve">4:4</w:t>
            </w:r>
          </w:p>
        </w:tc>
        <w:tc>
          <w:tcPr/>
          <w:p>
            <w:pPr>
              <w:pStyle w:val="Compact"/>
              <w:jc w:val="left"/>
            </w:pPr>
            <w:r>
              <w:t xml:space="preserve">ειδον || ---</w:t>
            </w:r>
          </w:p>
        </w:tc>
      </w:tr>
      <w:tr>
        <w:tc>
          <w:tcPr/>
          <w:p>
            <w:pPr>
              <w:pStyle w:val="Compact"/>
              <w:jc w:val="left"/>
            </w:pPr>
            <w:r>
              <w:t xml:space="preserve">+</w:t>
            </w:r>
          </w:p>
        </w:tc>
        <w:tc>
          <w:tcPr/>
          <w:p>
            <w:pPr>
              <w:pStyle w:val="Compact"/>
              <w:jc w:val="left"/>
            </w:pPr>
            <w:r>
              <w:t xml:space="preserve">4:6</w:t>
            </w:r>
          </w:p>
        </w:tc>
        <w:tc>
          <w:tcPr/>
          <w:p>
            <w:pPr>
              <w:pStyle w:val="Compact"/>
              <w:jc w:val="left"/>
            </w:pPr>
            <w:r>
              <w:t xml:space="preserve">κρυσταλω || κρυσταλλω</w:t>
            </w:r>
          </w:p>
        </w:tc>
      </w:tr>
      <w:tr>
        <w:tc>
          <w:tcPr/>
          <w:p>
            <w:pPr>
              <w:pStyle w:val="Compact"/>
              <w:jc w:val="left"/>
            </w:pPr>
            <w:r>
              <w:t xml:space="preserve">+++</w:t>
            </w:r>
          </w:p>
        </w:tc>
        <w:tc>
          <w:tcPr/>
          <w:p>
            <w:pPr>
              <w:pStyle w:val="Compact"/>
              <w:jc w:val="left"/>
            </w:pPr>
            <w:r>
              <w:t xml:space="preserve">4:8</w:t>
            </w:r>
          </w:p>
        </w:tc>
        <w:tc>
          <w:tcPr/>
          <w:p>
            <w:pPr>
              <w:pStyle w:val="Compact"/>
              <w:jc w:val="left"/>
            </w:pPr>
            <w:r>
              <w:t xml:space="preserve">λεγοντα || λεγοντες</w:t>
            </w:r>
          </w:p>
        </w:tc>
      </w:tr>
      <w:tr>
        <w:tc>
          <w:tcPr/>
          <w:p>
            <w:pPr>
              <w:pStyle w:val="Compact"/>
              <w:jc w:val="left"/>
            </w:pPr>
            <w:r>
              <w:t xml:space="preserve">+</w:t>
            </w:r>
          </w:p>
        </w:tc>
        <w:tc>
          <w:tcPr/>
          <w:p>
            <w:pPr>
              <w:pStyle w:val="Compact"/>
              <w:jc w:val="left"/>
            </w:pPr>
            <w:r>
              <w:t xml:space="preserve">5:2</w:t>
            </w:r>
          </w:p>
        </w:tc>
        <w:tc>
          <w:tcPr/>
          <w:p>
            <w:pPr>
              <w:pStyle w:val="Compact"/>
              <w:jc w:val="left"/>
            </w:pPr>
            <w:r>
              <w:t xml:space="preserve">αξιος || 1 εστιν</w:t>
            </w:r>
          </w:p>
        </w:tc>
      </w:tr>
      <w:tr>
        <w:tc>
          <w:tcPr/>
          <w:p>
            <w:pPr>
              <w:pStyle w:val="Compact"/>
              <w:jc w:val="left"/>
            </w:pPr>
            <w:r>
              <w:t xml:space="preserve">++--</w:t>
            </w:r>
          </w:p>
        </w:tc>
        <w:tc>
          <w:tcPr/>
          <w:p>
            <w:pPr>
              <w:pStyle w:val="Compact"/>
              <w:jc w:val="left"/>
            </w:pPr>
            <w:r>
              <w:t xml:space="preserve">6:8</w:t>
            </w:r>
          </w:p>
        </w:tc>
        <w:tc>
          <w:tcPr/>
          <w:p>
            <w:pPr>
              <w:pStyle w:val="Compact"/>
              <w:jc w:val="left"/>
            </w:pPr>
            <w:r>
              <w:t xml:space="preserve">θανατος || ο 1 || ο αθανατος</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των ανθρωπων || ---</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και || ---</w:t>
            </w:r>
          </w:p>
        </w:tc>
      </w:tr>
      <w:tr>
        <w:tc>
          <w:tcPr/>
          <w:p>
            <w:pPr>
              <w:pStyle w:val="Compact"/>
              <w:jc w:val="left"/>
            </w:pPr>
            <w:r>
              <w:t xml:space="preserve">+</w:t>
            </w:r>
          </w:p>
        </w:tc>
        <w:tc>
          <w:tcPr/>
          <w:p>
            <w:pPr>
              <w:pStyle w:val="Compact"/>
              <w:jc w:val="left"/>
            </w:pPr>
            <w:r>
              <w:t xml:space="preserve">8:9</w:t>
            </w:r>
          </w:p>
        </w:tc>
        <w:tc>
          <w:tcPr/>
          <w:p>
            <w:pPr>
              <w:pStyle w:val="Compact"/>
              <w:jc w:val="left"/>
            </w:pPr>
            <w:r>
              <w:t xml:space="preserve">διεφθαρησαν || διεφθαρη</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τρις || ---</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μονους || ---</w:t>
            </w:r>
          </w:p>
        </w:tc>
      </w:tr>
      <w:tr>
        <w:tc>
          <w:tcPr/>
          <w:p>
            <w:pPr>
              <w:pStyle w:val="Compact"/>
              <w:jc w:val="left"/>
            </w:pPr>
            <w:r>
              <w:t xml:space="preserve">+++</w:t>
            </w:r>
          </w:p>
        </w:tc>
        <w:tc>
          <w:tcPr/>
          <w:p>
            <w:pPr>
              <w:pStyle w:val="Compact"/>
              <w:jc w:val="left"/>
            </w:pPr>
            <w:r>
              <w:t xml:space="preserve">9:5</w:t>
            </w:r>
          </w:p>
        </w:tc>
        <w:tc>
          <w:tcPr/>
          <w:p>
            <w:pPr>
              <w:pStyle w:val="Compact"/>
              <w:jc w:val="left"/>
            </w:pPr>
            <w:r>
              <w:t xml:space="preserve">πληξη || παιση || πεση</w:t>
            </w:r>
          </w:p>
        </w:tc>
      </w:tr>
      <w:tr>
        <w:tc>
          <w:tcPr/>
          <w:p>
            <w:pPr>
              <w:pStyle w:val="Compact"/>
              <w:jc w:val="left"/>
            </w:pPr>
            <w:r>
              <w:t xml:space="preserve">+--</w:t>
            </w:r>
          </w:p>
        </w:tc>
        <w:tc>
          <w:tcPr/>
          <w:p>
            <w:pPr>
              <w:pStyle w:val="Compact"/>
              <w:jc w:val="left"/>
            </w:pPr>
            <w:r>
              <w:t xml:space="preserve">9:6</w:t>
            </w:r>
          </w:p>
        </w:tc>
        <w:tc>
          <w:tcPr/>
          <w:p>
            <w:pPr>
              <w:pStyle w:val="Compact"/>
              <w:jc w:val="left"/>
            </w:pPr>
            <w:r>
              <w:t xml:space="preserve">ζητουσιν || ζητησουσιν</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αββαδδων || αββαδων || αββααδων || αββααδδων || αβαδδων</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και την ημεραν || 1 εις 23 || 13 || ---</w:t>
            </w:r>
          </w:p>
        </w:tc>
      </w:tr>
      <w:tr>
        <w:tc>
          <w:tcPr/>
          <w:p>
            <w:pPr>
              <w:pStyle w:val="Compact"/>
              <w:jc w:val="left"/>
            </w:pPr>
            <w:r>
              <w:t xml:space="preserve">++</w:t>
            </w:r>
          </w:p>
        </w:tc>
        <w:tc>
          <w:tcPr/>
          <w:p>
            <w:pPr>
              <w:pStyle w:val="Compact"/>
              <w:jc w:val="left"/>
            </w:pPr>
            <w:r>
              <w:t xml:space="preserve">10:7</w:t>
            </w:r>
            <w:r>
              <w:rPr>
                <w:vertAlign w:val="superscript"/>
              </w:rPr>
              <w:t xml:space="preserve">a</w:t>
            </w:r>
          </w:p>
        </w:tc>
        <w:tc>
          <w:tcPr/>
          <w:p>
            <w:pPr>
              <w:pStyle w:val="Compact"/>
              <w:jc w:val="left"/>
            </w:pPr>
            <w:r>
              <w:t xml:space="preserve">τελεσθη || και 1 || και ετελεσθη</w:t>
            </w:r>
          </w:p>
        </w:tc>
      </w:tr>
      <w:tr>
        <w:tc>
          <w:tcPr/>
          <w:p>
            <w:pPr>
              <w:pStyle w:val="Compact"/>
              <w:jc w:val="left"/>
            </w:pPr>
            <w:r>
              <w:t xml:space="preserve">+</w:t>
            </w:r>
          </w:p>
        </w:tc>
        <w:tc>
          <w:tcPr/>
          <w:p>
            <w:pPr>
              <w:pStyle w:val="Compact"/>
              <w:jc w:val="left"/>
            </w:pPr>
            <w:r>
              <w:t xml:space="preserve">10:7</w:t>
            </w:r>
            <w:r>
              <w:rPr>
                <w:vertAlign w:val="superscript"/>
              </w:rPr>
              <w:t xml:space="preserve">b</w:t>
            </w:r>
          </w:p>
        </w:tc>
        <w:tc>
          <w:tcPr/>
          <w:p>
            <w:pPr>
              <w:pStyle w:val="Compact"/>
              <w:jc w:val="left"/>
            </w:pPr>
            <w:r>
              <w:t xml:space="preserve">ὅ || ως</w:t>
            </w:r>
          </w:p>
        </w:tc>
      </w:tr>
      <w:tr>
        <w:tc>
          <w:tcPr/>
          <w:p>
            <w:pPr>
              <w:pStyle w:val="Compact"/>
              <w:jc w:val="left"/>
            </w:pPr>
            <w:r>
              <w:t xml:space="preserve">++</w:t>
            </w:r>
          </w:p>
        </w:tc>
        <w:tc>
          <w:tcPr/>
          <w:p>
            <w:pPr>
              <w:pStyle w:val="Compact"/>
              <w:jc w:val="left"/>
            </w:pPr>
            <w:r>
              <w:t xml:space="preserve">10:7</w:t>
            </w:r>
            <w:r>
              <w:rPr>
                <w:vertAlign w:val="superscript"/>
              </w:rPr>
              <w:t xml:space="preserve">c</w:t>
            </w:r>
          </w:p>
        </w:tc>
        <w:tc>
          <w:tcPr/>
          <w:p>
            <w:pPr>
              <w:pStyle w:val="Compact"/>
              <w:jc w:val="left"/>
            </w:pPr>
            <w:r>
              <w:t xml:space="preserve">ευηγγελισατο || ευηγγελισεν || ευηγγελησε</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και ειστηκει ο αγγελος λεγων || 1 φωνη λεγουσα || 5 || λεγει</w:t>
            </w:r>
          </w:p>
        </w:tc>
      </w:tr>
      <w:tr>
        <w:tc>
          <w:tcPr/>
          <w:p>
            <w:pPr>
              <w:pStyle w:val="Compact"/>
              <w:jc w:val="left"/>
            </w:pPr>
            <w:r>
              <w:t xml:space="preserve">+</w:t>
            </w:r>
          </w:p>
        </w:tc>
        <w:tc>
          <w:tcPr/>
          <w:p>
            <w:pPr>
              <w:pStyle w:val="Compact"/>
              <w:jc w:val="left"/>
            </w:pPr>
            <w:r>
              <w:t xml:space="preserve">11:11</w:t>
            </w:r>
          </w:p>
        </w:tc>
        <w:tc>
          <w:tcPr/>
          <w:p>
            <w:pPr>
              <w:pStyle w:val="Compact"/>
              <w:jc w:val="left"/>
            </w:pPr>
            <w:r>
              <w:t xml:space="preserve">επ αυτους || εις 2 || εν αυτοις || αυτοις</w:t>
            </w:r>
          </w:p>
        </w:tc>
      </w:tr>
      <w:tr>
        <w:tc>
          <w:tcPr/>
          <w:p>
            <w:pPr>
              <w:pStyle w:val="Compact"/>
              <w:jc w:val="left"/>
            </w:pPr>
            <w:r>
              <w:t xml:space="preserve">+</w:t>
            </w:r>
          </w:p>
        </w:tc>
        <w:tc>
          <w:tcPr/>
          <w:p>
            <w:pPr>
              <w:pStyle w:val="Compact"/>
              <w:jc w:val="left"/>
            </w:pPr>
            <w:r>
              <w:t xml:space="preserve">11:17</w:t>
            </w:r>
          </w:p>
        </w:tc>
        <w:tc>
          <w:tcPr/>
          <w:p>
            <w:pPr>
              <w:pStyle w:val="Compact"/>
              <w:jc w:val="left"/>
            </w:pPr>
            <w:r>
              <w:t xml:space="preserve">και ο ερχομενος || ---</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μεγας πυρρος || 1 πυρος || ~ 21 || ~ πυρος 1</w:t>
            </w:r>
          </w:p>
        </w:tc>
      </w:tr>
      <w:tr>
        <w:tc>
          <w:tcPr/>
          <w:p>
            <w:pPr>
              <w:pStyle w:val="Compact"/>
              <w:jc w:val="left"/>
            </w:pPr>
            <w:r>
              <w:t xml:space="preserve">+++</w:t>
            </w:r>
          </w:p>
        </w:tc>
        <w:tc>
          <w:tcPr/>
          <w:p>
            <w:pPr>
              <w:pStyle w:val="Compact"/>
              <w:jc w:val="left"/>
            </w:pPr>
            <w:r>
              <w:t xml:space="preserve">12:4</w:t>
            </w:r>
          </w:p>
        </w:tc>
        <w:tc>
          <w:tcPr/>
          <w:p>
            <w:pPr>
              <w:pStyle w:val="Compact"/>
              <w:jc w:val="left"/>
            </w:pPr>
            <w:r>
              <w:t xml:space="preserve">τικτειν || τεκειν</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ηρπαγη || ηρπασθη</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του πολεμησαι || 2 || επολεμησαν</w:t>
            </w:r>
          </w:p>
        </w:tc>
      </w:tr>
      <w:tr>
        <w:tc>
          <w:tcPr/>
          <w:p>
            <w:pPr>
              <w:pStyle w:val="Compact"/>
              <w:jc w:val="left"/>
            </w:pPr>
            <w:r>
              <w:t xml:space="preserve">+</w:t>
            </w:r>
          </w:p>
        </w:tc>
        <w:tc>
          <w:tcPr/>
          <w:p>
            <w:pPr>
              <w:pStyle w:val="Compact"/>
              <w:jc w:val="left"/>
            </w:pPr>
            <w:r>
              <w:t xml:space="preserve">13:7</w:t>
            </w:r>
          </w:p>
        </w:tc>
        <w:tc>
          <w:tcPr/>
          <w:p>
            <w:pPr>
              <w:pStyle w:val="Compact"/>
              <w:jc w:val="left"/>
            </w:pPr>
            <w:r>
              <w:t xml:space="preserve">φυλην || 1 και λαον</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ινα2 || ---</w:t>
            </w:r>
          </w:p>
        </w:tc>
      </w:tr>
      <w:tr>
        <w:tc>
          <w:tcPr/>
          <w:p>
            <w:pPr>
              <w:pStyle w:val="Compact"/>
              <w:jc w:val="left"/>
            </w:pPr>
            <w:r>
              <w:t xml:space="preserve">+</w:t>
            </w:r>
          </w:p>
        </w:tc>
        <w:tc>
          <w:tcPr/>
          <w:p>
            <w:pPr>
              <w:pStyle w:val="Compact"/>
              <w:jc w:val="left"/>
            </w:pPr>
            <w:r>
              <w:t xml:space="preserve">14:6</w:t>
            </w:r>
          </w:p>
        </w:tc>
        <w:tc>
          <w:tcPr/>
          <w:p>
            <w:pPr>
              <w:pStyle w:val="Compact"/>
              <w:jc w:val="left"/>
            </w:pPr>
            <w:r>
              <w:t xml:space="preserve">αλλον αγγελον || 2 || ~ 21</w:t>
            </w:r>
          </w:p>
        </w:tc>
      </w:tr>
      <w:tr>
        <w:tc>
          <w:tcPr/>
          <w:p>
            <w:pPr>
              <w:pStyle w:val="Compact"/>
              <w:jc w:val="left"/>
            </w:pPr>
            <w:r>
              <w:t xml:space="preserve">+++</w:t>
            </w:r>
          </w:p>
        </w:tc>
        <w:tc>
          <w:tcPr/>
          <w:p>
            <w:pPr>
              <w:pStyle w:val="Compact"/>
              <w:jc w:val="left"/>
            </w:pPr>
            <w:r>
              <w:t xml:space="preserve">14:12</w:t>
            </w:r>
          </w:p>
        </w:tc>
        <w:tc>
          <w:tcPr/>
          <w:p>
            <w:pPr>
              <w:pStyle w:val="Compact"/>
              <w:jc w:val="left"/>
            </w:pPr>
            <w:r>
              <w:t xml:space="preserve">του ιησου || 2 || 2 χριστου</w:t>
            </w:r>
          </w:p>
        </w:tc>
      </w:tr>
      <w:tr>
        <w:tc>
          <w:tcPr/>
          <w:p>
            <w:pPr>
              <w:pStyle w:val="Compact"/>
              <w:jc w:val="left"/>
            </w:pPr>
            <w:r>
              <w:t xml:space="preserve">+</w:t>
            </w:r>
          </w:p>
        </w:tc>
        <w:tc>
          <w:tcPr/>
          <w:p>
            <w:pPr>
              <w:pStyle w:val="Compact"/>
              <w:jc w:val="left"/>
            </w:pPr>
            <w:r>
              <w:t xml:space="preserve">15:3</w:t>
            </w:r>
          </w:p>
        </w:tc>
        <w:tc>
          <w:tcPr/>
          <w:p>
            <w:pPr>
              <w:pStyle w:val="Compact"/>
              <w:jc w:val="left"/>
            </w:pPr>
            <w:r>
              <w:t xml:space="preserve">μωυσεος || μωυσεως || μωσεως</w:t>
            </w:r>
          </w:p>
        </w:tc>
      </w:tr>
      <w:tr>
        <w:tc>
          <w:tcPr/>
          <w:p>
            <w:pPr>
              <w:pStyle w:val="Compact"/>
              <w:jc w:val="left"/>
            </w:pPr>
            <w:r>
              <w:t xml:space="preserve">++--</w:t>
            </w:r>
          </w:p>
        </w:tc>
        <w:tc>
          <w:tcPr/>
          <w:p>
            <w:pPr>
              <w:pStyle w:val="Compact"/>
              <w:jc w:val="left"/>
            </w:pPr>
            <w:r>
              <w:t xml:space="preserve">15:4</w:t>
            </w:r>
          </w:p>
        </w:tc>
        <w:tc>
          <w:tcPr/>
          <w:p>
            <w:pPr>
              <w:pStyle w:val="Compact"/>
              <w:jc w:val="left"/>
            </w:pPr>
            <w:r>
              <w:t xml:space="preserve">αγιος ει || 1 || 2 || οσιος</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εκ του ουρανου || 12 ναου ||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 ---</w:t>
            </w:r>
          </w:p>
        </w:tc>
      </w:tr>
      <w:tr>
        <w:tc>
          <w:tcPr/>
          <w:p>
            <w:pPr>
              <w:pStyle w:val="Compact"/>
              <w:jc w:val="left"/>
            </w:pPr>
            <w:r>
              <w:t xml:space="preserve">+</w:t>
            </w:r>
          </w:p>
        </w:tc>
        <w:tc>
          <w:tcPr/>
          <w:p>
            <w:pPr>
              <w:pStyle w:val="Compact"/>
              <w:jc w:val="left"/>
            </w:pPr>
            <w:r>
              <w:t xml:space="preserve">17:8</w:t>
            </w:r>
          </w:p>
        </w:tc>
        <w:tc>
          <w:tcPr/>
          <w:p>
            <w:pPr>
              <w:pStyle w:val="Compact"/>
              <w:jc w:val="left"/>
            </w:pPr>
            <w:r>
              <w:t xml:space="preserve">βλεποντες || βλεποντων</w:t>
            </w:r>
          </w:p>
        </w:tc>
      </w:tr>
      <w:tr>
        <w:tc>
          <w:tcPr/>
          <w:p>
            <w:pPr>
              <w:pStyle w:val="Compact"/>
              <w:jc w:val="left"/>
            </w:pPr>
            <w:r>
              <w:t xml:space="preserve">+--</w:t>
            </w:r>
          </w:p>
        </w:tc>
        <w:tc>
          <w:tcPr/>
          <w:p>
            <w:pPr>
              <w:pStyle w:val="Compact"/>
              <w:jc w:val="left"/>
            </w:pPr>
            <w:r>
              <w:t xml:space="preserve">18:2</w:t>
            </w:r>
          </w:p>
        </w:tc>
        <w:tc>
          <w:tcPr/>
          <w:p>
            <w:pPr>
              <w:pStyle w:val="Compact"/>
              <w:jc w:val="left"/>
            </w:pPr>
            <w:r>
              <w:t xml:space="preserve">εν ισχυρα φωνη || 123 μεγαλη || 123 και μεγαλη || 23 || 23 μεγαλη || itd.</w:t>
            </w:r>
          </w:p>
        </w:tc>
      </w:tr>
      <w:tr>
        <w:tc>
          <w:tcPr/>
          <w:p>
            <w:pPr>
              <w:pStyle w:val="Compact"/>
              <w:jc w:val="left"/>
            </w:pPr>
            <w:r>
              <w:t xml:space="preserve">+</w:t>
            </w:r>
          </w:p>
        </w:tc>
        <w:tc>
          <w:tcPr/>
          <w:p>
            <w:pPr>
              <w:pStyle w:val="Compact"/>
              <w:jc w:val="left"/>
            </w:pPr>
            <w:r>
              <w:t xml:space="preserve">18:3</w:t>
            </w:r>
          </w:p>
        </w:tc>
        <w:tc>
          <w:tcPr/>
          <w:p>
            <w:pPr>
              <w:pStyle w:val="Compact"/>
              <w:jc w:val="left"/>
            </w:pPr>
            <w:r>
              <w:t xml:space="preserve">πεπωκεν || πεπωκασιν || πεπωτικεν || πεπτωκασιν || πεπτωκαν || πεπωκαν</w:t>
            </w:r>
          </w:p>
        </w:tc>
      </w:tr>
      <w:tr>
        <w:tc>
          <w:tcPr/>
          <w:p>
            <w:pPr>
              <w:pStyle w:val="Compact"/>
              <w:jc w:val="left"/>
            </w:pPr>
            <w:r>
              <w:t xml:space="preserve">+</w:t>
            </w:r>
          </w:p>
        </w:tc>
        <w:tc>
          <w:tcPr/>
          <w:p>
            <w:pPr>
              <w:pStyle w:val="Compact"/>
              <w:jc w:val="left"/>
            </w:pPr>
            <w:r>
              <w:t xml:space="preserve">18:7</w:t>
            </w:r>
          </w:p>
        </w:tc>
        <w:tc>
          <w:tcPr/>
          <w:p>
            <w:pPr>
              <w:pStyle w:val="Compact"/>
              <w:jc w:val="left"/>
            </w:pPr>
            <w:r>
              <w:t xml:space="preserve">βασανισμον || 1 και πενθος</w:t>
            </w:r>
          </w:p>
        </w:tc>
      </w:tr>
      <w:tr>
        <w:tc>
          <w:tcPr/>
          <w:p>
            <w:pPr>
              <w:pStyle w:val="Compact"/>
              <w:jc w:val="left"/>
            </w:pPr>
            <w:r>
              <w:t xml:space="preserve">+</w:t>
            </w:r>
          </w:p>
        </w:tc>
        <w:tc>
          <w:tcPr/>
          <w:p>
            <w:pPr>
              <w:pStyle w:val="Compact"/>
              <w:jc w:val="left"/>
            </w:pPr>
            <w:r>
              <w:t xml:space="preserve">18:14</w:t>
            </w:r>
            <w:r>
              <w:rPr>
                <w:vertAlign w:val="superscript"/>
              </w:rPr>
              <w:t xml:space="preserve">a</w:t>
            </w:r>
          </w:p>
        </w:tc>
        <w:tc>
          <w:tcPr/>
          <w:p>
            <w:pPr>
              <w:pStyle w:val="Compact"/>
              <w:jc w:val="left"/>
            </w:pPr>
            <w:r>
              <w:t xml:space="preserve">απωλοντο || απωλετο || απηλθεν</w:t>
            </w:r>
          </w:p>
        </w:tc>
      </w:tr>
      <w:tr>
        <w:tc>
          <w:tcPr/>
          <w:p>
            <w:pPr>
              <w:pStyle w:val="Compact"/>
              <w:jc w:val="left"/>
            </w:pPr>
            <w:r>
              <w:t xml:space="preserve">+</w:t>
            </w:r>
          </w:p>
        </w:tc>
        <w:tc>
          <w:tcPr/>
          <w:p>
            <w:pPr>
              <w:pStyle w:val="Compact"/>
              <w:jc w:val="left"/>
            </w:pPr>
            <w:r>
              <w:t xml:space="preserve">18:14</w:t>
            </w:r>
            <w:r>
              <w:rPr>
                <w:vertAlign w:val="superscript"/>
              </w:rPr>
              <w:t xml:space="preserve">b</w:t>
            </w:r>
          </w:p>
        </w:tc>
        <w:tc>
          <w:tcPr/>
          <w:p>
            <w:pPr>
              <w:pStyle w:val="Compact"/>
              <w:jc w:val="left"/>
            </w:pPr>
            <w:r>
              <w:t xml:space="preserve">ου μη ευρησεις αυτα || 12 ευρησης 4 || 12 ευρης 4 || 12 ευρησουσιν 4 || itd.</w:t>
            </w:r>
          </w:p>
        </w:tc>
      </w:tr>
      <w:tr>
        <w:tc>
          <w:tcPr/>
          <w:p>
            <w:pPr>
              <w:pStyle w:val="Compact"/>
              <w:jc w:val="left"/>
            </w:pPr>
            <w:r>
              <w:t xml:space="preserve">++--</w:t>
            </w:r>
          </w:p>
        </w:tc>
        <w:tc>
          <w:tcPr/>
          <w:p>
            <w:pPr>
              <w:pStyle w:val="Compact"/>
              <w:jc w:val="left"/>
            </w:pPr>
            <w:r>
              <w:t xml:space="preserve">18:17</w:t>
            </w:r>
          </w:p>
        </w:tc>
        <w:tc>
          <w:tcPr/>
          <w:p>
            <w:pPr>
              <w:pStyle w:val="Compact"/>
              <w:jc w:val="left"/>
            </w:pPr>
            <w:r>
              <w:t xml:space="preserve">ο επι των πλοιων πλεων || 2345 || 234 ομιλος || 234 ο ομιλος || itd.</w:t>
            </w:r>
          </w:p>
        </w:tc>
      </w:tr>
      <w:tr>
        <w:tc>
          <w:tcPr/>
          <w:p>
            <w:pPr>
              <w:pStyle w:val="Compact"/>
              <w:jc w:val="left"/>
            </w:pPr>
            <w:r>
              <w:t xml:space="preserve">+++</w:t>
            </w:r>
          </w:p>
        </w:tc>
        <w:tc>
          <w:tcPr/>
          <w:p>
            <w:pPr>
              <w:pStyle w:val="Compact"/>
              <w:jc w:val="left"/>
            </w:pPr>
            <w:r>
              <w:t xml:space="preserve">18:21</w:t>
            </w:r>
          </w:p>
        </w:tc>
        <w:tc>
          <w:tcPr/>
          <w:p>
            <w:pPr>
              <w:pStyle w:val="Compact"/>
              <w:jc w:val="left"/>
            </w:pPr>
            <w:r>
              <w:t xml:space="preserve">λεγων || 1 ουτως</w:t>
            </w:r>
          </w:p>
        </w:tc>
      </w:tr>
      <w:tr>
        <w:tc>
          <w:tcPr/>
          <w:p>
            <w:pPr>
              <w:pStyle w:val="Compact"/>
              <w:jc w:val="left"/>
            </w:pPr>
            <w:r>
              <w:t xml:space="preserve">+++</w:t>
            </w:r>
          </w:p>
        </w:tc>
        <w:tc>
          <w:tcPr/>
          <w:p>
            <w:pPr>
              <w:pStyle w:val="Compact"/>
              <w:jc w:val="left"/>
            </w:pPr>
            <w:r>
              <w:t xml:space="preserve">19:1</w:t>
            </w:r>
          </w:p>
        </w:tc>
        <w:tc>
          <w:tcPr/>
          <w:p>
            <w:pPr>
              <w:pStyle w:val="Compact"/>
              <w:jc w:val="left"/>
            </w:pPr>
            <w:r>
              <w:t xml:space="preserve">φωνην οχλου πολλου μεγαλην || ~ 1423 || 123 || φωνης 23</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το μετωπον αυτων || 12 || των μετωπων 3 ||</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ο ουρανος και η γη || ~ 45312</w:t>
            </w:r>
          </w:p>
        </w:tc>
      </w:tr>
      <w:tr>
        <w:tc>
          <w:tcPr/>
          <w:p>
            <w:pPr>
              <w:pStyle w:val="Compact"/>
              <w:jc w:val="left"/>
            </w:pPr>
            <w:r>
              <w:t xml:space="preserve">+++</w:t>
            </w:r>
          </w:p>
        </w:tc>
        <w:tc>
          <w:tcPr/>
          <w:p>
            <w:pPr>
              <w:pStyle w:val="Compact"/>
              <w:jc w:val="left"/>
            </w:pPr>
            <w:r>
              <w:t xml:space="preserve">20:12</w:t>
            </w:r>
            <w:r>
              <w:rPr>
                <w:vertAlign w:val="superscript"/>
              </w:rPr>
              <w:t xml:space="preserve">a</w:t>
            </w:r>
          </w:p>
        </w:tc>
        <w:tc>
          <w:tcPr/>
          <w:p>
            <w:pPr>
              <w:pStyle w:val="Compact"/>
              <w:jc w:val="left"/>
            </w:pPr>
            <w:r>
              <w:t xml:space="preserve">ανεωχθησαν || ηνεωχθησαν || ηνοιχθησαν || ηνοιξαν</w:t>
            </w:r>
          </w:p>
        </w:tc>
      </w:tr>
      <w:tr>
        <w:tc>
          <w:tcPr/>
          <w:p>
            <w:pPr>
              <w:pStyle w:val="Compact"/>
              <w:jc w:val="left"/>
            </w:pPr>
            <w:r>
              <w:t xml:space="preserve">++--</w:t>
            </w:r>
          </w:p>
        </w:tc>
        <w:tc>
          <w:tcPr/>
          <w:p>
            <w:pPr>
              <w:pStyle w:val="Compact"/>
              <w:jc w:val="left"/>
            </w:pPr>
            <w:r>
              <w:t xml:space="preserve">20:12</w:t>
            </w:r>
            <w:r>
              <w:rPr>
                <w:vertAlign w:val="superscript"/>
              </w:rPr>
              <w:t xml:space="preserve">b</w:t>
            </w:r>
          </w:p>
        </w:tc>
        <w:tc>
          <w:tcPr/>
          <w:p>
            <w:pPr>
              <w:pStyle w:val="Compact"/>
              <w:jc w:val="left"/>
            </w:pPr>
            <w:r>
              <w:t xml:space="preserve">ανεωχθη || ηνεωχθη || ηνοιχθη</w:t>
            </w:r>
          </w:p>
        </w:tc>
      </w:tr>
      <w:tr>
        <w:tc>
          <w:tcPr/>
          <w:p>
            <w:pPr>
              <w:pStyle w:val="Compact"/>
              <w:jc w:val="left"/>
            </w:pPr>
            <w:r>
              <w:t xml:space="preserve">+++</w:t>
            </w:r>
          </w:p>
        </w:tc>
        <w:tc>
          <w:tcPr/>
          <w:p>
            <w:pPr>
              <w:pStyle w:val="Compact"/>
              <w:jc w:val="left"/>
            </w:pPr>
            <w:r>
              <w:t xml:space="preserve">20:14</w:t>
            </w:r>
          </w:p>
        </w:tc>
        <w:tc>
          <w:tcPr/>
          <w:p>
            <w:pPr>
              <w:pStyle w:val="Compact"/>
              <w:jc w:val="left"/>
            </w:pPr>
            <w:r>
              <w:t xml:space="preserve">εστιν ο θανατος ο δευτερος || ~ 1453 || ~ 23451 || ~ 2351 || -- - || ~ 4531</w:t>
            </w:r>
          </w:p>
        </w:tc>
      </w:tr>
      <w:tr>
        <w:tc>
          <w:tcPr/>
          <w:p>
            <w:pPr>
              <w:pStyle w:val="Compact"/>
              <w:jc w:val="left"/>
            </w:pPr>
            <w:r>
              <w:t xml:space="preserve">+</w:t>
            </w:r>
          </w:p>
        </w:tc>
        <w:tc>
          <w:tcPr/>
          <w:p>
            <w:pPr>
              <w:pStyle w:val="Compact"/>
              <w:jc w:val="left"/>
            </w:pPr>
            <w:r>
              <w:t xml:space="preserve">21:5</w:t>
            </w:r>
          </w:p>
        </w:tc>
        <w:tc>
          <w:tcPr/>
          <w:p>
            <w:pPr>
              <w:pStyle w:val="Compact"/>
              <w:jc w:val="left"/>
            </w:pPr>
            <w:r>
              <w:t xml:space="preserve">καινα ποιω παντα || ~ 312 || ||</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αρχη και τελος || η 12 το 3 || και η 12 το 3</w:t>
            </w:r>
          </w:p>
        </w:tc>
      </w:tr>
      <w:tr>
        <w:tc>
          <w:tcPr/>
          <w:p>
            <w:pPr>
              <w:pStyle w:val="Compact"/>
              <w:jc w:val="left"/>
            </w:pPr>
            <w:r>
              <w:t xml:space="preserve">++--</w:t>
            </w:r>
          </w:p>
        </w:tc>
        <w:tc>
          <w:tcPr/>
          <w:p>
            <w:pPr>
              <w:pStyle w:val="Compact"/>
              <w:jc w:val="left"/>
            </w:pPr>
            <w:r>
              <w:t xml:space="preserve">21:10</w:t>
            </w:r>
          </w:p>
        </w:tc>
        <w:tc>
          <w:tcPr/>
          <w:p>
            <w:pPr>
              <w:pStyle w:val="Compact"/>
              <w:jc w:val="left"/>
            </w:pPr>
            <w:r>
              <w:t xml:space="preserve">την μεγαλην την αγιαν || 12 και 4 || 34</w:t>
            </w:r>
          </w:p>
        </w:tc>
      </w:tr>
      <w:tr>
        <w:tc>
          <w:tcPr/>
          <w:p>
            <w:pPr>
              <w:pStyle w:val="Compact"/>
              <w:jc w:val="left"/>
            </w:pPr>
            <w:r>
              <w:t xml:space="preserve">+</w:t>
            </w:r>
          </w:p>
        </w:tc>
        <w:tc>
          <w:tcPr/>
          <w:p>
            <w:pPr>
              <w:pStyle w:val="Compact"/>
              <w:jc w:val="left"/>
            </w:pPr>
            <w:r>
              <w:t xml:space="preserve">21:24</w:t>
            </w:r>
          </w:p>
        </w:tc>
        <w:tc>
          <w:tcPr/>
          <w:p>
            <w:pPr>
              <w:pStyle w:val="Compact"/>
              <w:jc w:val="left"/>
            </w:pPr>
            <w:r>
              <w:t xml:space="preserve">την δοξαν και την τιμην αυτων εις αυτην || 12678 || αυτω 235 των εθνων 78 ||</w:t>
            </w:r>
          </w:p>
        </w:tc>
      </w:tr>
      <w:tr>
        <w:tc>
          <w:tcPr/>
          <w:p>
            <w:pPr>
              <w:pStyle w:val="Compact"/>
              <w:jc w:val="left"/>
            </w:pPr>
            <w:r>
              <w:t xml:space="preserve">+--</w:t>
            </w:r>
          </w:p>
        </w:tc>
        <w:tc>
          <w:tcPr/>
          <w:p>
            <w:pPr>
              <w:pStyle w:val="Compact"/>
              <w:jc w:val="left"/>
            </w:pPr>
            <w:r>
              <w:t xml:space="preserve">22:2</w:t>
            </w:r>
          </w:p>
        </w:tc>
        <w:tc>
          <w:tcPr/>
          <w:p>
            <w:pPr>
              <w:pStyle w:val="Compact"/>
              <w:jc w:val="left"/>
            </w:pPr>
            <w:r>
              <w:t xml:space="preserve">εκαστον αποδιδους || 1 αποδιδον || 1 αποδιδουν || ~ 21 || ~ 2 εκαστος</w:t>
            </w:r>
          </w:p>
        </w:tc>
      </w:tr>
    </w:tbl>
    <w:p>
      <w:pPr>
        <w:pStyle w:val="BodyText"/>
      </w:pPr>
      <w:r>
        <w:rPr>
          <w:bCs/>
          <w:b/>
        </w:rPr>
        <w:t xml:space="preserve">Klucz:</w:t>
      </w:r>
    </w:p>
    <w:tbl>
      <w:tblPr>
        <w:tblStyle w:val="Table"/>
        <w:tblW w:type="pct" w:w="5000"/>
        <w:tblLook w:firstRow="0" w:lastRow="0" w:firstColumn="0" w:lastColumn="0" w:noHBand="0" w:noVBand="0" w:val="0000"/>
        <w:jc w:val="start"/>
      </w:tblPr>
      <w:tblGrid>
        <w:gridCol w:w="628"/>
        <w:gridCol w:w="7291"/>
      </w:tblGrid>
      <w:tr>
        <w:tc>
          <w:tcPr/>
          <w:p>
            <w:pPr>
              <w:pStyle w:val="Compact"/>
              <w:jc w:val="left"/>
            </w:pPr>
            <w:r>
              <w:t xml:space="preserve">+++</w:t>
            </w:r>
          </w:p>
        </w:tc>
        <w:tc>
          <w:tcPr/>
          <w:p>
            <w:pPr>
              <w:pStyle w:val="Compact"/>
              <w:jc w:val="left"/>
            </w:pPr>
            <w:r>
              <w:t xml:space="preserve">tylko</w:t>
            </w:r>
            <w:r>
              <w:t xml:space="preserve"> </w:t>
            </w:r>
            <w:r>
              <w:rPr>
                <w:bCs/>
                <w:b/>
              </w:rPr>
              <w:t xml:space="preserve">f</w:t>
            </w:r>
            <w:r>
              <w:rPr>
                <w:vertAlign w:val="superscript"/>
                <w:bCs/>
                <w:b/>
              </w:rPr>
              <w:t xml:space="preserve">35</w:t>
            </w:r>
            <w:r>
              <w:t xml:space="preserve">, albo praktycznie tylko (15)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część innej rodziny (małej) (10)</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plus (7)</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mniej niż którakolwiek z dwóch pozostałych głównych linii przekazu (25)</w:t>
            </w:r>
          </w:p>
        </w:tc>
      </w:tr>
    </w:tbl>
    <w:p>
      <w:pPr>
        <w:pStyle w:val="BodyText"/>
      </w:pPr>
      <w:r>
        <w:t xml:space="preserve">Łącznie: 62</w:t>
      </w:r>
    </w:p>
    <w:p>
      <w:pPr>
        <w:pStyle w:val="BodyText"/>
      </w:pPr>
      <w:r>
        <w:t xml:space="preserve">Oto dane zbiorcze dla całego Nowego Testamentu.</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(161)</w:t>
            </w:r>
          </w:p>
        </w:tc>
      </w:tr>
      <w:tr>
        <w:tc>
          <w:tcPr/>
          <w:p>
            <w:pPr>
              <w:pStyle w:val="Compact"/>
              <w:jc w:val="left"/>
            </w:pPr>
            <w:r>
              <w:t xml:space="preserve">++--</w:t>
            </w:r>
          </w:p>
        </w:tc>
        <w:tc>
          <w:tcPr/>
          <w:p>
            <w:pPr>
              <w:pStyle w:val="Compact"/>
              <w:jc w:val="left"/>
            </w:pPr>
            <w:r>
              <w:t xml:space="preserve">około 25% = całkiem dobre (144)</w:t>
            </w:r>
          </w:p>
        </w:tc>
      </w:tr>
      <w:tr>
        <w:tc>
          <w:tcPr/>
          <w:p>
            <w:pPr>
              <w:pStyle w:val="Compact"/>
              <w:jc w:val="left"/>
            </w:pPr>
            <w:r>
              <w:t xml:space="preserve">++</w:t>
            </w:r>
          </w:p>
        </w:tc>
        <w:tc>
          <w:tcPr/>
          <w:p>
            <w:pPr>
              <w:pStyle w:val="Compact"/>
              <w:jc w:val="left"/>
            </w:pPr>
            <w:r>
              <w:t xml:space="preserve">około 30% = niezłe (153)</w:t>
            </w:r>
          </w:p>
        </w:tc>
      </w:tr>
      <w:tr>
        <w:tc>
          <w:tcPr/>
          <w:p>
            <w:pPr>
              <w:pStyle w:val="Compact"/>
              <w:jc w:val="left"/>
            </w:pPr>
            <w:r>
              <w:t xml:space="preserve">+--</w:t>
            </w:r>
          </w:p>
        </w:tc>
        <w:tc>
          <w:tcPr/>
          <w:p>
            <w:pPr>
              <w:pStyle w:val="Compact"/>
              <w:jc w:val="left"/>
            </w:pPr>
            <w:r>
              <w:t xml:space="preserve">około 35% (81)</w:t>
            </w:r>
          </w:p>
        </w:tc>
      </w:tr>
      <w:tr>
        <w:tc>
          <w:tcPr/>
          <w:p>
            <w:pPr>
              <w:pStyle w:val="Compact"/>
              <w:jc w:val="left"/>
            </w:pPr>
            <w:r>
              <w:t xml:space="preserve">+</w:t>
            </w:r>
          </w:p>
        </w:tc>
        <w:tc>
          <w:tcPr/>
          <w:p>
            <w:pPr>
              <w:pStyle w:val="Compact"/>
              <w:jc w:val="left"/>
            </w:pPr>
            <w:r>
              <w:t xml:space="preserve">około 40% (119)</w:t>
            </w:r>
          </w:p>
        </w:tc>
      </w:tr>
    </w:tbl>
    <w:p>
      <w:pPr>
        <w:pStyle w:val="BodyText"/>
      </w:pPr>
      <w:r>
        <w:rPr>
          <w:bCs/>
          <w:b/>
        </w:rPr>
        <w:t xml:space="preserve">Łącznie: 658</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można wykazać formę archetypalną. Gdyby Bóg zachowywał oryginalne sformułowania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jak dotąd widziałem.</w:t>
      </w:r>
    </w:p>
    <w:bookmarkEnd w:id="207"/>
    <w:bookmarkStart w:id="217" w:name="epistemologia"/>
    <w:p>
      <w:pPr>
        <w:pStyle w:val="Heading2"/>
      </w:pPr>
      <w:r>
        <w:t xml:space="preserve">Epistemologia</w:t>
      </w:r>
    </w:p>
    <w:p>
      <w:pPr>
        <w:pStyle w:val="FirstParagraph"/>
      </w:pPr>
      <w:r>
        <w:t xml:space="preserve">Drogi czytelniku, pozwól, że zasugeruję, iż kwestia epistemologii nie otrzymała należnej jej uwagi w obrębie dyscypliny krytyki tekstu Nowego Testamentu. Epistemologia zajmuje się naturą wiedzy, w tym jej pochodzeniem i podstawami. Skąd pochodzi wiedza? „Bojaźń Pana jest początkiem wiedzy” (Księga Przysłów 1,7). Czy to się zgadza? Może się zgadzać tylko wtedy, gdy Suwerenny Stwórca istnieje — bojaźń przed nieistniejącą istotą nie doprowadzi do prawdziwej wiedzy. Każdy ewolucjonista w naturalny sposób wykluczy ponadnaturalność z każdego tworzonego przez siebie modelu, podobnie jak uczynił to Fenton John Anthony Hort. Zauważ, że taki model nie dopuszcza możliwości istnienia natchnionego przez Boga Nowego Testamentu. Hipoteza ewolucyjna, jako teoria pochodzenia, jest naukowo niemożliwa, otaczające nas dowody wyraźnie wskazują na istnienie niewiarygodnie inteligentnego i potężnego Stwórcy.</w:t>
      </w:r>
    </w:p>
    <w:p>
      <w:pPr>
        <w:pStyle w:val="BodyText"/>
      </w:pPr>
      <w:r>
        <w:t xml:space="preserve">Jeśli Stwórca istnieje i jeśli przekazał naszej rasie pisemne Objawienie, nic nie powinno być dla nas ważniejsze niż poznanie tego, co powiedział. Oczywiście dlatego, że będzie On Źródłem wszelkiej prawdziwej wiedzy. Zatrzymaj się i pomyśl. Jeśli jakaś Istota stworzyła naszą planetę wraz ze wszystkim, co się na niej znajduje, w tym wszystkie formy życia (rośliny są żywe), a zwłaszcza naszą zdolność rozumowania,</w:t>
      </w:r>
      <w:r>
        <w:rPr>
          <w:rStyle w:val="FootnoteReference"/>
        </w:rPr>
        <w:footnoteReference w:id="208"/>
      </w:r>
      <w:r>
        <w:t xml:space="preserve"> </w:t>
      </w:r>
      <w:r>
        <w:t xml:space="preserve">oczywiście jest On kompetentny, aby udzielić nam poprawnych informacji o tym, co stworzył. Jest Źródłem obiektywnej prawdy o naszej planecie. Skąd cokolwiek „wiemy”? Tylko wtedy, gdy sami tego doświadczyliśmy albo gdy doświadczył tego ktoś inny i nam o tym powiedział. Co jednak się dzieje, gdy doświadczenia są ze sobą sprzeczne? I skąd możemy wiedzieć, czy lub kiedy poprawnie interpretujemy doświadczenie? I jak możemy radzić sobie ze sprzecznymi interpretacjami?</w:t>
      </w:r>
    </w:p>
    <w:p>
      <w:pPr>
        <w:pStyle w:val="BodyText"/>
      </w:pPr>
      <w:r>
        <w:t xml:space="preserve">Jeśli nie ma Stwórcy, który udzieliłby nam poprawnych informacji, nasza „wiedza” jest skazana na to, by zawsze pozostawać częściowa i niepewna, o ile nie jest niebezpiecznie błędna. Dotyczy to w równym stopniu tych, którzy udają, że Stwórca nie istnieje. Rezultatem jest rozpacz relatywizmu i nieustanna niepewność co do wszystkiego, co nie należy do nauk ścisłych. Król Salomon był wystarczająco mądry, by dojść do tego wniosku 3000 lat temu: „Marność nad marnościami, wszystko jest marnością!” (Księga Koheleta 1,2).</w:t>
      </w:r>
    </w:p>
    <w:p>
      <w:pPr>
        <w:pStyle w:val="BodyText"/>
      </w:pPr>
      <w:r>
        <w:t xml:space="preserve">Szatan od 6000 lat napełnia świat sofizmatami, więc nie ma w nim końca fałszywej „wiedzy” — nie najmniej w „nauce” krytyki tekstu Nowego Testamentu. Ktoś, kto twierdzi, że jest chrześcijaninem, a wyklucza ponadnaturalność ze swojego modelu roboczego, wikła się w fundamentalną sprzeczność epistemologiczną. Twierdzi, że jest chrześcijaninem, lecz pracuje jak ateista. Każdy, kto wyklucza ponadnaturalność ze swojego myślenia, w oczywisty sposób nie ma Ducha Świętego, a zatem jest całkowicie wystawiony na szatańską ingerencję w swój umysł.</w:t>
      </w:r>
      <w:r>
        <w:rPr>
          <w:rStyle w:val="FootnoteReference"/>
        </w:rPr>
        <w:footnoteReference w:id="209"/>
      </w:r>
    </w:p>
    <w:p>
      <w:pPr>
        <w:pStyle w:val="BodyText"/>
      </w:pPr>
      <w:r>
        <w:t xml:space="preserve">Nie wystarczy, by ktoś twierdził, że próbuje jedynie zachować neutralność, ani Bóg, ani Szatan nie pozwolą na neutralność. Suwerenny Stwórca, gdy chodził po tej ziemi jako Jezus, wypowiedział się na ten temat zupełnie jasno. „Kto nie jest ze mną, jest przeciwko mnie, a kto ze mną nie zbiera, rozprasza” (Ewangelia Mateusza 12,30, Ewangelia Łukasza 11,23). Proszę zauważyć, że obejmuje to zarówno to, w co wierzymy, jak i to, co robimy: rozpraszanie jest działaniem. Pracować jak ateista to być przeciwko Jezusowi. Uprawiać ateistyczną krytykę tekstu to być przeciwko Jezusowi. Neutralność nie istnieje.</w:t>
      </w:r>
    </w:p>
    <w:p>
      <w:pPr>
        <w:pStyle w:val="BodyText"/>
      </w:pPr>
      <w:r>
        <w:t xml:space="preserve">W 1881 roku, gdy Westcott i Hort opublikowali swoje dwutomowe dzieło, John William Burgon natychmiast zaczął wykazywać, że ich teoria i praca były sprzeczne z dowodami empirycznymi. Biograf Burgona napisał: „Burgon był w tym kraju (Anglii) czołowym nauczycielem religijnym swoich czasów”.</w:t>
      </w:r>
      <w:r>
        <w:rPr>
          <w:rStyle w:val="FootnoteReference"/>
        </w:rPr>
        <w:footnoteReference w:id="210"/>
      </w:r>
      <w:r>
        <w:t xml:space="preserve"> </w:t>
      </w:r>
      <w:r>
        <w:t xml:space="preserve">Burgon był człowiekiem o niekwestionowanej erudycji, jego biograf wymienia ponad pięćdziesiąt opublikowanych dzieł z bardzo różnorodnych dziedzin. Jego indeks cytatów z Nowego Testamentu u wczesnych przywódców chrześcijańskich składa się z szesnastu grubych tomów rękopiśmiennych, znajdujących się w British Library, zawiera on 86 489 cytatów.</w:t>
      </w:r>
      <w:r>
        <w:rPr>
          <w:rStyle w:val="FootnoteReference"/>
        </w:rPr>
        <w:footnoteReference w:id="211"/>
      </w:r>
      <w:r>
        <w:t xml:space="preserve"> </w:t>
      </w:r>
      <w:r>
        <w:t xml:space="preserve">Dorobkowi Burgona w tym obszarze całej dziedziny nigdy nie dorównano. Być może jest on jedyną osobą, żyjącą lub zmarłą, która osobiście skolacjonowała w całości każdy z pięciu wielkich wczesnych kodeksów majuskułowych (znanych za jego życia) — ℵ, A, B, C, D — w zakresie Nowego Testamentu. Skatalogował 374 greckie manuskrypty, a w tamtych czasach nie istniały nawet mikrofilmy, musiał osobiście udać się do każdego miejsca, w którym przechowywano dany manuskrypt.</w:t>
      </w:r>
    </w:p>
    <w:p>
      <w:pPr>
        <w:pStyle w:val="BodyText"/>
      </w:pPr>
      <w:r>
        <w:t xml:space="preserve">Ponieważ Burgon znał dowody empiryczne z pierwszej ręki, jego obalenie teorii Horta nigdy nie doczekało się odpowiedzi, przynajmniej odpowiedzi opartej na dowodach. Albo go ignorowano, albo przedstawiano w fałszywym świetle: „on tylko liczy manuskrypty” — przewrotne (i groteskowe) kłamstwo, „on po prostu nie rozumie genealogii” — równie przewrotne i równie fałszywe.</w:t>
      </w:r>
      <w:r>
        <w:rPr>
          <w:rStyle w:val="FootnoteReference"/>
        </w:rPr>
        <w:footnoteReference w:id="212"/>
      </w:r>
      <w:r>
        <w:t xml:space="preserve"> </w:t>
      </w:r>
      <w:r>
        <w:t xml:space="preserve">Jednak najbardziej krzykliwym i nieustającym zarzutem było to, że jego argumentacja miała charakter teologiczny, ponieważ wierzył w boskie natchnienie Nowego Testamentu i go bronił. Właśnie tutaj pojawia się epistemologia: ataki na Burgona były w rzeczywistości atakami złośliwej epistemologii na pobożną epistemologię.</w:t>
      </w:r>
    </w:p>
    <w:p>
      <w:pPr>
        <w:pStyle w:val="BodyText"/>
      </w:pPr>
      <w:r>
        <w:t xml:space="preserve">W żadnej dziedzinie nie da się pracować bez założeń. Dlatego krytykowanie kogoś za to, że je posiada, jest przewrotne. Założenia mogą jednak i powinny być oceniane. Po dokonaniu oceny dane założenie można zasadnie skrytykować. Konkretne (empiryczne) dowody są przypuszczalnie takie same dla wszystkich, lecz interpretacja nadawana dowodom będzie kontrolowana (albo przynajmniej pozostanie pod silnym wpływem) przez założenia danej osoby. Wynika z tego, że każdy uczciwy uczony powinien otwarcie przedstawić swoje założenia. Zaniechanie tego jest naganne.</w:t>
      </w:r>
      <w:r>
        <w:rPr>
          <w:rStyle w:val="FootnoteReference"/>
        </w:rPr>
        <w:footnoteReference w:id="213"/>
      </w:r>
      <w:r>
        <w:t xml:space="preserve"> </w:t>
      </w:r>
      <w:r>
        <w:t xml:space="preserve">Gdy ktoś, kto nie przedstawia swoich założeń, krytykuje za to inną osobę, jest to czymś gorszym niż przewrotność — udawanie, że samemu nie ma się żadnych założeń, jest niegodziwe (no dobrze, być może taka osoba ma jedynie wyprany umysł i została zaślepiona).</w:t>
      </w:r>
    </w:p>
    <w:p>
      <w:pPr>
        <w:pStyle w:val="BodyText"/>
      </w:pPr>
      <w:r>
        <w:t xml:space="preserve">Chociaż jako uczony nie dorównuję Burgonowi (życie z rdzennym ludem w amazońskiej dżungli nie pozwalało na badania naukowe), ja również byłem nieustannie krytykowany za otwarte wyznawanie wiary w to, że Bóg zarówno natchnął, jak i zachował Nowy Testament. Zarzuca się nawet, że takie przekonanie uniemożliwia prowadzenie obiektywnej pracy naukowej. No, no, no, skoro sługa Boga nie może wykonywać obiektywnej pracy naukowej, to sługa Szatana z całą pewnością także nie może tego robić. Na jakiej zatem podstawie sługa Szatana krytykuje sługę Boga? Czyni to na podstawie swoich założeń, swojej epistemologii.</w:t>
      </w:r>
    </w:p>
    <w:p>
      <w:pPr>
        <w:pStyle w:val="BodyText"/>
      </w:pPr>
      <w:r>
        <w:t xml:space="preserve">Pewien brat mieszkający w Kurytybie, stolicy stanu Parana, napisał niedawno wprowadzenie do książki w języku portugalskim, której jestem współautorem. Chwali w nim moją pracę z punktu widzenia epistemologii. Jego argument wydał mi się tak interesujący (zainspirował ten artykuł), że go przetłumaczyłem, przesłałem mu tłumaczenie, aby upewnić się, że dobrze go zrozumiałem, i poprosiłem o zgodę na jego wykorzystanie. Nazywa się Carlos Eduardo Rangel Xavier. Proszę, abyście skupili się na jego argumencie i nie dali się rozproszyć pochwałom.</w:t>
      </w:r>
    </w:p>
    <w:p>
      <w:pPr>
        <w:pStyle w:val="BlockText"/>
      </w:pPr>
      <w:r>
        <w:t xml:space="preserve">Praca dr. Pickeringa w obrębie krytyki tekstu Nowego Testamentu (chociaż on sam nie uważa się za krytyka tekstu</w:t>
      </w:r>
      <w:r>
        <w:rPr>
          <w:rStyle w:val="FootnoteReference"/>
        </w:rPr>
        <w:footnoteReference w:id="214"/>
      </w:r>
      <w:r>
        <w:t xml:space="preserve">), zwłaszcza w zakresie kolacjonowania manuskryptów, jest imponująca i niezrównana. Co więcej, jego teoria dotycząca zachowania Nowego Testamentu za pośrednictwem grupy manuskryptów, którą określa mianem Rodziny 35, odznacza się równie imponującą solidnością epistemologiczną, rygorem metodologicznym i wartością apologetyczną.</w:t>
      </w:r>
    </w:p>
    <w:p>
      <w:pPr>
        <w:pStyle w:val="BlockText"/>
      </w:pPr>
      <w:r>
        <w:t xml:space="preserve">Z epistemologicznego i apologetycznego punktu widzenia jego praca wychodzi od założonej przesłanki, że Bóg przekazał rasie ludzkiej pisemne objawienie, co nie miałoby sensu, gdyby Jego Boska opatrzność nie miała zachować tego pisemnego objawienia. Jak w przypadku każdej epistemologicznej pierwszej zasady, punkt ten musi zostać przyjęty jako założenie, a dr Pickering zawsze nalegał, aby bardzo jasno przedstawiać swoje założenia, wykazując tym samym uczciwość intelektualną.</w:t>
      </w:r>
    </w:p>
    <w:p>
      <w:pPr>
        <w:pStyle w:val="BlockText"/>
      </w:pPr>
      <w:r>
        <w:t xml:space="preserve">Jednak imponujący rygor metodologiczny teorii dr. Pickeringa ujawnia się w analizie dowodów empirycznych.</w:t>
      </w:r>
    </w:p>
    <w:p>
      <w:pPr>
        <w:pStyle w:val="BlockText"/>
      </w:pPr>
      <w:r>
        <w:t xml:space="preserve">Chociaż nalegam, by podkreślić, że jego teoria ma założeniową podstawę epistemologiczną, przedstawię jednak rozważenie dowodów empirycznych, posługując się zupełnie inną osią. W następstwie wpływu, jaki uczeni tacy jak Alvin Plantinga i William Lane Craig wywarli ostatnio na moje studia, posłużę się teraz logiką modalną, aby pracować na gruncie apologetyki dowodowej.</w:t>
      </w:r>
    </w:p>
    <w:p>
      <w:pPr>
        <w:pStyle w:val="BlockText"/>
      </w:pPr>
      <w:r>
        <w:t xml:space="preserve">Wyjaśniwszy zatem, że poniższe wersy odnoszą się wyłącznie do opracowywanej tutaj przeze mnie argumentacji perswazyjnej, wykorzystującej logikę modalną (a nie do sposobu, w jaki dr Pickering konstruuje swoje argumenty), mogę sformułować następujące przesłanki jako podstawę rozumowania o zachowaniu Tekstu Nowego Testamentu, którego przykładem jest Rodzina 35.</w:t>
      </w:r>
    </w:p>
    <w:p>
      <w:pPr>
        <w:numPr>
          <w:ilvl w:val="0"/>
          <w:numId w:val="1009"/>
        </w:numPr>
        <w:pStyle w:val="BlockText"/>
      </w:pPr>
      <w:r>
        <w:t xml:space="preserve">Jest możliwe, że Bóg przekazał rasie ludzkiej pisemne objawienie.</w:t>
      </w:r>
    </w:p>
    <w:p>
      <w:pPr>
        <w:numPr>
          <w:ilvl w:val="0"/>
          <w:numId w:val="1009"/>
        </w:numPr>
        <w:pStyle w:val="BlockText"/>
      </w:pPr>
      <w:r>
        <w:t xml:space="preserve">Jeśli Bóg przekazał nam takie objawienie, rozsądne jest, że zostało ono zachowane.</w:t>
      </w:r>
    </w:p>
    <w:p>
      <w:pPr>
        <w:numPr>
          <w:ilvl w:val="0"/>
          <w:numId w:val="1009"/>
        </w:numPr>
        <w:pStyle w:val="BlockText"/>
      </w:pPr>
      <w:r>
        <w:t xml:space="preserve">Istnienie zachowanego tekstu potwierdza punkty 1) i 2).</w:t>
      </w:r>
    </w:p>
    <w:p>
      <w:pPr>
        <w:numPr>
          <w:ilvl w:val="0"/>
          <w:numId w:val="1009"/>
        </w:numPr>
        <w:pStyle w:val="BlockText"/>
      </w:pPr>
      <w:r>
        <w:t xml:space="preserve">Jedynym typem tekstu, który obiektywnie stanowi przykład punktu 3), jest typ Rodziny 35.</w:t>
      </w:r>
    </w:p>
    <w:p>
      <w:pPr>
        <w:pStyle w:val="BlockText"/>
      </w:pPr>
      <w:r>
        <w:t xml:space="preserve">Wierzyć, że Bóg istnieje jest decyzją wiary. Nie jest jednak wiarą irracjonalną, ponieważ wiara chrześcijańska stanowi, jak argumentował Alvin Platinga, przekonanie posiadające uzasadnienie i dlatego odpowiada prawdziwej wiedzy, jeśli przedmiot tego przekonania jest prawdziwy. W tej dziedzinie funkcjonują tradycyjne argumenty apologetyczne na rzecz istnienia Boga.</w:t>
      </w:r>
    </w:p>
    <w:p>
      <w:pPr>
        <w:pStyle w:val="BlockText"/>
      </w:pPr>
      <w:r>
        <w:t xml:space="preserve">Z drugiej strony, historyczne rozważenie osoby Jezusa wiąże się z kwestią objawienia, ponieważ wszystkie podstawowe fakty wiary chrześcijańskiej prowadzą do Chrystusa jako punktu kulminacyjnego procesu samoobjawienia się Boga w Historii.</w:t>
      </w:r>
    </w:p>
    <w:p>
      <w:pPr>
        <w:pStyle w:val="BlockText"/>
      </w:pPr>
      <w:r>
        <w:t xml:space="preserve">Jeśli zatem istnieje Bóg, który stworzył wszystkie rzeczy, i jeśli postanowił objawić się nam w Chrystusie, całkowicie rozsądne jest wywnioskowanie, że przekazał nam również pisemne objawienie i je zachował.</w:t>
      </w:r>
    </w:p>
    <w:p>
      <w:pPr>
        <w:pStyle w:val="BlockText"/>
      </w:pPr>
      <w:r>
        <w:t xml:space="preserve">Innymi słowy, jedyną przesłanką dodaną w drodze wnioskowania do podstawowych faktów wiary chrześcijańskiej jest zachowanie Tekstu Nowego Testamentu. Oznacza to, że trynitarny teizm dr. Pickeringa zakłada nie tylko Boga będącego Stwórcą, Zbawicielem i Opiekunem, ale przez proste racjonalne wnioskowanie dodaje do Bożej Opatrzności zachowanie Tekstu Nowego Testamentu.</w:t>
      </w:r>
    </w:p>
    <w:p>
      <w:pPr>
        <w:pStyle w:val="BlockText"/>
      </w:pPr>
      <w:r>
        <w:t xml:space="preserve">Jakkolwiek by było, należy zauważyć, że choć dowiedzenie punktu 1) przypisałem tradycyjnej apologetyce, a ponadto punkt 2) można rozsądnie wywnioskować na podstawie punktu 1), pozostaje faktem, że na potrzeby analizy argumentu, twierdzenie 3) wynika z punktów 1) i 2). Cała ważność argumentu zależy zatem wyłącznie od dowiedzenia punktu 4), to znaczy, że tekst Rodziny 35 jest jedynym typem tekstu Nowego Testamentu, o którym można obiektywnie wykazać, że został zachowany. Właśnie tutaj do głosu dochodzi praca dr. Pickeringa.</w:t>
      </w:r>
    </w:p>
    <w:p>
      <w:pPr>
        <w:pStyle w:val="BlockText"/>
      </w:pPr>
      <w:r>
        <w:t xml:space="preserve">Dokładnie w tym punkcie, przy wykazywaniu twierdzenia 4), praca dr. Pickeringa przestaje mieć charakter jedynie założeniowy i staje się empiryczna, analizując dowody w obiektywny sposób, do czego dąży każdy szanowany współczesny naukowiec.</w:t>
      </w:r>
    </w:p>
    <w:p>
      <w:pPr>
        <w:pStyle w:val="BlockText"/>
      </w:pPr>
      <w:r>
        <w:t xml:space="preserve">Oznacza to, że wykazanie starożytności i niezależności tekstu Rodziny 35 opiera się na obiektywnych argumentach i porównaniu dowodów (wszystkich zachowanych manuskryptów). Także w tej dziedzinie praca dr. Pickeringa jest niezrównana.</w:t>
      </w:r>
    </w:p>
    <w:p>
      <w:pPr>
        <w:pStyle w:val="BlockText"/>
      </w:pPr>
      <w:r>
        <w:t xml:space="preserve">Korzystając z korelacji z apologetyką, mogę stwierdzić, że praca dr. Pickeringa z dowodami, podobnie jak apologetyka chrześcijańska, posługuje się zarówno strategią obrony, jak i ataku.</w:t>
      </w:r>
    </w:p>
    <w:p>
      <w:pPr>
        <w:pStyle w:val="BlockText"/>
      </w:pPr>
      <w:r>
        <w:t xml:space="preserve">Z punktu widzenia obrony jego praca polega na wskazaniu niespójności subiektywnych postulatów teorii eklektycznej oraz na obiektywnym wykazaniu niższej jakości najwcześniejszych manuskryptów.</w:t>
      </w:r>
    </w:p>
    <w:p>
      <w:pPr>
        <w:pStyle w:val="BlockText"/>
      </w:pPr>
      <w:r>
        <w:t xml:space="preserve">Z punktu widzenia ataku jego praca polega na przyjrzeniu się możliwym liniom przekazu tekstu i obiektywnym przeanalizowaniu dostępnych dowodów — to znaczy manuskryptów. Doszedł on do wniosku, że Rodzina 35 jest jedynym archetypem tekstu całego Nowego Testamentu, który można obiektywnie wykazać. (Z pewnością jest jedynym, który wykazano do tej pory).</w:t>
      </w:r>
    </w:p>
    <w:p>
      <w:pPr>
        <w:pStyle w:val="FirstParagraph"/>
      </w:pPr>
      <w:r>
        <w:t xml:space="preserve">Dziękuję, profesorze Xavier! Każdy, kto uczciwie odnosi się do mojej pracy,</w:t>
      </w:r>
      <w:r>
        <w:rPr>
          <w:rStyle w:val="FootnoteReference"/>
        </w:rPr>
        <w:footnoteReference w:id="215"/>
      </w:r>
      <w:r>
        <w:t xml:space="preserve"> </w:t>
      </w:r>
      <w:r>
        <w:t xml:space="preserve">wie, że nie posługuję się argumentami ponadnaturalnymi ani teologicznymi, aby bronić boskiego zachowania tekstu Nowego Testamentu. Moje twierdzenie, że Rodzina 35 zachowuje oryginalne sformułowania, opiera się w całości na dowodach empirycznych i logicznym wnioskowaniu opartym na tych dowodach. Jeśli w ogóle odwołuję się do Bożej opatrzności, to wyłącznie po to, by wyjaśnić fakty, a nie by do nich dojść. Jedynym sposobem wyjaśnienia wewnętrznego charakteru Rodziny 35 jest zrozumienie, że Bóg zachowywał Swój Tekst.</w:t>
      </w:r>
    </w:p>
    <w:p>
      <w:pPr>
        <w:pStyle w:val="BodyText"/>
      </w:pPr>
      <w:r>
        <w:t xml:space="preserve">Nalegam, że nie jestem czystym empirystą. Moja praca jest zakotwiczona w przesłance transcendentalnej. Moje kolacjonowanie manuskryptów dostarczyło empirycznego poświadczenia tej przesłanki. Nie posługuję się przesłanką, aby dojść do faktów, dochodzę do faktów empirycznie. Posługuję się przesłanką, aby wyjaśnić fakty po ich empirycznym ustaleniu.</w:t>
      </w:r>
      <w:r>
        <w:t xml:space="preserve"> </w:t>
      </w:r>
      <w:r>
        <w:rPr>
          <w:bCs/>
          <w:b/>
        </w:rPr>
        <w:t xml:space="preserve">Moja epistemologia opiera się na osobie i dziele Suwerennego Jezusa.</w:t>
      </w:r>
      <w:r>
        <w:rPr>
          <w:rStyle w:val="FootnoteReference"/>
        </w:rPr>
        <w:footnoteReference w:id="216"/>
      </w:r>
    </w:p>
    <w:bookmarkEnd w:id="217"/>
    <w:bookmarkStart w:id="224" w:name="Xc80f99dd4fbb21d79d8909c0f0d5a69f0b2a8f4"/>
    <w:p>
      <w:pPr>
        <w:pStyle w:val="Heading2"/>
      </w:pPr>
      <w:r>
        <w:t xml:space="preserve">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w:t>
      </w:r>
    </w:p>
    <w:p>
      <w:pPr>
        <w:pStyle w:val="FirstParagraph"/>
      </w:pPr>
      <w:r>
        <w:t xml:space="preserve">Kiedy Hermann von Soden zidentyfikował</w:t>
      </w:r>
      <w:r>
        <w:t xml:space="preserve"> </w:t>
      </w:r>
      <w:r>
        <w:rPr>
          <w:bCs/>
          <w:b/>
        </w:rPr>
        <w:t xml:space="preserve">K</w:t>
      </w:r>
      <w:r>
        <w:rPr>
          <w:vertAlign w:val="superscript"/>
          <w:bCs/>
          <w:b/>
        </w:rPr>
        <w:t xml:space="preserve">r</w:t>
      </w:r>
      <w:r>
        <w:t xml:space="preserve"> </w:t>
      </w:r>
      <w:r>
        <w:t xml:space="preserve">i ogłosił, że jest to rewizja</w:t>
      </w:r>
      <w:r>
        <w:t xml:space="preserve"> </w:t>
      </w:r>
      <w:r>
        <w:rPr>
          <w:bCs/>
          <w:b/>
        </w:rPr>
        <w:t xml:space="preserve">K</w:t>
      </w:r>
      <w:r>
        <w:rPr>
          <w:vertAlign w:val="superscript"/>
          <w:bCs/>
          <w:b/>
        </w:rPr>
        <w:t xml:space="preserve">x</w:t>
      </w:r>
      <w:r>
        <w:t xml:space="preserve"> </w:t>
      </w:r>
      <w:r>
        <w:t xml:space="preserve">dokonana w XII wieku, wyświadczył znaczną niedźwiedzią przysługę Prawdzie oraz tym, którzy są zainteresowani ustaleniem oryginalnych sformułowań Tekstu Nowego Testamentu. W tej części argumentuję, że gdyby von Soden rzeczywiście zwrócił uwagę na dowody dostępne za jego czasów, nie mógłby dopuścić się takiej niesprawiedliwości.</w:t>
      </w:r>
    </w:p>
    <w:p>
      <w:pPr>
        <w:pStyle w:val="BodyText"/>
      </w:pPr>
      <w:r>
        <w:t xml:space="preserve">Osoby zaznajomione z moją pracą wiedzą, że zacząłem od używania</w:t>
      </w:r>
      <w:r>
        <w:t xml:space="preserve"> </w:t>
      </w:r>
      <w:r>
        <w:rPr>
          <w:bCs/>
          <w:b/>
        </w:rPr>
        <w:t xml:space="preserve">f</w:t>
      </w:r>
      <w:r>
        <w:rPr>
          <w:vertAlign w:val="superscript"/>
          <w:bCs/>
          <w:b/>
        </w:rPr>
        <w:t xml:space="preserve">18</w:t>
      </w:r>
      <w:r>
        <w:t xml:space="preserve"> </w:t>
      </w:r>
      <w:r>
        <w:t xml:space="preserve">zamiast</w:t>
      </w:r>
      <w:r>
        <w:t xml:space="preserve"> </w:t>
      </w:r>
      <w:r>
        <w:rPr>
          <w:bCs/>
          <w:b/>
        </w:rPr>
        <w:t xml:space="preserve">K</w:t>
      </w:r>
      <w:r>
        <w:rPr>
          <w:vertAlign w:val="superscript"/>
          <w:bCs/>
          <w:b/>
        </w:rPr>
        <w:t xml:space="preserve">r</w:t>
      </w:r>
      <w:r>
        <w:t xml:space="preserve">, ponieważ minuskuł 18 jest członkiem rodziny o najniższym numerze. Następnie przeszedłem na</w:t>
      </w:r>
      <w:r>
        <w:t xml:space="preserve"> </w:t>
      </w:r>
      <w:r>
        <w:rPr>
          <w:bCs/>
          <w:b/>
        </w:rPr>
        <w:t xml:space="preserve">f</w:t>
      </w:r>
      <w:r>
        <w:rPr>
          <w:vertAlign w:val="superscript"/>
          <w:bCs/>
          <w:b/>
        </w:rPr>
        <w:t xml:space="preserve">35</w:t>
      </w:r>
      <w:r>
        <w:t xml:space="preserve"> </w:t>
      </w:r>
      <w:r>
        <w:t xml:space="preserve">z następujących powodów: 1) chociaż 18 jest niekiedy czystszym przedstawicielem typu tekstu niż minuskuł 35, w Objawieniu Jana 18 przechodzi do innego typu, podczas gdy 35 pozostaje wierny (oba manuskrypty zawierają cały Nowy Testament), 2) podczas gdy 18 datowany jest na XIV wiek, 35 datowany jest na XI, a zatem sam jeden zadaje kłam twierdzeniu von Sodena, że</w:t>
      </w:r>
      <w:r>
        <w:t xml:space="preserve"> </w:t>
      </w:r>
      <w:r>
        <w:rPr>
          <w:bCs/>
          <w:b/>
        </w:rPr>
        <w:t xml:space="preserve">K</w:t>
      </w:r>
      <w:r>
        <w:rPr>
          <w:vertAlign w:val="superscript"/>
          <w:bCs/>
          <w:b/>
        </w:rPr>
        <w:t xml:space="preserve">r</w:t>
      </w:r>
      <w:r>
        <w:t xml:space="preserve"> </w:t>
      </w:r>
      <w:r>
        <w:t xml:space="preserve">powstał w XII wieku. Co więcej, jeśli 35 jest kopią, a nie nowym tworem, jego egzemplarz musiał być starszy, i tak dalej.</w:t>
      </w:r>
    </w:p>
    <w:p>
      <w:pPr>
        <w:pStyle w:val="BodyText"/>
      </w:pPr>
      <w:r>
        <w:t xml:space="preserve">Po dokonaniu pełnego kolacjonowania 1389 manuskryptów zawierających całą</w:t>
      </w:r>
      <w:r>
        <w:t xml:space="preserve"> </w:t>
      </w:r>
      <w:r>
        <w:rPr>
          <w:iCs/>
          <w:i/>
        </w:rPr>
        <w:t xml:space="preserve">Pericope Adulterae</w:t>
      </w:r>
      <w:r>
        <w:t xml:space="preserve"> </w:t>
      </w:r>
      <w:r>
        <w:t xml:space="preserve">(istniało jeszcze kilka innych, które z pewnością zawierają tę perykopę, lecz nie można ich było skolacjonować z powodu nieczytelnego mikrofilmu), Maurice Robinson doszedł do następującego wniosku:</w:t>
      </w:r>
    </w:p>
    <w:p>
      <w:pPr>
        <w:pStyle w:val="BlockText"/>
      </w:pPr>
      <w:r>
        <w:t xml:space="preserve">Na podstawie skolacjonowanych danych autor niniejszych słów jest zmuszony odwrócić swoje wcześniejsze założenia dotyczące rozwoju oraz odtworzenia/zachowania bizantyjskiej formy tekstu w następującym sensie: chociaż sam przekaz tekstu jest procesem, wydaje się, że w przeważającej części linie przekazu pozostawały odrębne, a mieszanie zachodziło lub utrwalało się w stosunkowo niewielkim stopniu…</w:t>
      </w:r>
    </w:p>
    <w:p>
      <w:pPr>
        <w:pStyle w:val="Block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w:t>
      </w:r>
    </w:p>
    <w:p>
      <w:pPr>
        <w:pStyle w:val="BlockText"/>
      </w:pPr>
      <w:r>
        <w:t xml:space="preserve">Wydaje się zatem, że bizantyjskie minuskułowe manuskrypty zachowują linie przekazu, które są nie tylko niezależne, ale z konieczności musiały powstać na długo przed IX wiekiem.</w:t>
      </w:r>
      <w:r>
        <w:rPr>
          <w:rStyle w:val="FootnoteReference"/>
        </w:rPr>
        <w:footnoteReference w:id="218"/>
      </w:r>
    </w:p>
    <w:p>
      <w:pPr>
        <w:pStyle w:val="FirstParagraph"/>
      </w:pPr>
      <w:r>
        <w:t xml:space="preserve">W porządku. Jeśli</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7</w:t>
      </w:r>
      <w:r>
        <w:t xml:space="preserve">) został zachowany w swojej „odrębnej integralności” podczas „długiej linii przekazu”, to musiał powstać „na długo przed IX wiekiem”. Oprócz świadectwa 35 kolacjonowania Robinsona wykazują, że minuskuł 1166 i lekcjonarz 139, oba z X wieku, odzwierciedlają</w:t>
      </w:r>
      <w:r>
        <w:t xml:space="preserve"> </w:t>
      </w:r>
      <w:r>
        <w:rPr>
          <w:bCs/>
          <w:b/>
        </w:rPr>
        <w:t xml:space="preserve">K</w:t>
      </w:r>
      <w:r>
        <w:rPr>
          <w:vertAlign w:val="superscript"/>
          <w:bCs/>
          <w:b/>
        </w:rPr>
        <w:t xml:space="preserve">r</w:t>
      </w:r>
      <w:r>
        <w:t xml:space="preserve">. Jeśli są kopiami, a nie nowymi tworami, ich egzemplarze musiały być starsze, i tak dalej. Bez przytaczania dalszych dowodów można uczciwie stwierdzić, że</w:t>
      </w:r>
      <w:r>
        <w:t xml:space="preserve"> </w:t>
      </w:r>
      <w:r>
        <w:rPr>
          <w:bCs/>
          <w:b/>
        </w:rPr>
        <w:t xml:space="preserve">K</w:t>
      </w:r>
      <w:r>
        <w:rPr>
          <w:vertAlign w:val="superscript"/>
          <w:bCs/>
          <w:b/>
        </w:rPr>
        <w:t xml:space="preserve">r</w:t>
      </w:r>
      <w:r>
        <w:t xml:space="preserve"> </w:t>
      </w:r>
      <w:r>
        <w:t xml:space="preserve">musiał istnieć już w IX wieku, jeśli nie w VIII.</w:t>
      </w:r>
    </w:p>
    <w:p>
      <w:pPr>
        <w:pStyle w:val="BodyText"/>
      </w:pPr>
      <w:r>
        <w:t xml:space="preserve">Od lat, na podstawie serii</w:t>
      </w:r>
      <w:r>
        <w:t xml:space="preserve"> </w:t>
      </w:r>
      <w:r>
        <w:rPr>
          <w:iCs/>
          <w:i/>
        </w:rPr>
        <w:t xml:space="preserve">Text und Textwert</w:t>
      </w:r>
      <w:r>
        <w:t xml:space="preserve">, nalegam, że</w:t>
      </w:r>
      <w:r>
        <w:t xml:space="preserve"> </w:t>
      </w:r>
      <w:r>
        <w:rPr>
          <w:bCs/>
          <w:b/>
        </w:rPr>
        <w:t xml:space="preserve">K</w:t>
      </w:r>
      <w:r>
        <w:rPr>
          <w:vertAlign w:val="superscript"/>
          <w:bCs/>
          <w:b/>
        </w:rPr>
        <w:t xml:space="preserve">r</w:t>
      </w:r>
      <w:r>
        <w:t xml:space="preserve"> </w:t>
      </w:r>
      <w:r>
        <w:t xml:space="preserve">jest zarówno starożytny, jak i niezależny. Wydaje się, że Robinson się z tym zgadza. „Brak szeroko zakrojonego porównywania krzyżowego i poprawiania, wykazany w zachowanych manuskryptach zawierających</w:t>
      </w:r>
      <w:r>
        <w:t xml:space="preserve"> </w:t>
      </w:r>
      <w:r>
        <w:rPr>
          <w:iCs/>
          <w:i/>
        </w:rPr>
        <w:t xml:space="preserve">PA</w:t>
      </w:r>
      <w:r>
        <w:t xml:space="preserve">, wyklucza łatwe powstanie którejkolwiek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erze pergaminowej”.</w:t>
      </w:r>
      <w:r>
        <w:rPr>
          <w:rStyle w:val="FootnoteReference"/>
        </w:rPr>
        <w:footnoteReference w:id="219"/>
      </w:r>
      <w:r>
        <w:t xml:space="preserve"> </w:t>
      </w:r>
      <w:r>
        <w:t xml:space="preserve">„Era pergaminowa” — czy nie cofa nas to przynajmniej do IV wieku? W rzeczy samej, tak. Rozważmy:</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Dzieje Apostolskie 4,34 —</w:t>
            </w:r>
          </w:p>
        </w:tc>
        <w:tc>
          <w:tcPr/>
          <w:p>
            <w:pPr>
              <w:pStyle w:val="Compact"/>
              <w:jc w:val="left"/>
            </w:pPr>
            <w:r>
              <w:t xml:space="preserve">τις ην</w:t>
            </w:r>
          </w:p>
        </w:tc>
        <w:tc>
          <w:tcPr/>
          <w:p>
            <w:pPr>
              <w:pStyle w:val="Compact"/>
              <w:jc w:val="left"/>
            </w:pPr>
            <w:r>
              <w:rPr>
                <w:bCs/>
                <w:b/>
              </w:rPr>
              <w:t xml:space="preserve">K</w:t>
            </w:r>
            <w:r>
              <w:rPr>
                <w:vertAlign w:val="superscript"/>
                <w:bCs/>
                <w:b/>
              </w:rPr>
              <w:t xml:space="preserve">r</w:t>
            </w:r>
            <w:r>
              <w:t xml:space="preserve"> </w:t>
            </w:r>
            <w:r>
              <w:t xml:space="preserve">ℵA (~21 B)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pochodzą z IV wieku)</w:t>
            </w:r>
          </w:p>
        </w:tc>
      </w:tr>
      <w:tr>
        <w:tc>
          <w:tcPr/>
          <w:p>
            <w:pPr>
              <w:pStyle w:val="Compact"/>
            </w:pPr>
          </w:p>
        </w:tc>
        <w:tc>
          <w:tcPr/>
          <w:p>
            <w:pPr>
              <w:pStyle w:val="Compact"/>
              <w:jc w:val="left"/>
            </w:pPr>
            <w:r>
              <w:t xml:space="preserve">τις υπηρχεν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8</w:t>
            </w:r>
            <w:r>
              <w:t xml:space="preserve">D</w:t>
            </w:r>
          </w:p>
        </w:tc>
      </w:tr>
      <w:tr>
        <w:tc>
          <w:tcPr/>
          <w:p>
            <w:pPr>
              <w:pStyle w:val="Compact"/>
              <w:jc w:val="left"/>
            </w:pPr>
            <w:r>
              <w:t xml:space="preserve">Dzieje Apostolskie 15,7 —</w:t>
            </w:r>
          </w:p>
        </w:tc>
        <w:tc>
          <w:tcPr/>
          <w:p>
            <w:pPr>
              <w:pStyle w:val="Compact"/>
              <w:jc w:val="left"/>
            </w:pPr>
            <w:r>
              <w:t xml:space="preserve">εν υμιν</w:t>
            </w:r>
          </w:p>
        </w:tc>
        <w:tc>
          <w:tcPr/>
          <w:p>
            <w:pPr>
              <w:pStyle w:val="Compact"/>
              <w:jc w:val="left"/>
            </w:pPr>
            <w:r>
              <w:rPr>
                <w:bCs/>
                <w:b/>
              </w:rPr>
              <w:t xml:space="preserve">K</w:t>
            </w:r>
            <w:r>
              <w:rPr>
                <w:vertAlign w:val="superscript"/>
                <w:bCs/>
                <w:b/>
              </w:rPr>
              <w:t xml:space="preserve">r</w:t>
            </w:r>
            <w:r>
              <w:t xml:space="preserve"> </w:t>
            </w:r>
            <w:r>
              <w:t xml:space="preserve">ℵABC,it</w:t>
            </w:r>
            <w:r>
              <w:rPr>
                <w:vertAlign w:val="superscript"/>
              </w:rPr>
              <w:t xml:space="preserve">pt</w:t>
            </w:r>
            <w:r>
              <w:t xml:space="preserve"> </w:t>
            </w:r>
            <w:r>
              <w:t xml:space="preserve">(</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εν ημιν</w:t>
            </w:r>
          </w:p>
        </w:tc>
        <w:tc>
          <w:tcPr/>
          <w:p>
            <w:pPr>
              <w:pStyle w:val="Compact"/>
              <w:jc w:val="left"/>
            </w:pPr>
            <w:r>
              <w:rPr>
                <w:bCs/>
                <w:b/>
              </w:rPr>
              <w:t xml:space="preserve">K</w:t>
            </w:r>
            <w:r>
              <w:rPr>
                <w:vertAlign w:val="superscript"/>
                <w:bCs/>
                <w:b/>
              </w:rPr>
              <w:t xml:space="preserve">x</w:t>
            </w:r>
            <w:r>
              <w:t xml:space="preserve">(D)lat</w:t>
            </w:r>
          </w:p>
        </w:tc>
      </w:tr>
      <w:tr>
        <w:tc>
          <w:tcPr/>
          <w:p>
            <w:pPr>
              <w:pStyle w:val="Compact"/>
              <w:jc w:val="left"/>
            </w:pPr>
            <w:r>
              <w:t xml:space="preserve">Dzieje Apostolskie 19,3 —</w:t>
            </w:r>
          </w:p>
        </w:tc>
        <w:tc>
          <w:tcPr/>
          <w:p>
            <w:pPr>
              <w:pStyle w:val="Compact"/>
              <w:jc w:val="left"/>
            </w:pPr>
            <w:r>
              <w:t xml:space="preserve">ειπεν τε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ο δε ειπεν</w:t>
            </w:r>
          </w:p>
        </w:tc>
        <w:tc>
          <w:tcPr/>
          <w:p>
            <w:pPr>
              <w:pStyle w:val="Compact"/>
              <w:jc w:val="left"/>
            </w:pPr>
            <w:r>
              <w:t xml:space="preserve">ℵA(P</w:t>
            </w:r>
            <w:r>
              <w:rPr>
                <w:vertAlign w:val="superscript"/>
              </w:rPr>
              <w:t xml:space="preserve">38</w:t>
            </w:r>
            <w:r>
              <w:t xml:space="preserve">)bo</w:t>
            </w:r>
          </w:p>
        </w:tc>
      </w:tr>
      <w:tr>
        <w:tc>
          <w:tcPr/>
          <w:p>
            <w:pPr>
              <w:pStyle w:val="Compact"/>
            </w:pPr>
          </w:p>
        </w:tc>
        <w:tc>
          <w:tcPr/>
          <w:p>
            <w:pPr>
              <w:pStyle w:val="Compact"/>
              <w:jc w:val="left"/>
            </w:pPr>
            <w:r>
              <w:t xml:space="preserve">ειπεν τε προς αυτους</w:t>
            </w:r>
          </w:p>
        </w:tc>
        <w:tc>
          <w:tcPr/>
          <w:p>
            <w:pPr>
              <w:pStyle w:val="Compact"/>
              <w:jc w:val="left"/>
            </w:pPr>
            <w:r>
              <w:rPr>
                <w:bCs/>
                <w:b/>
              </w:rPr>
              <w:t xml:space="preserve">K</w:t>
            </w:r>
            <w:r>
              <w:rPr>
                <w:vertAlign w:val="superscript"/>
                <w:bCs/>
                <w:b/>
              </w:rPr>
              <w:t xml:space="preserve">x</w:t>
            </w:r>
            <w:r>
              <w:t xml:space="preserve"> </w:t>
            </w:r>
            <w:r>
              <w:t xml:space="preserve">sy</w:t>
            </w:r>
            <w:r>
              <w:rPr>
                <w:vertAlign w:val="superscript"/>
              </w:rPr>
              <w:t xml:space="preserve">p</w:t>
            </w:r>
            <w:r>
              <w:t xml:space="preserve">,sa</w:t>
            </w:r>
          </w:p>
        </w:tc>
      </w:tr>
      <w:tr>
        <w:tc>
          <w:tcPr/>
          <w:p>
            <w:pPr>
              <w:pStyle w:val="Compact"/>
              <w:jc w:val="left"/>
            </w:pPr>
            <w:r>
              <w:t xml:space="preserve">Dzieje Apostolskie 21,8 —</w:t>
            </w:r>
          </w:p>
        </w:tc>
        <w:tc>
          <w:tcPr/>
          <w:p>
            <w:pPr>
              <w:pStyle w:val="Compact"/>
              <w:jc w:val="left"/>
            </w:pPr>
            <w:r>
              <w:t xml:space="preserve">ηλθομεν</w:t>
            </w:r>
          </w:p>
        </w:tc>
        <w:tc>
          <w:tcPr/>
          <w:p>
            <w:pPr>
              <w:pStyle w:val="Compact"/>
              <w:jc w:val="left"/>
            </w:pPr>
            <w:r>
              <w:rPr>
                <w:bCs/>
                <w:b/>
              </w:rPr>
              <w:t xml:space="preserve">K</w:t>
            </w:r>
            <w:r>
              <w:rPr>
                <w:vertAlign w:val="superscript"/>
                <w:bCs/>
                <w:b/>
              </w:rPr>
              <w:t xml:space="preserve">r</w:t>
            </w:r>
            <w:r>
              <w:t xml:space="preserve"> </w:t>
            </w:r>
            <w:r>
              <w:t xml:space="preserve">ℵAC(B)lat,syr,cop (</w:t>
            </w:r>
            <w:r>
              <w:rPr>
                <w:bCs/>
                <w:b/>
              </w:rPr>
              <w:t xml:space="preserve">K</w:t>
            </w:r>
            <w:r>
              <w:rPr>
                <w:vertAlign w:val="superscript"/>
                <w:bCs/>
                <w:b/>
              </w:rPr>
              <w:t xml:space="preserve">r</w:t>
            </w:r>
            <w:r>
              <w:t xml:space="preserve"> </w:t>
            </w:r>
            <w:r>
              <w:t xml:space="preserve">jest starszy niż</w:t>
            </w:r>
            <w:r>
              <w:t xml:space="preserve"> </w:t>
            </w:r>
            <w:r>
              <w:rPr>
                <w:bCs/>
                <w:b/>
              </w:rPr>
              <w:t xml:space="preserve">K</w:t>
            </w:r>
            <w:r>
              <w:rPr>
                <w:vertAlign w:val="superscript"/>
                <w:bCs/>
                <w:b/>
              </w:rPr>
              <w:t xml:space="preserve">x</w:t>
            </w:r>
            <w:r>
              <w:t xml:space="preserve">, bardzo starożytny)</w:t>
            </w:r>
          </w:p>
        </w:tc>
      </w:tr>
      <w:tr>
        <w:tc>
          <w:tcPr/>
          <w:p>
            <w:pPr>
              <w:pStyle w:val="Compact"/>
            </w:pPr>
          </w:p>
        </w:tc>
        <w:tc>
          <w:tcPr/>
          <w:p>
            <w:pPr>
              <w:pStyle w:val="Compact"/>
              <w:jc w:val="left"/>
            </w:pPr>
            <w:r>
              <w:t xml:space="preserve">οι περι τον παυλον ηλθον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Dzieje Apostolskie 23,20 —</w:t>
            </w:r>
          </w:p>
        </w:tc>
        <w:tc>
          <w:tcPr/>
          <w:p>
            <w:pPr>
              <w:pStyle w:val="Compact"/>
              <w:jc w:val="left"/>
            </w:pPr>
            <w:r>
              <w:t xml:space="preserve">μελλοντες</w:t>
            </w:r>
          </w:p>
        </w:tc>
        <w:tc>
          <w:tcPr/>
          <w:p>
            <w:pPr>
              <w:pStyle w:val="Compact"/>
              <w:jc w:val="left"/>
            </w:pPr>
            <w:r>
              <w:t xml:space="preserve">(33,1%)</w:t>
            </w:r>
            <w:r>
              <w:t xml:space="preserve"> </w:t>
            </w:r>
            <w:r>
              <w:rPr>
                <w:bCs/>
                <w:b/>
              </w:rPr>
              <w:t xml:space="preserve">K</w:t>
            </w:r>
            <w:r>
              <w:rPr>
                <w:vertAlign w:val="superscript"/>
                <w:bCs/>
                <w:b/>
              </w:rPr>
              <w:t xml:space="preserve">r</w:t>
            </w:r>
            <w:r>
              <w:t xml:space="preserve"> </w:t>
            </w:r>
            <w:r>
              <w:t xml:space="preserve">lat,syr,sa (</w:t>
            </w:r>
            <w:r>
              <w:rPr>
                <w:bCs/>
                <w:b/>
              </w:rPr>
              <w:t xml:space="preserve">K</w:t>
            </w:r>
            <w:r>
              <w:rPr>
                <w:vertAlign w:val="superscript"/>
                <w:bCs/>
                <w:b/>
              </w:rPr>
              <w:t xml:space="preserve">r</w:t>
            </w:r>
            <w:r>
              <w:t xml:space="preserve"> </w:t>
            </w:r>
            <w:r>
              <w:t xml:space="preserve">jest niezależny i bardzo starożytny, nie istnieje</w:t>
            </w:r>
            <w:r>
              <w:t xml:space="preserve"> </w:t>
            </w:r>
            <w:r>
              <w:rPr>
                <w:bCs/>
                <w:b/>
              </w:rPr>
              <w:t xml:space="preserve">K</w:t>
            </w:r>
            <w:r>
              <w:rPr>
                <w:vertAlign w:val="superscript"/>
                <w:bCs/>
                <w:b/>
              </w:rPr>
              <w:t xml:space="preserve">x</w:t>
            </w:r>
            <w:r>
              <w:t xml:space="preserve">)</w:t>
            </w:r>
          </w:p>
        </w:tc>
      </w:tr>
      <w:tr>
        <w:tc>
          <w:tcPr/>
          <w:p>
            <w:pPr>
              <w:pStyle w:val="Compact"/>
            </w:pPr>
          </w:p>
        </w:tc>
        <w:tc>
          <w:tcPr/>
          <w:p>
            <w:pPr>
              <w:pStyle w:val="Compact"/>
              <w:jc w:val="left"/>
            </w:pPr>
            <w:r>
              <w:t xml:space="preserve">μελλοντα</w:t>
            </w:r>
          </w:p>
        </w:tc>
        <w:tc>
          <w:tcPr/>
          <w:p>
            <w:pPr>
              <w:pStyle w:val="Compact"/>
              <w:jc w:val="left"/>
            </w:pPr>
            <w:r>
              <w:t xml:space="preserve">(27,2%) {HF,RP}</w:t>
            </w:r>
          </w:p>
        </w:tc>
      </w:tr>
      <w:tr>
        <w:tc>
          <w:tcPr/>
          <w:p>
            <w:pPr>
              <w:pStyle w:val="Compact"/>
            </w:pPr>
          </w:p>
        </w:tc>
        <w:tc>
          <w:tcPr/>
          <w:p>
            <w:pPr>
              <w:pStyle w:val="Compact"/>
              <w:jc w:val="left"/>
            </w:pPr>
            <w:r>
              <w:t xml:space="preserve">μελλοντων</w:t>
            </w:r>
          </w:p>
        </w:tc>
        <w:tc>
          <w:tcPr/>
          <w:p>
            <w:pPr>
              <w:pStyle w:val="Compact"/>
              <w:jc w:val="left"/>
            </w:pPr>
            <w:r>
              <w:t xml:space="preserve">(17,4%)</w:t>
            </w:r>
          </w:p>
        </w:tc>
      </w:tr>
      <w:tr>
        <w:tc>
          <w:tcPr/>
          <w:p>
            <w:pPr>
              <w:pStyle w:val="Compact"/>
            </w:pPr>
          </w:p>
        </w:tc>
        <w:tc>
          <w:tcPr/>
          <w:p>
            <w:pPr>
              <w:pStyle w:val="Compact"/>
              <w:jc w:val="left"/>
            </w:pPr>
            <w:r>
              <w:t xml:space="preserve">μελλων</w:t>
            </w:r>
          </w:p>
        </w:tc>
        <w:tc>
          <w:tcPr/>
          <w:p>
            <w:pPr>
              <w:pStyle w:val="Compact"/>
              <w:jc w:val="left"/>
            </w:pPr>
            <w:r>
              <w:t xml:space="preserve">(9,2%) AB,bo</w:t>
            </w:r>
          </w:p>
        </w:tc>
      </w:tr>
      <w:tr>
        <w:tc>
          <w:tcPr/>
          <w:p>
            <w:pPr>
              <w:pStyle w:val="Compact"/>
            </w:pPr>
          </w:p>
        </w:tc>
        <w:tc>
          <w:tcPr/>
          <w:p>
            <w:pPr>
              <w:pStyle w:val="Compact"/>
              <w:jc w:val="left"/>
            </w:pPr>
            <w:r>
              <w:t xml:space="preserve">μελλον</w:t>
            </w:r>
          </w:p>
        </w:tc>
        <w:tc>
          <w:tcPr/>
          <w:p>
            <w:pPr>
              <w:pStyle w:val="Compact"/>
              <w:jc w:val="left"/>
            </w:pPr>
            <w:r>
              <w:t xml:space="preserve">(7,5%) {NU}ℵ</w:t>
            </w:r>
          </w:p>
        </w:tc>
      </w:tr>
      <w:tr>
        <w:tc>
          <w:tcPr/>
          <w:p>
            <w:pPr>
              <w:pStyle w:val="Compact"/>
            </w:pPr>
          </w:p>
        </w:tc>
        <w:tc>
          <w:tcPr/>
          <w:p>
            <w:pPr>
              <w:pStyle w:val="Compact"/>
              <w:jc w:val="left"/>
            </w:pPr>
            <w:r>
              <w:t xml:space="preserve">μελλοντας</w:t>
            </w:r>
          </w:p>
        </w:tc>
        <w:tc>
          <w:tcPr/>
          <w:p>
            <w:pPr>
              <w:pStyle w:val="Compact"/>
              <w:jc w:val="left"/>
            </w:pPr>
            <w:r>
              <w:t xml:space="preserve">(5,4%)</w:t>
            </w:r>
          </w:p>
        </w:tc>
      </w:tr>
      <w:tr>
        <w:tc>
          <w:tcPr/>
          <w:p>
            <w:pPr>
              <w:pStyle w:val="Compact"/>
              <w:jc w:val="left"/>
            </w:pPr>
            <w:r>
              <w:t xml:space="preserve">List do Rzymian 5,1 —</w:t>
            </w:r>
          </w:p>
        </w:tc>
        <w:tc>
          <w:tcPr/>
          <w:p>
            <w:pPr>
              <w:pStyle w:val="Compact"/>
              <w:jc w:val="left"/>
            </w:pPr>
            <w:r>
              <w:t xml:space="preserve">εχωμεν</w:t>
            </w:r>
          </w:p>
        </w:tc>
        <w:tc>
          <w:tcPr/>
          <w:p>
            <w:pPr>
              <w:pStyle w:val="Compact"/>
              <w:jc w:val="left"/>
            </w:pPr>
            <w:r>
              <w:t xml:space="preserve">(43%)</w:t>
            </w:r>
            <w:r>
              <w:t xml:space="preserve"> </w:t>
            </w:r>
            <w:r>
              <w:rPr>
                <w:bCs/>
                <w:b/>
              </w:rPr>
              <w:t xml:space="preserve">K</w:t>
            </w:r>
            <w:r>
              <w:rPr>
                <w:vertAlign w:val="superscript"/>
                <w:bCs/>
                <w:b/>
              </w:rPr>
              <w:t xml:space="preserve">r</w:t>
            </w:r>
            <w:r>
              <w:t xml:space="preserve"> </w:t>
            </w:r>
            <w:r>
              <w:rPr>
                <w:bCs/>
                <w:b/>
              </w:rPr>
              <w:t xml:space="preserve">K</w:t>
            </w:r>
            <w:r>
              <w:rPr>
                <w:vertAlign w:val="superscript"/>
                <w:bCs/>
                <w:b/>
              </w:rPr>
              <w:t xml:space="preserve">x(1/3)</w:t>
            </w:r>
            <w:r>
              <w:t xml:space="preserve"> </w:t>
            </w:r>
            <w:r>
              <w:t xml:space="preserve">ℵABCD,lat (czy część</w:t>
            </w:r>
            <w:r>
              <w:t xml:space="preserve"> </w:t>
            </w:r>
            <w:r>
              <w:rPr>
                <w:bCs/>
                <w:b/>
              </w:rPr>
              <w:t xml:space="preserve">K</w:t>
            </w:r>
            <w:r>
              <w:rPr>
                <w:vertAlign w:val="superscript"/>
                <w:bCs/>
                <w:b/>
              </w:rPr>
              <w:t xml:space="preserve">x</w:t>
            </w:r>
            <w:r>
              <w:t xml:space="preserve"> </w:t>
            </w:r>
            <w:r>
              <w:t xml:space="preserve">upodobniła się do</w:t>
            </w:r>
            <w:r>
              <w:t xml:space="preserve"> </w:t>
            </w:r>
            <w:r>
              <w:rPr>
                <w:bCs/>
                <w:b/>
              </w:rPr>
              <w:t xml:space="preserve">K</w:t>
            </w:r>
            <w:r>
              <w:rPr>
                <w:vertAlign w:val="superscript"/>
                <w:bCs/>
                <w:b/>
              </w:rPr>
              <w:t xml:space="preserve">r</w:t>
            </w:r>
            <w:r>
              <w:t xml:space="preserve">?)</w:t>
            </w:r>
          </w:p>
        </w:tc>
      </w:tr>
      <w:tr>
        <w:tc>
          <w:tcPr/>
          <w:p>
            <w:pPr>
              <w:pStyle w:val="Compact"/>
            </w:pPr>
          </w:p>
        </w:tc>
        <w:tc>
          <w:tcPr/>
          <w:p>
            <w:pPr>
              <w:pStyle w:val="Compact"/>
              <w:jc w:val="left"/>
            </w:pPr>
            <w:r>
              <w:t xml:space="preserve">εχομεν</w:t>
            </w:r>
          </w:p>
        </w:tc>
        <w:tc>
          <w:tcPr/>
          <w:p>
            <w:pPr>
              <w:pStyle w:val="Compact"/>
              <w:jc w:val="left"/>
            </w:pPr>
            <w:r>
              <w:t xml:space="preserve">(57%)</w:t>
            </w:r>
            <w:r>
              <w:t xml:space="preserve"> </w:t>
            </w:r>
            <w:r>
              <w:rPr>
                <w:bCs/>
                <w:b/>
              </w:rPr>
              <w:t xml:space="preserve">K</w:t>
            </w:r>
            <w:r>
              <w:rPr>
                <w:vertAlign w:val="superscript"/>
                <w:bCs/>
                <w:b/>
              </w:rPr>
              <w:t xml:space="preserve">x(2/3)</w:t>
            </w:r>
          </w:p>
        </w:tc>
      </w:tr>
      <w:tr>
        <w:tc>
          <w:tcPr/>
          <w:p>
            <w:pPr>
              <w:pStyle w:val="Compact"/>
              <w:jc w:val="left"/>
            </w:pPr>
            <w:r>
              <w:t xml:space="preserve">List do Rzymian 16,6 —</w:t>
            </w:r>
          </w:p>
        </w:tc>
        <w:tc>
          <w:tcPr/>
          <w:p>
            <w:pPr>
              <w:pStyle w:val="Compact"/>
              <w:jc w:val="left"/>
            </w:pPr>
            <w:r>
              <w:t xml:space="preserve">εις υμας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46</w:t>
            </w:r>
            <w:r>
              <w:t xml:space="preserve"> </w:t>
            </w:r>
            <w:r>
              <w:t xml:space="preserve">ℵABC (</w:t>
            </w:r>
            <w:r>
              <w:rPr>
                <w:bCs/>
                <w:b/>
              </w:rPr>
              <w:t xml:space="preserve">K</w:t>
            </w:r>
            <w:r>
              <w:rPr>
                <w:vertAlign w:val="superscript"/>
                <w:bCs/>
                <w:b/>
              </w:rPr>
              <w:t xml:space="preserve">r</w:t>
            </w:r>
            <w:r>
              <w:t xml:space="preserve"> </w:t>
            </w:r>
            <w:r>
              <w:t xml:space="preserve">jest niezależny i bardzo starożytny, II/III wiek)</w:t>
            </w:r>
          </w:p>
        </w:tc>
      </w:tr>
      <w:tr>
        <w:tc>
          <w:tcPr/>
          <w:p>
            <w:pPr>
              <w:pStyle w:val="Compact"/>
            </w:pPr>
          </w:p>
        </w:tc>
        <w:tc>
          <w:tcPr/>
          <w:p>
            <w:pPr>
              <w:pStyle w:val="Compact"/>
              <w:jc w:val="left"/>
            </w:pPr>
            <w:r>
              <w:t xml:space="preserve">εις ημας</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εν υμιν</w:t>
            </w:r>
          </w:p>
        </w:tc>
        <w:tc>
          <w:tcPr/>
          <w:p>
            <w:pPr>
              <w:pStyle w:val="Compact"/>
              <w:jc w:val="left"/>
            </w:pPr>
            <w:r>
              <w:t xml:space="preserve">D</w:t>
            </w:r>
          </w:p>
        </w:tc>
      </w:tr>
      <w:tr>
        <w:tc>
          <w:tcPr/>
          <w:p>
            <w:pPr>
              <w:pStyle w:val="Compact"/>
              <w:jc w:val="left"/>
            </w:pPr>
            <w:r>
              <w:t xml:space="preserve">2 List do Koryntian 1,15 —</w:t>
            </w:r>
          </w:p>
        </w:tc>
        <w:tc>
          <w:tcPr/>
          <w:p>
            <w:pPr>
              <w:pStyle w:val="Compact"/>
              <w:jc w:val="left"/>
            </w:pPr>
            <w:r>
              <w:t xml:space="preserve">προς υμας ελθειν το προτερον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προς υμας ελθειν</w:t>
            </w:r>
          </w:p>
        </w:tc>
        <w:tc>
          <w:tcPr/>
          <w:p>
            <w:pPr>
              <w:pStyle w:val="Compact"/>
              <w:jc w:val="left"/>
            </w:pPr>
            <w:r>
              <w:t xml:space="preserve">ℵ</w:t>
            </w:r>
          </w:p>
        </w:tc>
      </w:tr>
      <w:tr>
        <w:tc>
          <w:tcPr/>
          <w:p>
            <w:pPr>
              <w:pStyle w:val="Compact"/>
            </w:pPr>
          </w:p>
        </w:tc>
        <w:tc>
          <w:tcPr/>
          <w:p>
            <w:pPr>
              <w:pStyle w:val="Compact"/>
              <w:jc w:val="left"/>
            </w:pPr>
            <w:r>
              <w:t xml:space="preserve">προτερον προς υμας ελθειν</w:t>
            </w:r>
          </w:p>
        </w:tc>
        <w:tc>
          <w:tcPr/>
          <w:p>
            <w:pPr>
              <w:pStyle w:val="Compact"/>
              <w:jc w:val="left"/>
            </w:pPr>
            <w:r>
              <w:t xml:space="preserve">ABC</w:t>
            </w:r>
          </w:p>
        </w:tc>
      </w:tr>
      <w:tr>
        <w:tc>
          <w:tcPr/>
          <w:p>
            <w:pPr>
              <w:pStyle w:val="Compact"/>
            </w:pPr>
          </w:p>
        </w:tc>
        <w:tc>
          <w:tcPr/>
          <w:p>
            <w:pPr>
              <w:pStyle w:val="Compact"/>
              <w:jc w:val="left"/>
            </w:pPr>
            <w:r>
              <w:t xml:space="preserve">προτερον ελθειν</w:t>
            </w:r>
          </w:p>
        </w:tc>
        <w:tc>
          <w:tcPr/>
          <w:p>
            <w:pPr>
              <w:pStyle w:val="Compact"/>
              <w:jc w:val="left"/>
            </w:pPr>
            <w:r>
              <w:t xml:space="preserve">D,lat</w:t>
            </w:r>
          </w:p>
        </w:tc>
      </w:tr>
      <w:tr>
        <w:tc>
          <w:tcPr/>
          <w:p>
            <w:pPr>
              <w:pStyle w:val="Compact"/>
            </w:pPr>
          </w:p>
        </w:tc>
        <w:tc>
          <w:tcPr/>
          <w:p>
            <w:pPr>
              <w:pStyle w:val="Compact"/>
              <w:jc w:val="left"/>
            </w:pPr>
            <w:r>
              <w:t xml:space="preserve">προς υμας</w:t>
            </w:r>
          </w:p>
        </w:tc>
        <w:tc>
          <w:tcPr/>
          <w:p>
            <w:pPr>
              <w:pStyle w:val="Compact"/>
            </w:pPr>
          </w:p>
        </w:tc>
      </w:tr>
      <w:tr>
        <w:tc>
          <w:tcPr/>
          <w:p>
            <w:pPr>
              <w:pStyle w:val="Compact"/>
            </w:pPr>
          </w:p>
        </w:tc>
        <w:tc>
          <w:tcPr/>
          <w:p>
            <w:pPr>
              <w:pStyle w:val="Compact"/>
              <w:jc w:val="left"/>
            </w:pPr>
            <w:r>
              <w:t xml:space="preserve">ελθειν προς υμας το προτερον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2 List do Koryntian 2,17 —</w:t>
            </w:r>
          </w:p>
        </w:tc>
        <w:tc>
          <w:tcPr/>
          <w:p>
            <w:pPr>
              <w:pStyle w:val="Compact"/>
              <w:jc w:val="left"/>
            </w:pPr>
            <w:r>
              <w:t xml:space="preserve">λοιποι</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x(pt)</w:t>
            </w:r>
            <w:r>
              <w:t xml:space="preserve"> </w:t>
            </w:r>
            <w:r>
              <w:t xml:space="preserve">P</w:t>
            </w:r>
            <w:r>
              <w:rPr>
                <w:vertAlign w:val="superscript"/>
              </w:rPr>
              <w:t xml:space="preserve">46</w:t>
            </w:r>
            <w:r>
              <w:t xml:space="preserve">D,syr (</w:t>
            </w:r>
            <w:r>
              <w:rPr>
                <w:bCs/>
                <w:b/>
              </w:rPr>
              <w:t xml:space="preserve">K</w:t>
            </w:r>
            <w:r>
              <w:rPr>
                <w:vertAlign w:val="superscript"/>
                <w:bCs/>
                <w:b/>
              </w:rPr>
              <w:t xml:space="preserve">r</w:t>
            </w:r>
            <w:r>
              <w:t xml:space="preserve"> </w:t>
            </w:r>
            <w:r>
              <w:t xml:space="preserve">jest bardzo starożytny, II/III wiek)</w:t>
            </w:r>
          </w:p>
        </w:tc>
      </w:tr>
      <w:tr>
        <w:tc>
          <w:tcPr/>
          <w:p>
            <w:pPr>
              <w:pStyle w:val="Compact"/>
            </w:pPr>
          </w:p>
        </w:tc>
        <w:tc>
          <w:tcPr/>
          <w:p>
            <w:pPr>
              <w:pStyle w:val="Compact"/>
              <w:jc w:val="left"/>
            </w:pPr>
            <w:r>
              <w:t xml:space="preserve">πολλοι</w:t>
            </w:r>
          </w:p>
        </w:tc>
        <w:tc>
          <w:tcPr/>
          <w:p>
            <w:pPr>
              <w:pStyle w:val="Compact"/>
              <w:jc w:val="left"/>
            </w:pPr>
            <w:r>
              <w:rPr>
                <w:bCs/>
                <w:b/>
              </w:rPr>
              <w:t xml:space="preserve">K</w:t>
            </w:r>
            <w:r>
              <w:rPr>
                <w:vertAlign w:val="superscript"/>
                <w:bCs/>
                <w:b/>
              </w:rPr>
              <w:t xml:space="preserve">x(pt)</w:t>
            </w:r>
            <w:r>
              <w:t xml:space="preserve"> </w:t>
            </w:r>
            <w:r>
              <w:t xml:space="preserve">ℵABC,lat,cop</w:t>
            </w:r>
          </w:p>
        </w:tc>
      </w:tr>
      <w:tr>
        <w:tc>
          <w:tcPr/>
          <w:p>
            <w:pPr>
              <w:pStyle w:val="Compact"/>
              <w:jc w:val="left"/>
            </w:pPr>
            <w:r>
              <w:t xml:space="preserve">List Jakuba 1,23 —</w:t>
            </w:r>
          </w:p>
        </w:tc>
        <w:tc>
          <w:tcPr/>
          <w:p>
            <w:pPr>
              <w:pStyle w:val="Compact"/>
              <w:jc w:val="left"/>
            </w:pPr>
            <w:r>
              <w:t xml:space="preserve">νομου</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r>
              <w:rPr>
                <w:rStyle w:val="FootnoteReference"/>
              </w:rPr>
              <w:footnoteReference w:id="220"/>
            </w:r>
          </w:p>
        </w:tc>
      </w:tr>
      <w:tr>
        <w:tc>
          <w:tcPr/>
          <w:p>
            <w:pPr>
              <w:pStyle w:val="Compact"/>
            </w:pPr>
          </w:p>
        </w:tc>
        <w:tc>
          <w:tcPr/>
          <w:p>
            <w:pPr>
              <w:pStyle w:val="Compact"/>
              <w:jc w:val="left"/>
            </w:pPr>
            <w:r>
              <w:t xml:space="preserve">λογου</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2,3 —</w:t>
            </w:r>
          </w:p>
        </w:tc>
        <w:tc>
          <w:tcPr/>
          <w:p>
            <w:pPr>
              <w:pStyle w:val="Compact"/>
              <w:jc w:val="left"/>
            </w:pPr>
            <w:r>
              <w:t xml:space="preserve">την λαμπραν εσθητα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την εσθητα την λαμπραν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2,4 —</w:t>
            </w:r>
          </w:p>
        </w:tc>
        <w:tc>
          <w:tcPr/>
          <w:p>
            <w:pPr>
              <w:pStyle w:val="Compact"/>
              <w:jc w:val="left"/>
            </w:pPr>
            <w:r>
              <w:t xml:space="preserve">— ου</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και ου</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2,8 —</w:t>
            </w:r>
          </w:p>
        </w:tc>
        <w:tc>
          <w:tcPr/>
          <w:p>
            <w:pPr>
              <w:pStyle w:val="Compact"/>
              <w:jc w:val="left"/>
            </w:pPr>
            <w:r>
              <w:t xml:space="preserve">σεαυτον</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εαυτον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2,14 —</w:t>
            </w:r>
          </w:p>
        </w:tc>
        <w:tc>
          <w:tcPr/>
          <w:p>
            <w:pPr>
              <w:pStyle w:val="Compact"/>
              <w:jc w:val="left"/>
            </w:pPr>
            <w:r>
              <w:t xml:space="preserve">εχει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εχη</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3,2 —</w:t>
            </w:r>
          </w:p>
        </w:tc>
        <w:tc>
          <w:tcPr/>
          <w:p>
            <w:pPr>
              <w:pStyle w:val="Compact"/>
              <w:jc w:val="left"/>
            </w:pPr>
            <w:r>
              <w:t xml:space="preserve">δυναμενος</w:t>
            </w:r>
          </w:p>
        </w:tc>
        <w:tc>
          <w:tcPr/>
          <w:p>
            <w:pPr>
              <w:pStyle w:val="Compact"/>
              <w:jc w:val="left"/>
            </w:pPr>
            <w:r>
              <w:rPr>
                <w:bCs/>
                <w:b/>
              </w:rPr>
              <w:t xml:space="preserve">K</w:t>
            </w:r>
            <w:r>
              <w:rPr>
                <w:vertAlign w:val="superscript"/>
                <w:bCs/>
                <w:b/>
              </w:rPr>
              <w:t xml:space="preserve">r</w:t>
            </w:r>
            <w:r>
              <w:t xml:space="preserve"> </w:t>
            </w:r>
            <w:r>
              <w:t xml:space="preserve">ℵ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δυνατος</w:t>
            </w:r>
          </w:p>
        </w:tc>
        <w:tc>
          <w:tcPr/>
          <w:p>
            <w:pPr>
              <w:pStyle w:val="Compact"/>
              <w:jc w:val="left"/>
            </w:pPr>
            <w:r>
              <w:rPr>
                <w:bCs/>
                <w:b/>
              </w:rPr>
              <w:t xml:space="preserve">K</w:t>
            </w:r>
            <w:r>
              <w:rPr>
                <w:vertAlign w:val="superscript"/>
                <w:bCs/>
                <w:b/>
              </w:rPr>
              <w:t xml:space="preserve">x</w:t>
            </w:r>
            <w:r>
              <w:t xml:space="preserve"> </w:t>
            </w:r>
            <w:r>
              <w:t xml:space="preserve">AB</w:t>
            </w:r>
          </w:p>
        </w:tc>
      </w:tr>
      <w:tr>
        <w:tc>
          <w:tcPr/>
          <w:p>
            <w:pPr>
              <w:pStyle w:val="Compact"/>
              <w:jc w:val="left"/>
            </w:pPr>
            <w:r>
              <w:t xml:space="preserve">List Jakuba 3,4 —</w:t>
            </w:r>
          </w:p>
        </w:tc>
        <w:tc>
          <w:tcPr/>
          <w:p>
            <w:pPr>
              <w:pStyle w:val="Compact"/>
              <w:jc w:val="left"/>
            </w:pPr>
            <w:r>
              <w:t xml:space="preserve">ιθυνοντος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 rzadka pisownia klasyczna)</w:t>
            </w:r>
          </w:p>
        </w:tc>
      </w:tr>
      <w:tr>
        <w:tc>
          <w:tcPr/>
          <w:p>
            <w:pPr>
              <w:pStyle w:val="Compact"/>
            </w:pPr>
          </w:p>
        </w:tc>
        <w:tc>
          <w:tcPr/>
          <w:p>
            <w:pPr>
              <w:pStyle w:val="Compact"/>
              <w:jc w:val="left"/>
            </w:pPr>
            <w:r>
              <w:t xml:space="preserve">ευθυνοντος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4,11 —</w:t>
            </w:r>
          </w:p>
        </w:tc>
        <w:tc>
          <w:tcPr/>
          <w:p>
            <w:pPr>
              <w:pStyle w:val="Compact"/>
              <w:jc w:val="left"/>
            </w:pPr>
            <w:r>
              <w:t xml:space="preserve">ο γαρ</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 —</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List Jakuba 4,14 —</w:t>
            </w:r>
          </w:p>
        </w:tc>
        <w:tc>
          <w:tcPr/>
          <w:p>
            <w:pPr>
              <w:pStyle w:val="Compact"/>
              <w:jc w:val="left"/>
            </w:pPr>
            <w:r>
              <w:t xml:space="preserve">ημων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υμων</w:t>
            </w:r>
          </w:p>
        </w:tc>
        <w:tc>
          <w:tcPr/>
          <w:p>
            <w:pPr>
              <w:pStyle w:val="Compact"/>
              <w:jc w:val="left"/>
            </w:pPr>
            <w:r>
              <w:rPr>
                <w:bCs/>
                <w:b/>
              </w:rPr>
              <w:t xml:space="preserve">K</w:t>
            </w:r>
            <w:r>
              <w:rPr>
                <w:vertAlign w:val="superscript"/>
                <w:bCs/>
                <w:b/>
              </w:rPr>
              <w:t xml:space="preserve">x</w:t>
            </w:r>
            <w:r>
              <w:t xml:space="preserve"> </w:t>
            </w:r>
            <w:r>
              <w:t xml:space="preserve">ℵA(P</w:t>
            </w:r>
            <w:r>
              <w:rPr>
                <w:vertAlign w:val="superscript"/>
              </w:rPr>
              <w:t xml:space="preserve">100</w:t>
            </w:r>
            <w:r>
              <w:t xml:space="preserve">B)</w:t>
            </w:r>
          </w:p>
        </w:tc>
      </w:tr>
      <w:tr>
        <w:tc>
          <w:tcPr/>
          <w:p>
            <w:pPr>
              <w:pStyle w:val="Compact"/>
              <w:jc w:val="left"/>
            </w:pPr>
            <w:r>
              <w:t xml:space="preserve">List Jakuba 4,14 —</w:t>
            </w:r>
          </w:p>
        </w:tc>
        <w:tc>
          <w:tcPr/>
          <w:p>
            <w:pPr>
              <w:pStyle w:val="Compact"/>
              <w:jc w:val="left"/>
            </w:pPr>
            <w:r>
              <w:t xml:space="preserve">επειτα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επειτα και</w:t>
            </w:r>
          </w:p>
        </w:tc>
        <w:tc>
          <w:tcPr/>
          <w:p>
            <w:pPr>
              <w:pStyle w:val="Compact"/>
              <w:jc w:val="left"/>
            </w:pPr>
            <w:r>
              <w:t xml:space="preserve">ℵAB</w:t>
            </w:r>
          </w:p>
        </w:tc>
      </w:tr>
      <w:tr>
        <w:tc>
          <w:tcPr/>
          <w:p>
            <w:pPr>
              <w:pStyle w:val="Compact"/>
            </w:pPr>
          </w:p>
        </w:tc>
        <w:tc>
          <w:tcPr/>
          <w:p>
            <w:pPr>
              <w:pStyle w:val="Compact"/>
              <w:jc w:val="left"/>
            </w:pPr>
            <w:r>
              <w:t xml:space="preserve">επειτα δε και</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1 List Piotra 3,16 —</w:t>
            </w:r>
          </w:p>
        </w:tc>
        <w:tc>
          <w:tcPr/>
          <w:p>
            <w:pPr>
              <w:pStyle w:val="Compact"/>
              <w:jc w:val="left"/>
            </w:pPr>
            <w:r>
              <w:t xml:space="preserve">καταλαλουσιν</w:t>
            </w:r>
          </w:p>
        </w:tc>
        <w:tc>
          <w:tcPr/>
          <w:p>
            <w:pPr>
              <w:pStyle w:val="Compact"/>
              <w:jc w:val="left"/>
            </w:pPr>
            <w:r>
              <w:rPr>
                <w:bCs/>
                <w:b/>
              </w:rPr>
              <w:t xml:space="preserve">K</w:t>
            </w:r>
            <w:r>
              <w:rPr>
                <w:vertAlign w:val="superscript"/>
                <w:bCs/>
                <w:b/>
              </w:rPr>
              <w:t xml:space="preserve">r</w:t>
            </w:r>
            <w:r>
              <w:t xml:space="preserve"> </w:t>
            </w:r>
            <w:r>
              <w:t xml:space="preserve">ℵAC,sy</w:t>
            </w:r>
            <w:r>
              <w:rPr>
                <w:vertAlign w:val="superscript"/>
              </w:rPr>
              <w:t xml:space="preserve">p</w:t>
            </w:r>
            <w:r>
              <w:t xml:space="preserve">,bo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καταλαλωσιν</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καταλαλεισθε</w:t>
            </w:r>
          </w:p>
        </w:tc>
        <w:tc>
          <w:tcPr/>
          <w:p>
            <w:pPr>
              <w:pStyle w:val="Compact"/>
              <w:jc w:val="left"/>
            </w:pPr>
            <w:r>
              <w:t xml:space="preserve">P</w:t>
            </w:r>
            <w:r>
              <w:rPr>
                <w:vertAlign w:val="superscript"/>
              </w:rPr>
              <w:t xml:space="preserve">72</w:t>
            </w:r>
            <w:r>
              <w:t xml:space="preserve">B,sa</w:t>
            </w:r>
          </w:p>
        </w:tc>
      </w:tr>
      <w:tr>
        <w:tc>
          <w:tcPr/>
          <w:p>
            <w:pPr>
              <w:pStyle w:val="Compact"/>
              <w:jc w:val="left"/>
            </w:pPr>
            <w:r>
              <w:t xml:space="preserve">1 List Piotra 4,3 —</w:t>
            </w:r>
          </w:p>
        </w:tc>
        <w:tc>
          <w:tcPr/>
          <w:p>
            <w:pPr>
              <w:pStyle w:val="Compact"/>
              <w:jc w:val="left"/>
            </w:pPr>
            <w:r>
              <w:t xml:space="preserve">υμιν</w:t>
            </w:r>
          </w:p>
        </w:tc>
        <w:tc>
          <w:tcPr/>
          <w:p>
            <w:pPr>
              <w:pStyle w:val="Compact"/>
              <w:jc w:val="left"/>
            </w:pPr>
            <w:r>
              <w:rPr>
                <w:bCs/>
                <w:b/>
              </w:rPr>
              <w:t xml:space="preserve">K</w:t>
            </w:r>
            <w:r>
              <w:rPr>
                <w:vertAlign w:val="superscript"/>
                <w:bCs/>
                <w:b/>
              </w:rPr>
              <w:t xml:space="preserve">r</w:t>
            </w:r>
            <w:r>
              <w:t xml:space="preserve"> </w:t>
            </w:r>
            <w:r>
              <w:t xml:space="preserve">ℵbo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ημιν</w:t>
            </w:r>
          </w:p>
        </w:tc>
        <w:tc>
          <w:tcPr/>
          <w:p>
            <w:pPr>
              <w:pStyle w:val="Compact"/>
              <w:jc w:val="left"/>
            </w:pPr>
            <w:r>
              <w:rPr>
                <w:bCs/>
                <w:b/>
              </w:rPr>
              <w:t xml:space="preserve">K</w:t>
            </w:r>
            <w:r>
              <w:rPr>
                <w:vertAlign w:val="superscript"/>
                <w:bCs/>
                <w:b/>
              </w:rPr>
              <w:t xml:space="preserve">x</w:t>
            </w:r>
            <w:r>
              <w:t xml:space="preserve"> </w:t>
            </w:r>
            <w:r>
              <w:t xml:space="preserve">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AB,lat,syr,sa</w:t>
            </w:r>
          </w:p>
        </w:tc>
      </w:tr>
      <w:tr>
        <w:tc>
          <w:tcPr/>
          <w:p>
            <w:pPr>
              <w:pStyle w:val="Compact"/>
              <w:jc w:val="left"/>
            </w:pPr>
            <w:r>
              <w:t xml:space="preserve">2 List Piotra 2,17 —</w:t>
            </w:r>
          </w:p>
        </w:tc>
        <w:tc>
          <w:tcPr/>
          <w:p>
            <w:pPr>
              <w:pStyle w:val="Compact"/>
              <w:jc w:val="left"/>
            </w:pPr>
            <w:r>
              <w:t xml:space="preserve">εις αιωνας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εις αιωνα</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 </w:t>
            </w:r>
            <w:r>
              <w:t xml:space="preserve">ℵB,lat,syr,cop</w:t>
            </w:r>
          </w:p>
        </w:tc>
      </w:tr>
      <w:tr>
        <w:tc>
          <w:tcPr/>
          <w:p>
            <w:pPr>
              <w:pStyle w:val="Compact"/>
              <w:jc w:val="left"/>
            </w:pPr>
            <w:r>
              <w:t xml:space="preserve">3 List Jana 12 —</w:t>
            </w:r>
          </w:p>
        </w:tc>
        <w:tc>
          <w:tcPr/>
          <w:p>
            <w:pPr>
              <w:pStyle w:val="Compact"/>
              <w:jc w:val="left"/>
            </w:pPr>
            <w:r>
              <w:t xml:space="preserve">οιδαμεν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οιδατε</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οιδας</w:t>
            </w:r>
          </w:p>
        </w:tc>
        <w:tc>
          <w:tcPr/>
          <w:p>
            <w:pPr>
              <w:pStyle w:val="Compact"/>
              <w:jc w:val="left"/>
            </w:pPr>
            <w:r>
              <w:t xml:space="preserve">ℵABC</w:t>
            </w:r>
          </w:p>
        </w:tc>
      </w:tr>
    </w:tbl>
    <w:p>
      <w:pPr>
        <w:pStyle w:val="BodyText"/>
      </w:pPr>
      <w:r>
        <w:t xml:space="preserve">Jakie zatem wnioski możemy wyciągnąć z tych dowodów?</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i sięgają co najmniej IV wieku.</w:t>
      </w:r>
      <w:r>
        <w:rPr>
          <w:rStyle w:val="FootnoteReference"/>
        </w:rPr>
        <w:footnoteReference w:id="221"/>
      </w:r>
      <w:r>
        <w:t xml:space="preserve"> </w:t>
      </w:r>
      <w:r>
        <w:t xml:space="preserve">Kilka przykładów można by interpretować w ten sposób, że</w:t>
      </w:r>
      <w:r>
        <w:t xml:space="preserve"> </w:t>
      </w:r>
      <w:r>
        <w:rPr>
          <w:bCs/>
          <w:b/>
        </w:rPr>
        <w:t xml:space="preserve">K</w:t>
      </w:r>
      <w:r>
        <w:rPr>
          <w:vertAlign w:val="superscript"/>
          <w:bCs/>
          <w:b/>
        </w:rPr>
        <w:t xml:space="preserve">r</w:t>
      </w:r>
      <w:r>
        <w:t xml:space="preserve"> </w:t>
      </w:r>
      <w:r>
        <w:t xml:space="preserve">jest starszy od</w:t>
      </w:r>
      <w:r>
        <w:t xml:space="preserve"> </w:t>
      </w:r>
      <w:r>
        <w:rPr>
          <w:bCs/>
          <w:b/>
        </w:rPr>
        <w:t xml:space="preserve">K</w:t>
      </w:r>
      <w:r>
        <w:rPr>
          <w:vertAlign w:val="superscript"/>
          <w:bCs/>
          <w:b/>
        </w:rPr>
        <w:t xml:space="preserve">x</w:t>
      </w:r>
      <w:r>
        <w:t xml:space="preserve"> </w:t>
      </w:r>
      <w:r>
        <w:t xml:space="preserve">i sięga III, a nawet II wieku, pozostawię jednak tę możliwość na dalszym planie i przyjrzę się kolejnym dowodom. Poniższe przykłady opierają się na</w:t>
      </w:r>
      <w:r>
        <w:t xml:space="preserve"> </w:t>
      </w:r>
      <w:r>
        <w:rPr>
          <w:iCs/>
          <w:i/>
        </w:rPr>
        <w:t xml:space="preserve">Text und Textwert</w:t>
      </w:r>
      <w:r>
        <w:t xml:space="preserve"> </w:t>
      </w:r>
      <w:r>
        <w:t xml:space="preserve">i wydaniu Ewangelii Łukasza przygotowanym przez IGNTP.</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Ewangelia Łukasza 1,55 —</w:t>
            </w:r>
          </w:p>
        </w:tc>
        <w:tc>
          <w:tcPr/>
          <w:p>
            <w:pPr>
              <w:pStyle w:val="Compact"/>
              <w:jc w:val="left"/>
            </w:pPr>
            <w:r>
              <w:t xml:space="preserve">εως αιωνος</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εις τον αιωνα</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1,63 —</w:t>
            </w:r>
          </w:p>
        </w:tc>
        <w:tc>
          <w:tcPr/>
          <w:p>
            <w:pPr>
              <w:pStyle w:val="Compact"/>
              <w:jc w:val="left"/>
            </w:pPr>
            <w:r>
              <w:t xml:space="preserve">εσται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εστιν</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3,12 —</w:t>
            </w:r>
          </w:p>
        </w:tc>
        <w:tc>
          <w:tcPr/>
          <w:p>
            <w:pPr>
              <w:pStyle w:val="Compact"/>
              <w:jc w:val="left"/>
            </w:pPr>
            <w:r>
              <w:t xml:space="preserve">υπ αυτου και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 —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4,7 —</w:t>
            </w:r>
          </w:p>
        </w:tc>
        <w:tc>
          <w:tcPr/>
          <w:p>
            <w:pPr>
              <w:pStyle w:val="Compact"/>
              <w:jc w:val="left"/>
            </w:pPr>
            <w:r>
              <w:t xml:space="preserve">σοι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4,42 —</w:t>
            </w:r>
          </w:p>
        </w:tc>
        <w:tc>
          <w:tcPr/>
          <w:p>
            <w:pPr>
              <w:pStyle w:val="Compact"/>
              <w:jc w:val="left"/>
            </w:pPr>
            <w:r>
              <w:t xml:space="preserve">εζητουν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επεζητουν</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 —</w:t>
            </w:r>
          </w:p>
        </w:tc>
        <w:tc>
          <w:tcPr/>
          <w:p>
            <w:pPr>
              <w:pStyle w:val="Compact"/>
              <w:jc w:val="left"/>
            </w:pPr>
            <w:r>
              <w:t xml:space="preserve">περι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παρα</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w:t>
            </w:r>
          </w:p>
        </w:tc>
      </w:tr>
      <w:tr>
        <w:tc>
          <w:tcPr/>
          <w:p>
            <w:pPr>
              <w:pStyle w:val="Compact"/>
              <w:jc w:val="left"/>
            </w:pPr>
            <w:r>
              <w:t xml:space="preserve">Ewangelia Łukasza 5,19 —</w:t>
            </w:r>
          </w:p>
        </w:tc>
        <w:tc>
          <w:tcPr/>
          <w:p>
            <w:pPr>
              <w:pStyle w:val="Compact"/>
              <w:jc w:val="left"/>
            </w:pPr>
            <w:r>
              <w:t xml:space="preserve">ευροντες δια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ευροντες —</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5,19 —</w:t>
            </w:r>
          </w:p>
        </w:tc>
        <w:tc>
          <w:tcPr/>
          <w:p>
            <w:pPr>
              <w:pStyle w:val="Compact"/>
              <w:jc w:val="left"/>
            </w:pPr>
            <w:r>
              <w:t xml:space="preserve">πως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ποιας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6,7 —</w:t>
            </w:r>
          </w:p>
        </w:tc>
        <w:tc>
          <w:tcPr/>
          <w:p>
            <w:pPr>
              <w:pStyle w:val="Compact"/>
              <w:jc w:val="left"/>
            </w:pPr>
            <w:r>
              <w:t xml:space="preserve">— τω</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εν τω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6,10 —</w:t>
            </w:r>
          </w:p>
        </w:tc>
        <w:tc>
          <w:tcPr/>
          <w:p>
            <w:pPr>
              <w:pStyle w:val="Compact"/>
              <w:jc w:val="left"/>
            </w:pPr>
            <w:r>
              <w:t xml:space="preserve">ουτως και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6,26 —</w:t>
            </w:r>
          </w:p>
        </w:tc>
        <w:tc>
          <w:tcPr/>
          <w:p>
            <w:pPr>
              <w:pStyle w:val="Compact"/>
              <w:jc w:val="left"/>
            </w:pPr>
            <w:r>
              <w:t xml:space="preserve">καλως ειπωσιν υμας</w:t>
            </w:r>
          </w:p>
        </w:tc>
        <w:tc>
          <w:tcPr/>
          <w:p>
            <w:pPr>
              <w:pStyle w:val="Compact"/>
              <w:jc w:val="left"/>
            </w:pPr>
            <w:r>
              <w:rPr>
                <w:bCs/>
                <w:b/>
              </w:rPr>
              <w:t xml:space="preserve">K</w:t>
            </w:r>
            <w:r>
              <w:rPr>
                <w:vertAlign w:val="superscript"/>
                <w:bCs/>
                <w:b/>
              </w:rPr>
              <w:t xml:space="preserve">r</w:t>
            </w:r>
            <w:r>
              <w:t xml:space="preserve"> </w:t>
            </w:r>
            <w:r>
              <w:t xml:space="preserve">ℵA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καλως υμας ειπωσιν</w:t>
            </w:r>
          </w:p>
        </w:tc>
        <w:tc>
          <w:tcPr/>
          <w:p>
            <w:pPr>
              <w:pStyle w:val="Compact"/>
              <w:jc w:val="left"/>
            </w:pPr>
            <w:r>
              <w:rPr>
                <w:bCs/>
                <w:b/>
              </w:rPr>
              <w:t xml:space="preserve">K</w:t>
            </w:r>
            <w:r>
              <w:rPr>
                <w:vertAlign w:val="superscript"/>
                <w:bCs/>
                <w:b/>
              </w:rPr>
              <w:t xml:space="preserve">x</w:t>
            </w:r>
            <w:r>
              <w:t xml:space="preserve">D</w:t>
            </w:r>
          </w:p>
        </w:tc>
      </w:tr>
      <w:tr>
        <w:tc>
          <w:tcPr/>
          <w:p>
            <w:pPr>
              <w:pStyle w:val="Compact"/>
            </w:pPr>
          </w:p>
        </w:tc>
        <w:tc>
          <w:tcPr/>
          <w:p>
            <w:pPr>
              <w:pStyle w:val="Compact"/>
              <w:jc w:val="left"/>
            </w:pPr>
            <w:r>
              <w:t xml:space="preserve">υμας καλως ειπωσιν</w:t>
            </w:r>
          </w:p>
        </w:tc>
        <w:tc>
          <w:tcPr/>
          <w:p>
            <w:pPr>
              <w:pStyle w:val="Compact"/>
              <w:jc w:val="left"/>
            </w:pPr>
            <w:r>
              <w:t xml:space="preserve">P</w:t>
            </w:r>
            <w:r>
              <w:rPr>
                <w:vertAlign w:val="superscript"/>
              </w:rPr>
              <w:t xml:space="preserve">75</w:t>
            </w:r>
            <w:r>
              <w:t xml:space="preserve">B</w:t>
            </w:r>
          </w:p>
        </w:tc>
      </w:tr>
      <w:tr>
        <w:tc>
          <w:tcPr/>
          <w:p>
            <w:pPr>
              <w:pStyle w:val="Compact"/>
              <w:jc w:val="left"/>
            </w:pPr>
            <w:r>
              <w:t xml:space="preserve">Ewangelia Łukasza 6,26 —</w:t>
            </w:r>
          </w:p>
        </w:tc>
        <w:tc>
          <w:tcPr/>
          <w:p>
            <w:pPr>
              <w:pStyle w:val="Compact"/>
              <w:jc w:val="left"/>
            </w:pPr>
            <w:r>
              <w:t xml:space="preserve">παντες οι</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AB(ℵ)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w:t>
            </w:r>
          </w:p>
        </w:tc>
        <w:tc>
          <w:tcPr/>
          <w:p>
            <w:pPr>
              <w:pStyle w:val="Compact"/>
              <w:jc w:val="left"/>
            </w:pPr>
            <w:r>
              <w:rPr>
                <w:bCs/>
                <w:b/>
              </w:rPr>
              <w:t xml:space="preserve">K</w:t>
            </w:r>
            <w:r>
              <w:rPr>
                <w:vertAlign w:val="superscript"/>
                <w:bCs/>
                <w:b/>
              </w:rPr>
              <w:t xml:space="preserve">x</w:t>
            </w:r>
            <w:r>
              <w:t xml:space="preserve"> </w:t>
            </w:r>
            <w:r>
              <w:t xml:space="preserve">D,syr</w:t>
            </w:r>
          </w:p>
        </w:tc>
      </w:tr>
      <w:tr>
        <w:tc>
          <w:tcPr/>
          <w:p>
            <w:pPr>
              <w:pStyle w:val="Compact"/>
              <w:jc w:val="left"/>
            </w:pPr>
            <w:r>
              <w:t xml:space="preserve">Ewangelia Łukasza 6,49 —</w:t>
            </w:r>
          </w:p>
        </w:tc>
        <w:tc>
          <w:tcPr/>
          <w:p>
            <w:pPr>
              <w:pStyle w:val="Compact"/>
              <w:jc w:val="left"/>
            </w:pPr>
            <w:r>
              <w:t xml:space="preserve">την οικιαν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οικιαν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8,15 —</w:t>
            </w:r>
          </w:p>
        </w:tc>
        <w:tc>
          <w:tcPr/>
          <w:p>
            <w:pPr>
              <w:pStyle w:val="Compact"/>
              <w:jc w:val="left"/>
            </w:pPr>
            <w:r>
              <w:t xml:space="preserve">ταυτα λεγων εφωνει ο εχων ωτα ακουειν ακουετω</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(pominięcie)</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8,24 —</w:t>
            </w:r>
          </w:p>
        </w:tc>
        <w:tc>
          <w:tcPr/>
          <w:p>
            <w:pPr>
              <w:pStyle w:val="Compact"/>
              <w:jc w:val="left"/>
            </w:pPr>
            <w:r>
              <w:t xml:space="preserve">και προσελθοντες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προσελθοντες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9,27 —</w:t>
            </w:r>
          </w:p>
        </w:tc>
        <w:tc>
          <w:tcPr/>
          <w:p>
            <w:pPr>
              <w:pStyle w:val="Compact"/>
              <w:jc w:val="left"/>
            </w:pPr>
            <w:r>
              <w:t xml:space="preserve">εστηκοτων</w:t>
            </w:r>
          </w:p>
        </w:tc>
        <w:tc>
          <w:tcPr/>
          <w:p>
            <w:pPr>
              <w:pStyle w:val="Compact"/>
              <w:jc w:val="left"/>
            </w:pPr>
            <w:r>
              <w:rPr>
                <w:bCs/>
                <w:b/>
              </w:rPr>
              <w:t xml:space="preserve">K</w:t>
            </w:r>
            <w:r>
              <w:rPr>
                <w:vertAlign w:val="superscript"/>
                <w:bCs/>
                <w:b/>
              </w:rPr>
              <w:t xml:space="preserve">r</w:t>
            </w:r>
            <w:r>
              <w:t xml:space="preserve"> </w:t>
            </w:r>
            <w:r>
              <w:t xml:space="preserve">ℵB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εστωτων</w:t>
            </w:r>
          </w:p>
        </w:tc>
        <w:tc>
          <w:tcPr/>
          <w:p>
            <w:pPr>
              <w:pStyle w:val="Compact"/>
              <w:jc w:val="left"/>
            </w:pPr>
            <w:r>
              <w:rPr>
                <w:bCs/>
                <w:b/>
              </w:rPr>
              <w:t xml:space="preserve">K</w:t>
            </w:r>
            <w:r>
              <w:rPr>
                <w:vertAlign w:val="superscript"/>
                <w:bCs/>
                <w:b/>
              </w:rPr>
              <w:t xml:space="preserve">x</w:t>
            </w:r>
            <w:r>
              <w:t xml:space="preserve"> </w:t>
            </w:r>
            <w:r>
              <w:t xml:space="preserve">ACD</w:t>
            </w:r>
          </w:p>
        </w:tc>
      </w:tr>
      <w:tr>
        <w:tc>
          <w:tcPr/>
          <w:p>
            <w:pPr>
              <w:pStyle w:val="Compact"/>
              <w:jc w:val="left"/>
            </w:pPr>
            <w:r>
              <w:t xml:space="preserve">Ewangelia Łukasza 9,56 —</w:t>
            </w:r>
          </w:p>
        </w:tc>
        <w:tc>
          <w:tcPr/>
          <w:p>
            <w:pPr>
              <w:pStyle w:val="Compact"/>
              <w:jc w:val="left"/>
            </w:pPr>
            <w:r>
              <w:t xml:space="preserve">(obecność wersetu)</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w:t>
            </w:r>
            <w:r>
              <w:t xml:space="preserve"> </w:t>
            </w:r>
            <w:r>
              <w:t xml:space="preserve">lat,syr,Diat,Marcion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t>
            </w:r>
            <w:r>
              <w:t xml:space="preserve">pochodzą z II wieku)</w:t>
            </w:r>
          </w:p>
        </w:tc>
      </w:tr>
      <w:tr>
        <w:tc>
          <w:tcPr/>
          <w:p>
            <w:pPr>
              <w:pStyle w:val="Compact"/>
            </w:pPr>
          </w:p>
        </w:tc>
        <w:tc>
          <w:tcPr/>
          <w:p>
            <w:pPr>
              <w:pStyle w:val="Compact"/>
              <w:jc w:val="left"/>
            </w:pPr>
            <w:r>
              <w:t xml:space="preserve">(pominięcie wersetu)</w:t>
            </w:r>
          </w:p>
        </w:tc>
        <w:tc>
          <w:tcPr/>
          <w:p>
            <w:pPr>
              <w:pStyle w:val="Compact"/>
              <w:jc w:val="left"/>
            </w:pPr>
            <w:r>
              <w:t xml:space="preserve">P</w:t>
            </w:r>
            <w:r>
              <w:rPr>
                <w:vertAlign w:val="superscript"/>
              </w:rPr>
              <w:t xml:space="preserve">45,75</w:t>
            </w:r>
            <w:r>
              <w:t xml:space="preserve"> </w:t>
            </w:r>
            <w:r>
              <w:t xml:space="preserve">ℵABCDW,cop</w:t>
            </w:r>
          </w:p>
        </w:tc>
      </w:tr>
      <w:tr>
        <w:tc>
          <w:tcPr/>
          <w:p>
            <w:pPr>
              <w:pStyle w:val="Compact"/>
              <w:jc w:val="left"/>
            </w:pPr>
            <w:r>
              <w:t xml:space="preserve">Ewangelia Łukasza 10,4 —</w:t>
            </w:r>
          </w:p>
        </w:tc>
        <w:tc>
          <w:tcPr/>
          <w:p>
            <w:pPr>
              <w:pStyle w:val="Compact"/>
              <w:jc w:val="left"/>
            </w:pPr>
            <w:r>
              <w:t xml:space="preserve">πηραν μη</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πηραν μηδε</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jc w:val="left"/>
            </w:pPr>
            <w:r>
              <w:t xml:space="preserve">Ewangelia Łukasza 10,6 —</w:t>
            </w:r>
          </w:p>
        </w:tc>
        <w:tc>
          <w:tcPr/>
          <w:p>
            <w:pPr>
              <w:pStyle w:val="Compact"/>
              <w:jc w:val="left"/>
            </w:pPr>
            <w:r>
              <w:t xml:space="preserve">εαν 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εαν —</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ℵABCD</w:t>
            </w:r>
          </w:p>
        </w:tc>
      </w:tr>
      <w:tr>
        <w:tc>
          <w:tcPr/>
          <w:p>
            <w:pPr>
              <w:pStyle w:val="Compact"/>
              <w:jc w:val="left"/>
            </w:pPr>
            <w:r>
              <w:t xml:space="preserve">Ewangelia Łukasza 10,39 —</w:t>
            </w:r>
          </w:p>
        </w:tc>
        <w:tc>
          <w:tcPr/>
          <w:p>
            <w:pPr>
              <w:pStyle w:val="Compact"/>
              <w:jc w:val="left"/>
            </w:pPr>
            <w:r>
              <w:t xml:space="preserve">των λογων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τον λογον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ℵABC</w:t>
            </w:r>
          </w:p>
        </w:tc>
      </w:tr>
      <w:tr>
        <w:tc>
          <w:tcPr/>
          <w:p>
            <w:pPr>
              <w:pStyle w:val="Compact"/>
              <w:jc w:val="left"/>
            </w:pPr>
            <w:r>
              <w:t xml:space="preserve">Ewangelia Łukasza 10,41 —</w:t>
            </w:r>
          </w:p>
        </w:tc>
        <w:tc>
          <w:tcPr/>
          <w:p>
            <w:pPr>
              <w:pStyle w:val="Compact"/>
              <w:jc w:val="left"/>
            </w:pPr>
            <w:r>
              <w:t xml:space="preserve">ο Ιησους ειπεν αυτη</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ο Kυριος ειπεν αυτη</w:t>
            </w:r>
          </w:p>
        </w:tc>
        <w:tc>
          <w:tcPr/>
          <w:p>
            <w:pPr>
              <w:pStyle w:val="Compact"/>
              <w:jc w:val="left"/>
            </w:pPr>
            <w:r>
              <w:t xml:space="preserve">P</w:t>
            </w:r>
            <w:r>
              <w:rPr>
                <w:vertAlign w:val="superscript"/>
              </w:rPr>
              <w:t xml:space="preserve">45</w:t>
            </w:r>
            <w:r>
              <w:t xml:space="preserve"> </w:t>
            </w:r>
            <w:r>
              <w:t xml:space="preserve">(szyk wyrazów pochodzi z III wieku)</w:t>
            </w:r>
          </w:p>
        </w:tc>
      </w:tr>
      <w:tr>
        <w:tc>
          <w:tcPr/>
          <w:p>
            <w:pPr>
              <w:pStyle w:val="Compact"/>
            </w:pPr>
          </w:p>
        </w:tc>
        <w:tc>
          <w:tcPr/>
          <w:p>
            <w:pPr>
              <w:pStyle w:val="Compact"/>
              <w:jc w:val="left"/>
            </w:pPr>
            <w:r>
              <w:t xml:space="preserve">ειπεν αυτη ο Ιησους</w:t>
            </w:r>
          </w:p>
        </w:tc>
        <w:tc>
          <w:tcPr/>
          <w:p>
            <w:pPr>
              <w:pStyle w:val="Compact"/>
              <w:jc w:val="left"/>
            </w:pPr>
            <w:r>
              <w:rPr>
                <w:bCs/>
                <w:b/>
              </w:rPr>
              <w:t xml:space="preserve">K</w:t>
            </w:r>
            <w:r>
              <w:rPr>
                <w:vertAlign w:val="superscript"/>
                <w:bCs/>
                <w:b/>
              </w:rPr>
              <w:t xml:space="preserve">x</w:t>
            </w:r>
            <w:r>
              <w:t xml:space="preserve"> </w:t>
            </w:r>
            <w:r>
              <w:t xml:space="preserve">ACW,syr,bo</w:t>
            </w:r>
          </w:p>
        </w:tc>
      </w:tr>
      <w:tr>
        <w:tc>
          <w:tcPr/>
          <w:p>
            <w:pPr>
              <w:pStyle w:val="Compact"/>
            </w:pPr>
          </w:p>
        </w:tc>
        <w:tc>
          <w:tcPr/>
          <w:p>
            <w:pPr>
              <w:pStyle w:val="Compact"/>
              <w:jc w:val="left"/>
            </w:pPr>
            <w:r>
              <w:t xml:space="preserve">ειπεν αυτη ο Kυριος</w:t>
            </w:r>
          </w:p>
        </w:tc>
        <w:tc>
          <w:tcPr/>
          <w:p>
            <w:pPr>
              <w:pStyle w:val="Compact"/>
              <w:jc w:val="left"/>
            </w:pPr>
            <w:r>
              <w:t xml:space="preserve">P</w:t>
            </w:r>
            <w:r>
              <w:rPr>
                <w:vertAlign w:val="superscript"/>
              </w:rPr>
              <w:t xml:space="preserve">75</w:t>
            </w:r>
            <w:r>
              <w:t xml:space="preserve"> </w:t>
            </w:r>
            <w:r>
              <w:t xml:space="preserve">ℵB,lat,sa</w:t>
            </w:r>
          </w:p>
        </w:tc>
      </w:tr>
      <w:tr>
        <w:tc>
          <w:tcPr/>
          <w:p>
            <w:pPr>
              <w:pStyle w:val="Compact"/>
              <w:jc w:val="left"/>
            </w:pPr>
            <w:r>
              <w:t xml:space="preserve">Ewangelia Łukasza 11,34 —</w:t>
            </w:r>
          </w:p>
        </w:tc>
        <w:tc>
          <w:tcPr/>
          <w:p>
            <w:pPr>
              <w:pStyle w:val="Compact"/>
              <w:jc w:val="left"/>
            </w:pPr>
            <w:r>
              <w:t xml:space="preserve">— ολον</w:t>
            </w:r>
          </w:p>
        </w:tc>
        <w:tc>
          <w:tcPr/>
          <w:p>
            <w:pPr>
              <w:pStyle w:val="Compact"/>
              <w:jc w:val="left"/>
            </w:pPr>
            <w:r>
              <w:rPr>
                <w:bCs/>
                <w:b/>
              </w:rPr>
              <w:t xml:space="preserve">K</w:t>
            </w:r>
            <w:r>
              <w:rPr>
                <w:vertAlign w:val="superscript"/>
                <w:bCs/>
                <w:b/>
              </w:rPr>
              <w:t xml:space="preserve">r</w:t>
            </w:r>
            <w:r>
              <w:t xml:space="preserve"> </w:t>
            </w:r>
            <w:r>
              <w:t xml:space="preserve">CD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και ολον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w:t>
            </w:r>
          </w:p>
        </w:tc>
      </w:tr>
      <w:tr>
        <w:tc>
          <w:tcPr/>
          <w:p>
            <w:pPr>
              <w:pStyle w:val="Compact"/>
              <w:jc w:val="left"/>
            </w:pPr>
            <w:r>
              <w:t xml:space="preserve">Ewangelia Łukasza 11,53 —</w:t>
            </w:r>
          </w:p>
        </w:tc>
        <w:tc>
          <w:tcPr/>
          <w:p>
            <w:pPr>
              <w:pStyle w:val="Compact"/>
              <w:jc w:val="left"/>
            </w:pPr>
            <w:r>
              <w:t xml:space="preserve">συνεχειν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ενεχειν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w:t>
            </w:r>
          </w:p>
        </w:tc>
      </w:tr>
      <w:tr>
        <w:tc>
          <w:tcPr/>
          <w:p>
            <w:pPr>
              <w:pStyle w:val="Compact"/>
            </w:pPr>
          </w:p>
        </w:tc>
        <w:tc>
          <w:tcPr/>
          <w:p>
            <w:pPr>
              <w:pStyle w:val="Compact"/>
              <w:jc w:val="left"/>
            </w:pPr>
            <w:r>
              <w:t xml:space="preserve">εχειν</w:t>
            </w:r>
          </w:p>
        </w:tc>
        <w:tc>
          <w:tcPr/>
          <w:p>
            <w:pPr>
              <w:pStyle w:val="Compact"/>
              <w:jc w:val="left"/>
            </w:pPr>
            <w:r>
              <w:t xml:space="preserve">P</w:t>
            </w:r>
            <w:r>
              <w:rPr>
                <w:vertAlign w:val="superscript"/>
              </w:rPr>
              <w:t xml:space="preserve">45</w:t>
            </w:r>
            <w:r>
              <w:t xml:space="preserve">D</w:t>
            </w:r>
          </w:p>
        </w:tc>
      </w:tr>
      <w:tr>
        <w:tc>
          <w:tcPr/>
          <w:p>
            <w:pPr>
              <w:pStyle w:val="Compact"/>
            </w:pPr>
          </w:p>
        </w:tc>
        <w:tc>
          <w:tcPr/>
          <w:p>
            <w:pPr>
              <w:pStyle w:val="Compact"/>
              <w:jc w:val="left"/>
            </w:pPr>
            <w:r>
              <w:t xml:space="preserve">επεχειν</w:t>
            </w:r>
          </w:p>
        </w:tc>
        <w:tc>
          <w:tcPr/>
          <w:p>
            <w:pPr>
              <w:pStyle w:val="Compact"/>
              <w:jc w:val="left"/>
            </w:pPr>
            <w:r>
              <w:t xml:space="preserve">C</w:t>
            </w:r>
          </w:p>
        </w:tc>
      </w:tr>
      <w:tr>
        <w:tc>
          <w:tcPr/>
          <w:p>
            <w:pPr>
              <w:pStyle w:val="Compact"/>
              <w:jc w:val="left"/>
            </w:pPr>
            <w:r>
              <w:t xml:space="preserve">Ewangelia Łukasza 12,22 —</w:t>
            </w:r>
          </w:p>
        </w:tc>
        <w:tc>
          <w:tcPr/>
          <w:p>
            <w:pPr>
              <w:pStyle w:val="Compact"/>
              <w:jc w:val="left"/>
            </w:pPr>
            <w:r>
              <w:t xml:space="preserve">λεγω υμιν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υμιν λεγω</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12,56 —</w:t>
            </w:r>
          </w:p>
        </w:tc>
        <w:tc>
          <w:tcPr/>
          <w:p>
            <w:pPr>
              <w:pStyle w:val="Compact"/>
              <w:jc w:val="left"/>
            </w:pPr>
            <w:r>
              <w:t xml:space="preserve">του ουρανου και της γης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45,75</w:t>
            </w:r>
            <w:r>
              <w:t xml:space="preserve">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της γης και του ουρανου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12,58 —</w:t>
            </w:r>
          </w:p>
        </w:tc>
        <w:tc>
          <w:tcPr/>
          <w:p>
            <w:pPr>
              <w:pStyle w:val="Compact"/>
              <w:jc w:val="left"/>
            </w:pPr>
            <w:r>
              <w:t xml:space="preserve">βαλη σε</w:t>
            </w:r>
          </w:p>
        </w:tc>
        <w:tc>
          <w:tcPr/>
          <w:p>
            <w:pPr>
              <w:pStyle w:val="Compact"/>
              <w:jc w:val="left"/>
            </w:pPr>
            <w:r>
              <w:rPr>
                <w:bCs/>
                <w:b/>
              </w:rPr>
              <w:t xml:space="preserve">K</w:t>
            </w:r>
            <w:r>
              <w:rPr>
                <w:vertAlign w:val="superscript"/>
                <w:bCs/>
                <w:b/>
              </w:rPr>
              <w:t xml:space="preserve">r</w:t>
            </w:r>
            <w:r>
              <w:t xml:space="preserve">(D) (</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σε βαλη</w:t>
            </w:r>
          </w:p>
        </w:tc>
        <w:tc>
          <w:tcPr/>
          <w:p>
            <w:pPr>
              <w:pStyle w:val="Compact"/>
              <w:jc w:val="left"/>
            </w:pPr>
            <w:r>
              <w:rPr>
                <w:bCs/>
                <w:b/>
              </w:rPr>
              <w:t xml:space="preserve">K</w:t>
            </w:r>
            <w:r>
              <w:rPr>
                <w:vertAlign w:val="superscript"/>
                <w:bCs/>
                <w:b/>
              </w:rPr>
              <w:t xml:space="preserve">x</w:t>
            </w:r>
            <w:r>
              <w:t xml:space="preserve"> </w:t>
            </w:r>
            <w:r>
              <w:t xml:space="preserve">A(P</w:t>
            </w:r>
            <w:r>
              <w:rPr>
                <w:vertAlign w:val="superscript"/>
              </w:rPr>
              <w:t xml:space="preserve">75</w:t>
            </w:r>
            <w:r>
              <w:t xml:space="preserve"> </w:t>
            </w:r>
            <w:r>
              <w:t xml:space="preserve">ℵB)</w:t>
            </w:r>
          </w:p>
        </w:tc>
      </w:tr>
      <w:tr>
        <w:tc>
          <w:tcPr/>
          <w:p>
            <w:pPr>
              <w:pStyle w:val="Compact"/>
              <w:jc w:val="left"/>
            </w:pPr>
            <w:r>
              <w:t xml:space="preserve">Ewangelia Łukasza 13,28 —</w:t>
            </w:r>
          </w:p>
        </w:tc>
        <w:tc>
          <w:tcPr/>
          <w:p>
            <w:pPr>
              <w:pStyle w:val="Compact"/>
              <w:jc w:val="left"/>
            </w:pPr>
            <w:r>
              <w:t xml:space="preserve">οψεσθε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οψησθε</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AW</w:t>
            </w:r>
          </w:p>
        </w:tc>
      </w:tr>
      <w:tr>
        <w:tc>
          <w:tcPr/>
          <w:p>
            <w:pPr>
              <w:pStyle w:val="Compact"/>
            </w:pPr>
          </w:p>
        </w:tc>
        <w:tc>
          <w:tcPr/>
          <w:p>
            <w:pPr>
              <w:pStyle w:val="Compact"/>
              <w:jc w:val="left"/>
            </w:pPr>
            <w:r>
              <w:t xml:space="preserve">ιδητε</w:t>
            </w:r>
          </w:p>
        </w:tc>
        <w:tc>
          <w:tcPr/>
          <w:p>
            <w:pPr>
              <w:pStyle w:val="Compact"/>
              <w:jc w:val="left"/>
            </w:pPr>
            <w:r>
              <w:t xml:space="preserve">ℵ</w:t>
            </w:r>
          </w:p>
        </w:tc>
      </w:tr>
      <w:tr>
        <w:tc>
          <w:tcPr/>
          <w:p>
            <w:pPr>
              <w:pStyle w:val="Compact"/>
              <w:jc w:val="left"/>
            </w:pPr>
            <w:r>
              <w:t xml:space="preserve">Ewangelia Łukasza 19,23 —</w:t>
            </w:r>
          </w:p>
        </w:tc>
        <w:tc>
          <w:tcPr/>
          <w:p>
            <w:pPr>
              <w:pStyle w:val="Compact"/>
              <w:jc w:val="left"/>
            </w:pPr>
            <w:r>
              <w:t xml:space="preserve">επι την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21,6 —</w:t>
            </w:r>
          </w:p>
        </w:tc>
        <w:tc>
          <w:tcPr/>
          <w:p>
            <w:pPr>
              <w:pStyle w:val="Compact"/>
              <w:jc w:val="left"/>
            </w:pPr>
            <w:r>
              <w:t xml:space="preserve">επι λιθον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λιθω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21,15 —</w:t>
            </w:r>
          </w:p>
        </w:tc>
        <w:tc>
          <w:tcPr/>
          <w:p>
            <w:pPr>
              <w:pStyle w:val="Compact"/>
              <w:jc w:val="left"/>
            </w:pPr>
            <w:r>
              <w:t xml:space="preserve">αντειπειν η αντιστηναι</w:t>
            </w:r>
          </w:p>
        </w:tc>
        <w:tc>
          <w:tcPr/>
          <w:p>
            <w:pPr>
              <w:pStyle w:val="Compact"/>
              <w:jc w:val="left"/>
            </w:pPr>
            <w:r>
              <w:rPr>
                <w:bCs/>
                <w:b/>
              </w:rPr>
              <w:t xml:space="preserve">K</w:t>
            </w:r>
            <w:r>
              <w:rPr>
                <w:vertAlign w:val="superscript"/>
                <w:bCs/>
                <w:b/>
              </w:rPr>
              <w:t xml:space="preserve">r</w:t>
            </w:r>
            <w:r>
              <w:t xml:space="preserve"> </w:t>
            </w:r>
            <w:r>
              <w:t xml:space="preserve">A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αντειπειν ουδε αντιστηναι</w:t>
            </w:r>
          </w:p>
        </w:tc>
        <w:tc>
          <w:tcPr/>
          <w:p>
            <w:pPr>
              <w:pStyle w:val="Compact"/>
              <w:jc w:val="left"/>
            </w:pPr>
            <w:r>
              <w:rPr>
                <w:bCs/>
                <w:b/>
              </w:rPr>
              <w:t xml:space="preserve">K</w:t>
            </w:r>
            <w:r>
              <w:rPr>
                <w:vertAlign w:val="superscript"/>
                <w:bCs/>
                <w:b/>
              </w:rPr>
              <w:t xml:space="preserve">x</w:t>
            </w:r>
            <w:r>
              <w:t xml:space="preserve"> </w:t>
            </w:r>
            <w:r>
              <w:t xml:space="preserve">W</w:t>
            </w:r>
          </w:p>
        </w:tc>
      </w:tr>
      <w:tr>
        <w:tc>
          <w:tcPr/>
          <w:p>
            <w:pPr>
              <w:pStyle w:val="Compact"/>
            </w:pPr>
          </w:p>
        </w:tc>
        <w:tc>
          <w:tcPr/>
          <w:p>
            <w:pPr>
              <w:pStyle w:val="Compact"/>
              <w:jc w:val="left"/>
            </w:pPr>
            <w:r>
              <w:t xml:space="preserve">— — αντιστηναι</w:t>
            </w:r>
          </w:p>
        </w:tc>
        <w:tc>
          <w:tcPr/>
          <w:p>
            <w:pPr>
              <w:pStyle w:val="Compact"/>
              <w:jc w:val="left"/>
            </w:pPr>
            <w:r>
              <w:t xml:space="preserve">D,it,syr</w:t>
            </w:r>
          </w:p>
        </w:tc>
      </w:tr>
      <w:tr>
        <w:tc>
          <w:tcPr/>
          <w:p>
            <w:pPr>
              <w:pStyle w:val="Compact"/>
            </w:pPr>
          </w:p>
        </w:tc>
        <w:tc>
          <w:tcPr/>
          <w:p>
            <w:pPr>
              <w:pStyle w:val="Compact"/>
              <w:jc w:val="left"/>
            </w:pPr>
            <w:r>
              <w:t xml:space="preserve">αντιστηναι η αντειπειν</w:t>
            </w:r>
          </w:p>
        </w:tc>
        <w:tc>
          <w:tcPr/>
          <w:p>
            <w:pPr>
              <w:pStyle w:val="Compact"/>
              <w:jc w:val="left"/>
            </w:pPr>
            <w:r>
              <w:t xml:space="preserve">ℵB,cop</w:t>
            </w:r>
          </w:p>
        </w:tc>
      </w:tr>
      <w:tr>
        <w:tc>
          <w:tcPr/>
          <w:p>
            <w:pPr>
              <w:pStyle w:val="Compact"/>
              <w:jc w:val="left"/>
            </w:pPr>
            <w:r>
              <w:t xml:space="preserve">Ewangelia Łukasza 22,12 —</w:t>
            </w:r>
          </w:p>
        </w:tc>
        <w:tc>
          <w:tcPr/>
          <w:p>
            <w:pPr>
              <w:pStyle w:val="Compact"/>
              <w:jc w:val="left"/>
            </w:pPr>
            <w:r>
              <w:t xml:space="preserve">αναγαιον</w:t>
            </w:r>
          </w:p>
        </w:tc>
        <w:tc>
          <w:tcPr/>
          <w:p>
            <w:pPr>
              <w:pStyle w:val="Compact"/>
              <w:jc w:val="left"/>
            </w:pPr>
            <w:r>
              <w:rPr>
                <w:bCs/>
                <w:b/>
              </w:rPr>
              <w:t xml:space="preserve">K</w:t>
            </w:r>
            <w:r>
              <w:rPr>
                <w:vertAlign w:val="superscript"/>
                <w:bCs/>
                <w:b/>
              </w:rPr>
              <w:t xml:space="preserve">r</w:t>
            </w:r>
            <w:r>
              <w:t xml:space="preserve"> </w:t>
            </w:r>
            <w:r>
              <w:t xml:space="preserve">ℵABD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αναγεον</w:t>
            </w:r>
          </w:p>
        </w:tc>
        <w:tc>
          <w:tcPr/>
          <w:p>
            <w:pPr>
              <w:pStyle w:val="Compact"/>
              <w:jc w:val="left"/>
            </w:pPr>
            <w:r>
              <w:t xml:space="preserve">CW</w:t>
            </w:r>
          </w:p>
        </w:tc>
      </w:tr>
      <w:tr>
        <w:tc>
          <w:tcPr/>
          <w:p>
            <w:pPr>
              <w:pStyle w:val="Compact"/>
            </w:pPr>
          </w:p>
        </w:tc>
        <w:tc>
          <w:tcPr/>
          <w:p>
            <w:pPr>
              <w:pStyle w:val="Compact"/>
              <w:jc w:val="left"/>
            </w:pPr>
            <w:r>
              <w:t xml:space="preserve">ανωγεον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Ewangelia Łukasza 22,66 —</w:t>
            </w:r>
          </w:p>
        </w:tc>
        <w:tc>
          <w:tcPr/>
          <w:p>
            <w:pPr>
              <w:pStyle w:val="Compact"/>
              <w:jc w:val="left"/>
            </w:pPr>
            <w:r>
              <w:t xml:space="preserve">απηγαγον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ανηγαγον</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23,51 —</w:t>
            </w:r>
          </w:p>
        </w:tc>
        <w:tc>
          <w:tcPr/>
          <w:p>
            <w:pPr>
              <w:pStyle w:val="Compact"/>
              <w:jc w:val="left"/>
            </w:pPr>
            <w:r>
              <w:t xml:space="preserve">ος —</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ℵBCD,lat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ος και</w:t>
            </w:r>
          </w:p>
        </w:tc>
        <w:tc>
          <w:tcPr/>
          <w:p>
            <w:pPr>
              <w:pStyle w:val="Compact"/>
              <w:jc w:val="left"/>
            </w:pPr>
            <w:r>
              <w:rPr>
                <w:bCs/>
                <w:b/>
              </w:rPr>
              <w:t xml:space="preserve">K</w:t>
            </w:r>
            <w:r>
              <w:rPr>
                <w:vertAlign w:val="superscript"/>
                <w:bCs/>
                <w:b/>
              </w:rPr>
              <w:t xml:space="preserve">x</w:t>
            </w:r>
            <w:r>
              <w:t xml:space="preserve"> </w:t>
            </w:r>
            <w:r>
              <w:t xml:space="preserve">AW</w:t>
            </w:r>
          </w:p>
        </w:tc>
      </w:tr>
    </w:tbl>
    <w:p>
      <w:pPr>
        <w:pStyle w:val="BodyText"/>
      </w:pPr>
      <w:r>
        <w:t xml:space="preserve">Istnieje jeszcze wiele przykładów, w których</w:t>
      </w:r>
      <w:r>
        <w:t xml:space="preserve"> </w:t>
      </w:r>
      <w:r>
        <w:rPr>
          <w:bCs/>
          <w:b/>
        </w:rPr>
        <w:t xml:space="preserve">K</w:t>
      </w:r>
      <w:r>
        <w:rPr>
          <w:vertAlign w:val="superscript"/>
          <w:bCs/>
          <w:b/>
        </w:rPr>
        <w:t xml:space="preserve">r</w:t>
      </w:r>
      <w:r>
        <w:t xml:space="preserve"> </w:t>
      </w:r>
      <w:r>
        <w:t xml:space="preserve">występuje samotnie przeciwko całemu światu, co wykazuje jego niezależność, lecz „znużyłem się w czynieniu dobra” i uznałem, że podałem wystarczająco wiele, aby dowieść swojej tezy. Zauważ, że N-A</w:t>
      </w:r>
      <w:r>
        <w:rPr>
          <w:vertAlign w:val="superscript"/>
        </w:rPr>
        <w:t xml:space="preserve">27</w:t>
      </w:r>
      <w:r>
        <w:t xml:space="preserve"> </w:t>
      </w:r>
      <w:r>
        <w:t xml:space="preserve">wspomina tylko jedną trzecią tych przykładów z Ewangelii Łukasza — być pogardzanym oznacza być ignorowanym. Te dodatkowe dowody potwierdzają,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z tym że teraz oba trzeba datować co najmniej na III wiek.</w:t>
      </w:r>
    </w:p>
    <w:p>
      <w:pPr>
        <w:pStyle w:val="BodyText"/>
      </w:pPr>
      <w:r>
        <w:t xml:space="preserve">Można zauważyć, że podałem przykłady z Ewangelii (Łukasza, Jana), Dziejów Apostolskich, Pawła (List do Rzymian, 2 List do Koryntian) i Listów Ogólnych (List Jakuba, 1 List Piotra, 2 List Piotra, 3 List Jana), ze szczególnym uwzględnieniem Ewangelii Łukasza, Dziejów Apostolskich i Listu Jakuba.</w:t>
      </w:r>
      <w:r>
        <w:rPr>
          <w:rStyle w:val="FootnoteReference"/>
        </w:rPr>
        <w:footnoteReference w:id="222"/>
      </w:r>
      <w:r>
        <w:t xml:space="preserve"> </w:t>
      </w:r>
      <w:r>
        <w:t xml:space="preserve">W całym Nowym Testamencie</w:t>
      </w:r>
      <w:r>
        <w:t xml:space="preserve"> </w:t>
      </w:r>
      <w:r>
        <w:rPr>
          <w:bCs/>
          <w:b/>
        </w:rPr>
        <w:t xml:space="preserve">K</w:t>
      </w:r>
      <w:r>
        <w:rPr>
          <w:vertAlign w:val="superscript"/>
          <w:bCs/>
          <w:b/>
        </w:rPr>
        <w:t xml:space="preserve">r</w:t>
      </w:r>
      <w:r>
        <w:t xml:space="preserve"> </w:t>
      </w:r>
      <w:r>
        <w:t xml:space="preserve">jest niezależny i starożytny. Skoro sięga III wieku, jest równie stary jak każdy inny typ tekstu. Dlatego</w:t>
      </w:r>
      <w:r>
        <w:t xml:space="preserve"> </w:t>
      </w:r>
      <w:r>
        <w:rPr>
          <w:bCs/>
          <w:b/>
        </w:rPr>
        <w:t xml:space="preserve">należy go traktować z szacunkiem, na jaki zasługuje!!</w:t>
      </w:r>
    </w:p>
    <w:p>
      <w:pPr>
        <w:pStyle w:val="BodyText"/>
      </w:pPr>
      <w:r>
        <w:t xml:space="preserve">Dwukrotnie cytowałem Maurice’a Robinsona i wykazałem, że dowody potwierdzają jego twierdzenia.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sięgają początku ery pergaminowej. Wysuwa on jednak jeszcze śmielsze twierdzenie:</w:t>
      </w:r>
    </w:p>
    <w:p>
      <w:pPr>
        <w:pStyle w:val="BlockText"/>
      </w:pPr>
      <w:r>
        <w:t xml:space="preserve">Ani kodeksy majuskułowe, ani minuskułowe nie wykazują żadnych oznak, aby jakakolwiek znana linia wywodziła się z równoległej znanej linii. Około dziesięciu linii przekazu będących „typami tekstu” pozostaje niezależnych i z konieczności musi sięgać punktu na długo przed ich odrębną stabilizacją — punktu, który wydaje się tkwić (jak sugerowali Colwell i Scrivener) głęboko w II wieku.</w:t>
      </w:r>
      <w:r>
        <w:rPr>
          <w:rStyle w:val="FootnoteReference"/>
        </w:rPr>
        <w:footnoteReference w:id="223"/>
      </w:r>
    </w:p>
    <w:p>
      <w:pPr>
        <w:pStyle w:val="FirstParagraph"/>
      </w:pPr>
      <w:r>
        <w:t xml:space="preserve">No, no, no, zbliżamy się całkiem mocno do Autografów! Obiektywne dowody z II wieku są nieco trudne do zdobycia. Mimo to przytoczone wyżej przykłady z Dziejów Apostolskich 21,8, Dziejów Apostolskich 23,20, Listu do Rzymian 5,1, Ewangelii Łukasza 9,56, Ewangelii Łukasza 12,22 i Ewangelii Łukasza 23,51 mogą umieszczać</w:t>
      </w:r>
      <w:r>
        <w:t xml:space="preserve">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 II wieku. Celem tej części nie jest jednak obrona tej tezy. Na razie zadowalam się naleganiem, że</w:t>
      </w:r>
      <w:r>
        <w:t xml:space="preserve"> </w:t>
      </w:r>
      <w:r>
        <w:rPr>
          <w:bCs/>
          <w:b/>
        </w:rPr>
        <w:t xml:space="preserve">K</w:t>
      </w:r>
      <w:r>
        <w:rPr>
          <w:vertAlign w:val="superscript"/>
          <w:bCs/>
          <w:b/>
        </w:rPr>
        <w:t xml:space="preserve">r</w:t>
      </w:r>
      <w:r>
        <w:t xml:space="preserve"> </w:t>
      </w:r>
      <w:r>
        <w:t xml:space="preserve">musi sięgać III wieku, a zatem musi zostać zrehabilitowany w praktyce krytyki tekstu Nowego Testamentu.</w:t>
      </w:r>
    </w:p>
    <w:p>
      <w:pPr>
        <w:pStyle w:val="BodyText"/>
      </w:pPr>
      <w:r>
        <w:t xml:space="preserve">Podsumowując, twierdzę, że wykazałem, iż</w:t>
      </w:r>
      <w:r>
        <w:t xml:space="preserve"> </w:t>
      </w:r>
      <w:r>
        <w:rPr>
          <w:bCs/>
          <w:b/>
        </w:rPr>
        <w:t xml:space="preserve">K</w:t>
      </w:r>
      <w:r>
        <w:rPr>
          <w:vertAlign w:val="superscript"/>
          <w:bCs/>
          <w:b/>
        </w:rPr>
        <w:t xml:space="preserve">r</w:t>
      </w:r>
      <w:r>
        <w:t xml:space="preserve"> </w:t>
      </w:r>
      <w:r>
        <w:t xml:space="preserve">jest niezależny i starożytny, sięgający (co najmniej) III wieku. Istnieje jednak głęboko zakorzeniona pogarda/antypatia wobec tego symbolu,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w:t>
      </w:r>
    </w:p>
    <w:p>
      <w:pPr>
        <w:pStyle w:val="BodyText"/>
      </w:pPr>
      <w:r>
        <w:t xml:space="preserve">Skrytykowawszy datowanie</w:t>
      </w:r>
      <w:r>
        <w:t xml:space="preserve"> </w:t>
      </w:r>
      <w:r>
        <w:rPr>
          <w:bCs/>
          <w:b/>
        </w:rPr>
        <w:t xml:space="preserve">K</w:t>
      </w:r>
      <w:r>
        <w:rPr>
          <w:vertAlign w:val="superscript"/>
          <w:bCs/>
          <w:b/>
        </w:rPr>
        <w:t xml:space="preserve">r</w:t>
      </w:r>
      <w:r>
        <w:t xml:space="preserve"> </w:t>
      </w:r>
      <w:r>
        <w:t xml:space="preserve">przez von Sodena, pytam teraz: co doprowadziło go do tego wniosku i dlaczego jego wniosek został niemal powszechnie zaakceptowany przez środowisko akademickie? Odpowiadam: liczba manuskryptów typu</w:t>
      </w:r>
      <w:r>
        <w:t xml:space="preserve"> </w:t>
      </w:r>
      <w:r>
        <w:rPr>
          <w:bCs/>
          <w:b/>
        </w:rPr>
        <w:t xml:space="preserve">K</w:t>
      </w:r>
      <w:r>
        <w:rPr>
          <w:vertAlign w:val="superscript"/>
          <w:bCs/>
          <w:b/>
        </w:rPr>
        <w:t xml:space="preserve">r</w:t>
      </w:r>
      <w:r>
        <w:t xml:space="preserve"> </w:t>
      </w:r>
      <w:r>
        <w:t xml:space="preserve">po raz pierwszy staje się zauważalna właśnie w XII wieku, chociaż istnieje pewna ich liczba z XI wieku. Liczba ta rośnie w XIII wieku, a jeszcze bardziej w XIV, zwracając na siebie uwagę. Ci, którzy przyjęli już doktrynę Horta o późnym tekście „syryjskim”, nie widzieliby powodu, by kwestionować twierdzenie von Sodena, ani nie mieliby skłonności czy motywacji, aby „marnować” czas na jego sprawdzanie. Jeśli sam von Soden przyjął doktrynę Horta, dowody go zaślepiły.</w:t>
      </w:r>
    </w:p>
    <w:p>
      <w:pPr>
        <w:pStyle w:val="BodyText"/>
      </w:pPr>
      <w:r>
        <w:t xml:space="preserve">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bookmarkEnd w:id="224"/>
    <w:bookmarkStart w:id="236" w:name="o-wzorcu-i-zależności"/>
    <w:p>
      <w:pPr>
        <w:pStyle w:val="Heading2"/>
      </w:pPr>
      <w:r>
        <w:t xml:space="preserve">O „wzorcu” i „zależności”</w:t>
      </w:r>
    </w:p>
    <w:p>
      <w:pPr>
        <w:pStyle w:val="FirstParagraph"/>
      </w:pPr>
      <w:r>
        <w:t xml:space="preserve">Gdy 100% znanych manuskryptów jest zgodnych, wzorzec i zależność między nimi są całkowite lub zupełne. Ponieważ</w:t>
      </w:r>
      <w:r>
        <w:t xml:space="preserve"> </w:t>
      </w:r>
      <w:r>
        <w:rPr>
          <w:bCs/>
          <w:b/>
        </w:rPr>
        <w:t xml:space="preserve">WSZYSTKIE</w:t>
      </w:r>
      <w:r>
        <w:t xml:space="preserve"> </w:t>
      </w:r>
      <w:r>
        <w:t xml:space="preserve">manuskrypty otrzymały wspólny wpływ od Oryginału, szczególnej uwagi wymagają rozbieżności.</w:t>
      </w:r>
    </w:p>
    <w:p>
      <w:pPr>
        <w:pStyle w:val="BodyText"/>
      </w:pPr>
      <w:r>
        <w:t xml:space="preserve">Gdy 100% znanych manuskryptów jest zgodnych, nie może istnieć żadna rozsądna wątpliwość co do oryginalnych sformułowań. Prawdopodobnie dotyczy to co najmniej 50% słów w Nowym Testamencie. W przypadku wielu dalszych słów nie zgadza się tylko jeden manuskrypt — nazywamy to odczytem „singularnym”. Zgadzam się z E.C. Colwellem, gdy oświadczył, że wszystkie odczyty singularne należy rygorystycznie wykluczyć z rozważań,</w:t>
      </w:r>
      <w:r>
        <w:rPr>
          <w:rStyle w:val="FootnoteReference"/>
        </w:rPr>
        <w:footnoteReference w:id="225"/>
      </w:r>
      <w:r>
        <w:t xml:space="preserve"> </w:t>
      </w:r>
      <w:r>
        <w:t xml:space="preserve">nawet jeśli dany odczyt nie jest oczywistym błędem. Po prostu nierozsądne jest wyobrażanie sobie, że jeden manuskrypt może mieć rację przeciwko 1700 manuskryptom w Ewangeliach albo przeciwko 700 u Pawła. Gdy wszystkie linie przekazu są zgodne, muszą odzwierciedlać Oryginał. Jeśli manuskrypt zawierający wariant singularny należy do linii przekazu, wariant ten nie może być poprawny (jest wewnętrzny dla tej linii).</w:t>
      </w:r>
    </w:p>
    <w:p>
      <w:pPr>
        <w:pStyle w:val="BodyText"/>
      </w:pPr>
      <w:r>
        <w:t xml:space="preserve">Manuskrypty, które są indywidualnie tak odmienne, że nie można ich pogrupować, nie należą do żadnej linii przekazu. Żaden zawarty w nich odczyt singularny nie może być poprawny. Liczba manuskryptów zawierających Nowy Testament jest tak ogromna, że każdy odmienny manuskrypt był po prostu czyjąś prywatną własnością, jest bez znaczenia dla historii przekazywania Tekstu.</w:t>
      </w:r>
    </w:p>
    <w:p>
      <w:pPr>
        <w:pStyle w:val="BodyText"/>
      </w:pPr>
      <w:r>
        <w:t xml:space="preserve">Gdy dwa lub więcej manuskryptów zgadza się w rozbieżności, należy zadać co najmniej trzy pytania: 1) Czy powstały w tym samym miejscu? 2) Czy jest to łatwy błąd przepisywania, który różni kopiści mogli popełnić niezależnie? 3) Czy należą do tej samej linii przekazu? Gdy dwa lub więcej manuskryptów ma wspólną pewną liczbę wariantów, prawdopodobnie istnieje jakaś zależność — dzielą pewnego rodzaju wspólny wpływ. Zakres takiego wpływu wymaga zbadania.</w:t>
      </w:r>
    </w:p>
    <w:p>
      <w:pPr>
        <w:pStyle w:val="BodyText"/>
      </w:pPr>
      <w:r>
        <w:t xml:space="preserve">Colwell uważał, że aby dwa manuskrypty zostały zaliczone do przedstawicieli tej samej rodziny, powinny zgadzać się w co najmniej 70% miejsc, w których występują różnice</w:t>
      </w:r>
      <w:r>
        <w:rPr>
          <w:rStyle w:val="FootnoteReference"/>
        </w:rPr>
        <w:footnoteReference w:id="226"/>
      </w:r>
      <w:r>
        <w:t xml:space="preserve"> </w:t>
      </w:r>
      <w:r>
        <w:t xml:space="preserve">(ja wymagałbym 80%). Ponieważ kodeksy Alef i B zgadzają się w mniej niż 70% przypadków, nie osiągają progu Colwella. Mimo to nie można zaprzeczyć, że te dwa manuskrypty doznały wspólnego skażenia, do którego w różnym stopniu dołączyły A, C, D i W. To wspólne skażenie musiało mieć jakieś źródło, gdzie? W dyscyplinie krytyki tekstu Nowego Testamentu to wspólne skażenie nazywa się „aleksandryjskim” typem tekstu. Ponieważ Aleksandria znajduje się w Egipcie, ten typ tekstu nazywany jest także „egipskim”.</w:t>
      </w:r>
    </w:p>
    <w:p>
      <w:pPr>
        <w:pStyle w:val="BodyText"/>
      </w:pPr>
      <w:r>
        <w:t xml:space="preserve">Każdy z sześciu wspomnianych wyżej kodeksów ma odrębny konglomerat wariantów, każdy z nich znacznie różni się od wszystkich pozostałych. Ponieważ każdy z nich nie ma ani rodziców, ani dzieci (o których byśmy wiedzieli), są indywidualnymi wytworami, sfabrykowanymi kopiami. Nie jesteśmy w stanie wiedzieć, co motywowało każdego z kopistów, którzy sporządzili te sfabrykowane kopie. Nasza niewiedza w tej kwestii nie zmienia jednak natury tych sfabrykowanych kopii.</w:t>
      </w:r>
    </w:p>
    <w:p>
      <w:pPr>
        <w:pStyle w:val="BodyText"/>
      </w:pPr>
      <w:r>
        <w:t xml:space="preserve">Po tym, jak rozpowszechniłem wcześniejszą wersję tego artykułu, dr Michael C. Loehrer przesłał mi kilka przemyśleń na temat powstawania „typu tekstu” bez archetypu:</w:t>
      </w:r>
    </w:p>
    <w:p>
      <w:pPr>
        <w:pStyle w:val="BlockText"/>
      </w:pPr>
      <w:r>
        <w:t xml:space="preserve">Chociaż nie możemy</w:t>
      </w:r>
      <w:r>
        <w:t xml:space="preserve"> </w:t>
      </w:r>
      <w:r>
        <w:rPr>
          <w:iCs/>
          <w:i/>
        </w:rPr>
        <w:t xml:space="preserve">wiedzieć</w:t>
      </w:r>
      <w:r>
        <w:t xml:space="preserve">, co motywowało kopistów do wprowadzania sfabrykowanych wariantów do tekstu, możemy wnioskować o ich motywacji na podstawie tego, gdzie żyli i w co wierzyli. Żyli w Egipcie i wyznawali wierzenia gnostyckie w świecie grecko-rzymskim. W ich świecie mieszanie wierzeń stanowiło przejaw wzajemnego szacunku i gotowości do wspierania pokoju, jednego z ich najwyższych ideałów. Żydzi i chrześcijanie wierzyli, że takie mieszanie rozcieńcza lub narusza prawdę absolutną. Egipscy gnostycy próbowali ulepszyć niedoskonały tekst. Żydzi i chrześcijanie wierzyli, że zaczynają od doskonałego tekstu. W konsekwencji Żydzi i chrześcijanie dążyli do sporządzania kopii wiernych swojemu egzemplarzowi. Egipscy gnostycy dążyli do ulepszenia swojego egzemplarza. Do powyższych wniosków prowadziło kilka linii rozumowania:</w:t>
      </w:r>
    </w:p>
    <w:p>
      <w:pPr>
        <w:numPr>
          <w:ilvl w:val="0"/>
          <w:numId w:val="1010"/>
        </w:numPr>
        <w:pStyle w:val="BlockText"/>
      </w:pPr>
      <w:r>
        <w:t xml:space="preserve">W Imperium Rzymskim nie istniały prawa autorskie, dlatego gdy tylko tekst został udostępniony publicznie, stawał się podatny na swobodne zmiany — każdy mógł go zmienić.</w:t>
      </w:r>
    </w:p>
    <w:p>
      <w:pPr>
        <w:numPr>
          <w:ilvl w:val="0"/>
          <w:numId w:val="1010"/>
        </w:numPr>
        <w:pStyle w:val="BlockText"/>
      </w:pPr>
      <w:r>
        <w:t xml:space="preserve">Gnostyccy kopiści wprowadzali celowe zmiany, ponieważ wierzyli, że ulepszają niedoskonały tekst (zakładali, że wszystkie teksty są niedoskonałe, ponieważ mają ludzkie pochodzenie).</w:t>
      </w:r>
    </w:p>
    <w:p>
      <w:pPr>
        <w:numPr>
          <w:ilvl w:val="0"/>
          <w:numId w:val="1010"/>
        </w:numPr>
        <w:pStyle w:val="BlockText"/>
      </w:pPr>
      <w:r>
        <w:t xml:space="preserve">Nie wierzyli, że boskie autorstwo i bezbłędność są możliwe w świecie materialnym (doskonałość istniała wyłącznie w świecie niematerialnym).</w:t>
      </w:r>
    </w:p>
    <w:p>
      <w:pPr>
        <w:numPr>
          <w:ilvl w:val="0"/>
          <w:numId w:val="1010"/>
        </w:numPr>
        <w:pStyle w:val="BlockText"/>
      </w:pPr>
      <w:r>
        <w:t xml:space="preserve">Wierzyli, że posiadają szczególną wiedzę, a zatem mają obowiązek podejmować próby ulepszania.</w:t>
      </w:r>
    </w:p>
    <w:p>
      <w:pPr>
        <w:numPr>
          <w:ilvl w:val="0"/>
          <w:numId w:val="1010"/>
        </w:numPr>
        <w:pStyle w:val="BlockText"/>
      </w:pPr>
      <w:r>
        <w:t xml:space="preserve">Wierzyli, że przewyższają (pod względem naukowym i religijnym) zwykłych ludzi, którzy przekazali im gorsze kopie.</w:t>
      </w:r>
    </w:p>
    <w:p>
      <w:pPr>
        <w:pStyle w:val="BlockText"/>
      </w:pPr>
      <w:r>
        <w:t xml:space="preserve">W ten sposób egipscy gnostycy, mający światopogląd zupełnie inny niż Żydzi i chrześcijanie, którzy wytworzyli oryginalny tekst, stworzyli luźny egipski typ tekstu bez archetypu.</w:t>
      </w:r>
    </w:p>
    <w:p>
      <w:pPr>
        <w:pStyle w:val="FirstParagraph"/>
      </w:pPr>
      <w:r>
        <w:t xml:space="preserve">(Powiedziałbym, że jego uwagi zasługują na rozważenie).</w:t>
      </w:r>
    </w:p>
    <w:p>
      <w:pPr>
        <w:pStyle w:val="BodyText"/>
      </w:pPr>
      <w:r>
        <w:t xml:space="preserve">Przed laty Colwell wykazał, że nie można zdefiniować archetypalnej formy tak zwanego „aleksandryjskiego” typu tekstu na podstawie głosowania należących do niego manuskryptów.</w:t>
      </w:r>
      <w:r>
        <w:rPr>
          <w:rStyle w:val="FootnoteReference"/>
        </w:rPr>
        <w:footnoteReference w:id="227"/>
      </w:r>
      <w:r>
        <w:t xml:space="preserve"> </w:t>
      </w:r>
      <w:r>
        <w:rPr>
          <w:bCs/>
          <w:b/>
        </w:rPr>
        <w:t xml:space="preserve">Typ tekstu bez archetypu jest fikcją.</w:t>
      </w:r>
      <w:r>
        <w:t xml:space="preserve"> </w:t>
      </w:r>
      <w:r>
        <w:t xml:space="preserve">Mimo to wspólne skażenie przypisywane Aleksandrii nie jest fikcją. Przed śmiercią Kurt Aland, ten wielki obrońca tekstu „egipskiego”, napisał, że w 200 roku n.e. obecność i wpływy gnostyków w Egipcie były tak wszechobecne, iż manuskryptom pochodzącym z Egiptu nie można było ufać!</w:t>
      </w:r>
      <w:r>
        <w:rPr>
          <w:rStyle w:val="FootnoteReference"/>
        </w:rPr>
        <w:footnoteReference w:id="228"/>
      </w:r>
      <w:r>
        <w:t xml:space="preserve"> </w:t>
      </w:r>
      <w:r>
        <w:t xml:space="preserve">Napisał również, że w tamtym czasie używanie greki w Egipcie zanikało.</w:t>
      </w:r>
      <w:r>
        <w:rPr>
          <w:rStyle w:val="FootnoteReference"/>
        </w:rPr>
        <w:footnoteReference w:id="229"/>
      </w:r>
      <w:r>
        <w:t xml:space="preserve"> </w:t>
      </w:r>
      <w:r>
        <w:t xml:space="preserve">(Na jakiej więc podstawie twierdził, że tekst „egipski” jest najlepszy?)</w:t>
      </w:r>
    </w:p>
    <w:p>
      <w:pPr>
        <w:pStyle w:val="BodyText"/>
      </w:pPr>
      <w:r>
        <w:t xml:space="preserve">Na podstawie dostępnych nam obiektywnych dowodów wydaje mi się, że wytwarzanie manuskryptów w Aleksandrii i jej okolicach nigdy nie było niczym więcej niż stojącym wirem na skraju wielkiej rzeki przekazu Nowego Testamentu. Zachowane manuskrypty, o których przypuszcza się, że tam powstały, są tak odmienne, iż nie kwalifikują się jako linia przekazu. Skoro znamy nazwy co najmniej jedenastu gnostyckich „denominacji” istniejących w Egipcie w 200 roku n.e., z pewnością nie brakowało wśród nich sfabrykowanych kopii. Wielki wiek sfabrykowanej kopii nie zmienia faktu, że jest ona sfabrykowaną kopią!</w:t>
      </w:r>
      <w:r>
        <w:t xml:space="preserve"> </w:t>
      </w:r>
      <w:r>
        <w:rPr>
          <w:bCs/>
          <w:b/>
        </w:rPr>
        <w:t xml:space="preserve">Sfabrykowana kopia jest bez znaczenia dla historii przekazywania Tekstu.</w:t>
      </w:r>
    </w:p>
    <w:p>
      <w:pPr>
        <w:pStyle w:val="BodyText"/>
      </w:pPr>
      <w:r>
        <w:t xml:space="preserve">Frederik Wisse skolacjonował i porównał 1386 manuskryptów w rozdziałach 1, 10 i 20 Ewangelii Łukasza (trzy pełne rozdziały), zredukował je do 37 grup (rodzin) oraz 89 „odmieńców” (manuskryptów tak indywidualnie odmiennych, że nie można ich pogrupować).</w:t>
      </w:r>
      <w:r>
        <w:rPr>
          <w:rStyle w:val="FootnoteReference"/>
        </w:rPr>
        <w:footnoteReference w:id="230"/>
      </w:r>
      <w:r>
        <w:t xml:space="preserve"> </w:t>
      </w:r>
      <w:r>
        <w:t xml:space="preserve">Tak się składa, że 36 z 37 mieści się w szerokiej bizantyjskiej rzece przekazu. W obrębie tych 36 znalazł 70 podgrup, uważał więc, że na podstawie profili może zdefiniować te relacje. Trzydziesta siódma grupa to „aleksandryjska”, do której przypisał dokładnie dziesięć manuskryptów dla tych trzech rozdziałów — 10 z 1386, dokładnie tyle, ile można by oczekiwać po stojącym wirze. Wisse posługiwał się wzorcem i zależnością.</w:t>
      </w:r>
    </w:p>
    <w:p>
      <w:pPr>
        <w:pStyle w:val="BodyText"/>
      </w:pPr>
      <w:r>
        <w:t xml:space="preserve">Herman C. Hoskier skolacjonował około 220 manuskryptów Objawienia Jana i na podstawie ich pokrewieństwa przypisał je do dziewięciu rodzin lub grup.</w:t>
      </w:r>
      <w:r>
        <w:rPr>
          <w:rStyle w:val="FootnoteReference"/>
        </w:rPr>
        <w:footnoteReference w:id="231"/>
      </w:r>
      <w:r>
        <w:t xml:space="preserve"> </w:t>
      </w:r>
      <w:r>
        <w:t xml:space="preserve">Na potrzeby poniższego omówienia przypiszę im litery od</w:t>
      </w:r>
      <w:r>
        <w:t xml:space="preserve"> </w:t>
      </w:r>
      <w:r>
        <w:rPr>
          <w:bCs/>
          <w:b/>
        </w:rPr>
        <w:t xml:space="preserve">a</w:t>
      </w:r>
      <w:r>
        <w:t xml:space="preserve"> </w:t>
      </w:r>
      <w:r>
        <w:t xml:space="preserve">do</w:t>
      </w:r>
      <w:r>
        <w:t xml:space="preserve"> </w:t>
      </w:r>
      <w:r>
        <w:rPr>
          <w:bCs/>
          <w:b/>
        </w:rPr>
        <w:t xml:space="preserve">i</w:t>
      </w:r>
      <w:r>
        <w:t xml:space="preserve">. Aparat krytyczny mojego greckiego Tekstu (Rodziny 35) Objawienia Jana, oparty na kolacjonowaniach Hoskiera, uwzględnia około 954 zestawów wariantów. Dokonałem pobieżnego zliczenia wszystkich wewnętrznych podziałów w dziewięciu rodzinach podanych w moim aparacie krytycznym (dla mojego obecnego celu precyzja nie jest konieczna). Wymieniam teraz rodziny w kolejności malejącej według liczby podziałów:</w:t>
      </w:r>
    </w:p>
    <w:p>
      <w:pPr>
        <w:pStyle w:val="BodyText"/>
      </w:pPr>
      <w:r>
        <w:rPr>
          <w:bCs/>
          <w:b/>
          <w:u w:val="single"/>
        </w:rPr>
        <w:t xml:space="preserve">e</w:t>
      </w:r>
      <w:r>
        <w:t xml:space="preserve"> </w:t>
      </w:r>
      <w:r>
        <w:t xml:space="preserve">— 495 </w:t>
      </w:r>
      <w:r>
        <w:rPr>
          <w:bCs/>
          <w:b/>
          <w:u w:val="single"/>
        </w:rPr>
        <w:t xml:space="preserve">i</w:t>
      </w:r>
      <w:r>
        <w:t xml:space="preserve"> </w:t>
      </w:r>
      <w:r>
        <w:t xml:space="preserve">— 424 </w:t>
      </w:r>
      <w:r>
        <w:rPr>
          <w:bCs/>
          <w:b/>
          <w:u w:val="single"/>
        </w:rPr>
        <w:t xml:space="preserve">h</w:t>
      </w:r>
      <w:r>
        <w:t xml:space="preserve"> </w:t>
      </w:r>
      <w:r>
        <w:t xml:space="preserve">— 412 </w:t>
      </w:r>
      <w:r>
        <w:rPr>
          <w:bCs/>
          <w:b/>
          <w:u w:val="single"/>
        </w:rPr>
        <w:t xml:space="preserve">a</w:t>
      </w:r>
      <w:r>
        <w:t xml:space="preserve"> </w:t>
      </w:r>
      <w:r>
        <w:t xml:space="preserve">— 268 </w:t>
      </w:r>
      <w:r>
        <w:rPr>
          <w:bCs/>
          <w:b/>
          <w:u w:val="single"/>
        </w:rPr>
        <w:t xml:space="preserve">g</w:t>
      </w:r>
      <w:r>
        <w:t xml:space="preserve"> </w:t>
      </w:r>
      <w:r>
        <w:t xml:space="preserve">— 191 </w:t>
      </w:r>
      <w:r>
        <w:rPr>
          <w:bCs/>
          <w:b/>
          <w:u w:val="single"/>
        </w:rPr>
        <w:t xml:space="preserve">d</w:t>
      </w:r>
      <w:r>
        <w:t xml:space="preserve"> </w:t>
      </w:r>
      <w:r>
        <w:t xml:space="preserve">— 163 </w:t>
      </w:r>
      <w:r>
        <w:rPr>
          <w:bCs/>
          <w:b/>
          <w:u w:val="single"/>
        </w:rPr>
        <w:t xml:space="preserve">b</w:t>
      </w:r>
      <w:r>
        <w:t xml:space="preserve"> </w:t>
      </w:r>
      <w:r>
        <w:t xml:space="preserve">— 135 </w:t>
      </w:r>
      <w:r>
        <w:rPr>
          <w:bCs/>
          <w:b/>
          <w:u w:val="single"/>
        </w:rPr>
        <w:t xml:space="preserve">f</w:t>
      </w:r>
      <w:r>
        <w:t xml:space="preserve"> </w:t>
      </w:r>
      <w:r>
        <w:t xml:space="preserve">— 104 </w:t>
      </w:r>
      <w:r>
        <w:rPr>
          <w:bCs/>
          <w:b/>
          <w:u w:val="single"/>
        </w:rPr>
        <w:t xml:space="preserve">c</w:t>
      </w:r>
      <w:r>
        <w:t xml:space="preserve"> </w:t>
      </w:r>
      <w:r>
        <w:t xml:space="preserve">— 20</w:t>
      </w:r>
    </w:p>
    <w:p>
      <w:pPr>
        <w:pStyle w:val="BodyText"/>
      </w:pPr>
      <w:r>
        <w:t xml:space="preserve">Łącznie jest ich 2212, co daje średnio 2,3 na zestaw wariantów! Co dziwne, pomimo całego tego zamieszania każda z grup ma wystarczająco wiele własnych cech, by umożliwić jej identyfikację. W pierwszych trzech podział występuje mniej więcej w połowie przypadków, najwyraźniej dokonywano wielu porównań i mieszań. Grupa</w:t>
      </w:r>
      <w:r>
        <w:t xml:space="preserve"> </w:t>
      </w:r>
      <w:r>
        <w:rPr>
          <w:bCs/>
          <w:b/>
          <w:u w:val="single"/>
        </w:rPr>
        <w:t xml:space="preserve">a</w:t>
      </w:r>
      <w:r>
        <w:t xml:space="preserve"> </w:t>
      </w:r>
      <w:r>
        <w:t xml:space="preserve">jest zdecydowanie największa, a Hoskier zidentyfikował w niej pięć podgrup, więc wysoka liczba nie powinna nas dziwić. Liczba dotycząca ostatniej grupy,</w:t>
      </w:r>
      <w:r>
        <w:t xml:space="preserve"> </w:t>
      </w:r>
      <w:r>
        <w:rPr>
          <w:bCs/>
          <w:b/>
          <w:u w:val="single"/>
        </w:rPr>
        <w:t xml:space="preserve">c</w:t>
      </w:r>
      <w:r>
        <w:t xml:space="preserve">, jest niezwykle mała w porównaniu z pozostałymi. Tak się składa, że</w:t>
      </w:r>
      <w:r>
        <w:t xml:space="preserve"> </w:t>
      </w:r>
      <w:r>
        <w:rPr>
          <w:bCs/>
          <w:b/>
          <w:u w:val="single"/>
        </w:rPr>
        <w:t xml:space="preserve">c</w:t>
      </w:r>
      <w:r>
        <w:t xml:space="preserve"> </w:t>
      </w:r>
      <w:r>
        <w:t xml:space="preserve">odpowiada mojej Rodzinie 35 i być może jest drugą co do wielkości grupą. Chcę zbadać pytanie: co wzorzec i zależność mówią nam o przedstawionych wyżej dowodach?</w:t>
      </w:r>
    </w:p>
    <w:p>
      <w:pPr>
        <w:pStyle w:val="BodyText"/>
      </w:pPr>
      <w:r>
        <w:t xml:space="preserve">Najpierw jednak chcę przeanalizować podziały w Rodzinie 35. Istnieje jedenaście liczb zapisanych słownie albo przedstawionych za pomocą odpowiednich liter, ponieważ są to dwa sposoby powiedzenia tego samego, nie stanowią wariantów i ich nie policzyłem. Dziewięć to alternatywne pisownie tego samego słowa, policzyłem je, ale nie są właściwymi wariantami (w ośmiu z nich różnica dotyczy jednej litery, a w pozostałym dyftongu). Pozostaje jedenaście właściwych wariantów, z których pięć dotyczy jednej litery, a trzy dyftongu, tylko jeden dotyczy więcej niż dwóch liter. Krótko mówiąc, Rodzina 35 jest bardzo stabilna (wewnętrznie spójna), znacznie bardziej niż którakolwiek z pozostałych grup. Właściwe warianty dotyczą zaledwie dziewiętnastu liter w całej księdze Objawienia Jana — zdumiewające!</w:t>
      </w:r>
    </w:p>
    <w:p>
      <w:pPr>
        <w:pStyle w:val="BodyText"/>
      </w:pPr>
      <w:r>
        <w:t xml:space="preserve">Co wzorzec i zależność mówią nam o przedstawionych wyżej dowodach? Zaczynam od następujących postulatów:</w:t>
      </w:r>
    </w:p>
    <w:p>
      <w:pPr>
        <w:numPr>
          <w:ilvl w:val="0"/>
          <w:numId w:val="1011"/>
        </w:numPr>
      </w:pPr>
      <w:r>
        <w:t xml:space="preserve">Gdy 100% znanych manuskryptów jest zgodnych, wzorzec i zależność między nimi są całkowite.</w:t>
      </w:r>
    </w:p>
    <w:p>
      <w:pPr>
        <w:numPr>
          <w:ilvl w:val="0"/>
          <w:numId w:val="1011"/>
        </w:numPr>
      </w:pPr>
      <w:r>
        <w:t xml:space="preserve">Wszystkie manuskrypty otrzymały wspólny wpływ od Oryginału.</w:t>
      </w:r>
    </w:p>
    <w:p>
      <w:pPr>
        <w:numPr>
          <w:ilvl w:val="0"/>
          <w:numId w:val="1011"/>
        </w:numPr>
      </w:pPr>
      <w:r>
        <w:t xml:space="preserve">Wszystkie odczyty singularne należy rygorystycznie wykluczyć z rozważań.</w:t>
      </w:r>
    </w:p>
    <w:p>
      <w:pPr>
        <w:numPr>
          <w:ilvl w:val="0"/>
          <w:numId w:val="1011"/>
        </w:numPr>
      </w:pPr>
      <w:r>
        <w:t xml:space="preserve">Każdy manuskrypt idiosynkratyczny był po prostu czyjąś prywatną własnością, sfabrykowaną kopią, jest bez znaczenia dla historii przekazywania Tekstu.</w:t>
      </w:r>
    </w:p>
    <w:p>
      <w:pPr>
        <w:numPr>
          <w:ilvl w:val="0"/>
          <w:numId w:val="1011"/>
        </w:numPr>
      </w:pPr>
      <w:r>
        <w:t xml:space="preserve">Fragmenty nie zawierają wystarczającej ilości tekstu, aby można je było sklasyfikować, i podobnie jak manuskrypty idiosynkratyczne są bez znaczenia dla historii przekazywania Tekstu.</w:t>
      </w:r>
      <w:r>
        <w:rPr>
          <w:rStyle w:val="FootnoteReference"/>
        </w:rPr>
        <w:footnoteReference w:id="232"/>
      </w:r>
    </w:p>
    <w:p>
      <w:pPr>
        <w:pStyle w:val="FirstParagraph"/>
      </w:pPr>
      <w:r>
        <w:t xml:space="preserve">Ponieważ wszystkie zachowane manuskrypty z pierwszych pięciu wieków (w Objawieniu Jana) są albo fragmentami, albo manuskryptami idiosynkratycznymi, ograniczę swoją analizę do linii przekazu.</w:t>
      </w:r>
    </w:p>
    <w:p>
      <w:pPr>
        <w:pStyle w:val="BodyText"/>
      </w:pPr>
      <w:r>
        <w:t xml:space="preserve">Na początek Hoskier posłużył się wzorcem i zależnością, aby zidentyfikować swoich dziewięć grup. Oczywiście jednak nie mogą one wszystkie reprezentować Oryginału, poza miejscami, w których wszystkie są zgodne. Czy mamy dziewięć niezależnych grup, czy też niektóre grupy można pogrupować? Przejrzałem swój aparat krytyczny i wypisałem wszystkie różne kombinacje między dziewięcioma grupami wraz z liczbą wystąpień każdej kombinacji (kombinacja dwóch lub więcej grup). Znalazłem</w:t>
      </w:r>
      <w:r>
        <w:t xml:space="preserve"> </w:t>
      </w:r>
      <w:r>
        <w:rPr>
          <w:bCs/>
          <w:b/>
        </w:rPr>
        <w:t xml:space="preserve">238</w:t>
      </w:r>
      <w:r>
        <w:t xml:space="preserve"> </w:t>
      </w:r>
      <w:r>
        <w:t xml:space="preserve">różnych kombinacji!! Liczyłem wyłącznie pełne grupy (bez podziałów), z tym wyjątkiem, że za pełną grupę uznawałem 2/3 lub więcej. Ze względu na nadmierną ilość zamieszania statystyki, które podaję, mogą być tylko przybliżone, ale są wystarczająco dobre, aby pozwolić na uzasadnione wnioski. Jednak 96 kombinacji występuje tylko raz, a 42 tylko dwa razy, wykluczyłem je zatem z poniższego zestawienia. Nadal pozostaje sto!</w:t>
      </w:r>
    </w:p>
    <w:p>
      <w:pPr>
        <w:pStyle w:val="BodyText"/>
      </w:pPr>
      <w:r>
        <w:t xml:space="preserve">Z przyjemnością zauważam, że niedawne wydanie</w:t>
      </w:r>
      <w:r>
        <w:t xml:space="preserve"> </w:t>
      </w:r>
      <w:r>
        <w:rPr>
          <w:iCs/>
          <w:i/>
        </w:rPr>
        <w:t xml:space="preserve">Text und Textwert</w:t>
      </w:r>
      <w:r>
        <w:t xml:space="preserve"> </w:t>
      </w:r>
      <w:r>
        <w:t xml:space="preserve">dla Objawienia Jana (2017) uznaje swój tekst kompluteński za niezależną linię przekazu, obok tak zwanych tekstów Koine i Andreasa. Ich kompluteński to moja Rodzina 35, odpowiada poniższej grupie</w:t>
      </w:r>
      <w:r>
        <w:t xml:space="preserve"> </w:t>
      </w:r>
      <w:r>
        <w:rPr>
          <w:bCs/>
          <w:b/>
          <w:u w:val="single"/>
        </w:rPr>
        <w:t xml:space="preserve">c</w:t>
      </w:r>
      <w:r>
        <w:t xml:space="preserve">. Ich Koine odpowiada poniższym grupom</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Ich Andreas odpowiada poniższym grupom</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 to znaczy według mojej oceny. Jak widać poniżej, występuje tu wiele „rozwiązłości”, poszczególne grupy przemieszczają się, jedne bardziej niż inne. Najtrudniejszym przypadkiem jest</w:t>
      </w:r>
      <w:r>
        <w:t xml:space="preserve"> </w:t>
      </w:r>
      <w:r>
        <w:rPr>
          <w:bCs/>
          <w:b/>
          <w:u w:val="single"/>
        </w:rPr>
        <w:t xml:space="preserve">h</w:t>
      </w:r>
      <w:r>
        <w:t xml:space="preserve">, który przyłącza się do Koine niemal tak często jak do Andreasa.</w:t>
      </w:r>
    </w:p>
    <w:p>
      <w:pPr>
        <w:pStyle w:val="BodyText"/>
      </w:pPr>
      <w:r>
        <w:t xml:space="preserve">Na podstawie mojej analizy Hoskiera grupy mają następującą „wielkość”:</w:t>
      </w:r>
      <w:r>
        <w:t xml:space="preserve"> </w:t>
      </w:r>
      <w:r>
        <w:rPr>
          <w:bCs/>
          <w:b/>
          <w:u w:val="single"/>
        </w:rPr>
        <w:t xml:space="preserve">a</w:t>
      </w:r>
      <w:r>
        <w:t xml:space="preserve"> </w:t>
      </w:r>
      <w:r>
        <w:t xml:space="preserve">jest reprezentowana przez 65 manuskryptów,</w:t>
      </w:r>
      <w:r>
        <w:t xml:space="preserve"> </w:t>
      </w:r>
      <w:r>
        <w:rPr>
          <w:bCs/>
          <w:b/>
          <w:u w:val="single"/>
        </w:rPr>
        <w:t xml:space="preserve">b</w:t>
      </w:r>
      <w:r>
        <w:t xml:space="preserve"> </w:t>
      </w:r>
      <w:r>
        <w:t xml:space="preserve">przez 10,</w:t>
      </w:r>
      <w:r>
        <w:t xml:space="preserve"> </w:t>
      </w:r>
      <w:r>
        <w:rPr>
          <w:bCs/>
          <w:b/>
          <w:u w:val="single"/>
        </w:rPr>
        <w:t xml:space="preserve">c</w:t>
      </w:r>
      <w:r>
        <w:t xml:space="preserve"> </w:t>
      </w:r>
      <w:r>
        <w:t xml:space="preserve">przez 33,</w:t>
      </w:r>
      <w:r>
        <w:rPr>
          <w:rStyle w:val="FootnoteReference"/>
        </w:rPr>
        <w:footnoteReference w:id="233"/>
      </w:r>
      <w:r>
        <w:t xml:space="preserve"> </w:t>
      </w:r>
      <w:r>
        <w:rPr>
          <w:bCs/>
          <w:b/>
          <w:u w:val="single"/>
        </w:rPr>
        <w:t xml:space="preserve">d</w:t>
      </w:r>
      <w:r>
        <w:t xml:space="preserve"> </w:t>
      </w:r>
      <w:r>
        <w:t xml:space="preserve">przez 15,</w:t>
      </w:r>
      <w:r>
        <w:t xml:space="preserve"> </w:t>
      </w:r>
      <w:r>
        <w:rPr>
          <w:bCs/>
          <w:b/>
          <w:u w:val="single"/>
        </w:rPr>
        <w:t xml:space="preserve">e</w:t>
      </w:r>
      <w:r>
        <w:t xml:space="preserve"> </w:t>
      </w:r>
      <w:r>
        <w:t xml:space="preserve">przez 31,</w:t>
      </w:r>
      <w:r>
        <w:t xml:space="preserve"> </w:t>
      </w:r>
      <w:r>
        <w:rPr>
          <w:bCs/>
          <w:b/>
          <w:u w:val="single"/>
        </w:rPr>
        <w:t xml:space="preserve">f</w:t>
      </w:r>
      <w:r>
        <w:t xml:space="preserve"> </w:t>
      </w:r>
      <w:r>
        <w:t xml:space="preserve">przez 11,</w:t>
      </w:r>
      <w:r>
        <w:t xml:space="preserve"> </w:t>
      </w:r>
      <w:r>
        <w:rPr>
          <w:bCs/>
          <w:b/>
          <w:u w:val="single"/>
        </w:rPr>
        <w:t xml:space="preserve">g</w:t>
      </w:r>
      <w:r>
        <w:t xml:space="preserve"> </w:t>
      </w:r>
      <w:r>
        <w:t xml:space="preserve">przez 9,</w:t>
      </w:r>
      <w:r>
        <w:t xml:space="preserve"> </w:t>
      </w:r>
      <w:r>
        <w:rPr>
          <w:bCs/>
          <w:b/>
          <w:u w:val="single"/>
        </w:rPr>
        <w:t xml:space="preserve">h</w:t>
      </w:r>
      <w:r>
        <w:t xml:space="preserve"> </w:t>
      </w:r>
      <w:r>
        <w:t xml:space="preserve">przez 13,</w:t>
      </w:r>
      <w:r>
        <w:t xml:space="preserve"> </w:t>
      </w:r>
      <w:r>
        <w:rPr>
          <w:bCs/>
          <w:b/>
          <w:u w:val="single"/>
        </w:rPr>
        <w:t xml:space="preserve">i</w:t>
      </w:r>
      <w:r>
        <w:t xml:space="preserve"> </w:t>
      </w:r>
      <w:r>
        <w:t xml:space="preserve">przez 11. (Sama</w:t>
      </w:r>
      <w:r>
        <w:t xml:space="preserve"> </w:t>
      </w:r>
      <w:r>
        <w:rPr>
          <w:bCs/>
          <w:b/>
          <w:u w:val="single"/>
        </w:rPr>
        <w:t xml:space="preserve">a</w:t>
      </w:r>
      <w:r>
        <w:t xml:space="preserve"> </w:t>
      </w:r>
      <w:r>
        <w:t xml:space="preserve">jest większa niż połączone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rPr>
          <w:bCs/>
          <w:b/>
          <w:u w:val="single"/>
        </w:rPr>
        <w:t xml:space="preserve">d</w:t>
      </w:r>
      <w:r>
        <w:t xml:space="preserve"> </w:t>
      </w:r>
      <w:r>
        <w:t xml:space="preserve">jest mniejsza niż</w:t>
      </w:r>
      <w:r>
        <w:t xml:space="preserve"> </w:t>
      </w:r>
      <w:r>
        <w:rPr>
          <w:bCs/>
          <w:b/>
          <w:u w:val="single"/>
        </w:rPr>
        <w:t xml:space="preserve">e</w:t>
      </w:r>
      <w:r>
        <w:t xml:space="preserve">, ale</w:t>
      </w:r>
      <w:r>
        <w:t xml:space="preserve"> </w:t>
      </w:r>
      <w:r>
        <w:rPr>
          <w:bCs/>
          <w:b/>
          <w:u w:val="single"/>
        </w:rPr>
        <w:t xml:space="preserve">e</w:t>
      </w:r>
      <w:r>
        <w:t xml:space="preserve"> </w:t>
      </w:r>
      <w:r>
        <w:t xml:space="preserve">jest zdecydowanie najbardziej rozdrobnioną grupą).</w:t>
      </w:r>
      <w:r>
        <w:rPr>
          <w:rStyle w:val="FootnoteReference"/>
        </w:rPr>
        <w:footnoteReference w:id="234"/>
      </w:r>
      <w:r>
        <w:t xml:space="preserve"> </w:t>
      </w:r>
      <w:r>
        <w:t xml:space="preserve">Ponieważ uważam</w:t>
      </w:r>
      <w:r>
        <w:t xml:space="preserve"> </w:t>
      </w:r>
      <w:r>
        <w:rPr>
          <w:bCs/>
          <w:b/>
          <w:u w:val="single"/>
        </w:rPr>
        <w:t xml:space="preserve">c</w:t>
      </w:r>
      <w:r>
        <w:t xml:space="preserve"> </w:t>
      </w:r>
      <w:r>
        <w:t xml:space="preserve">za wspólny mianownik, umieszczam ją jako pierwszą,</w:t>
      </w:r>
      <w:r>
        <w:t xml:space="preserve"> </w:t>
      </w:r>
      <w:r>
        <w:rPr>
          <w:bCs/>
          <w:b/>
          <w:u w:val="single"/>
        </w:rPr>
        <w:t xml:space="preserve">a</w:t>
      </w:r>
      <w:r>
        <w:t xml:space="preserve"> </w:t>
      </w:r>
      <w:r>
        <w:t xml:space="preserve">przewodzi Koine, a</w:t>
      </w:r>
      <w:r>
        <w:t xml:space="preserve"> </w:t>
      </w:r>
      <w:r>
        <w:rPr>
          <w:bCs/>
          <w:b/>
          <w:u w:val="single"/>
        </w:rPr>
        <w:t xml:space="preserve">d</w:t>
      </w:r>
      <w:r>
        <w:t xml:space="preserve"> </w:t>
      </w:r>
      <w:r>
        <w:t xml:space="preserve">Andreasowi. Wymienione są tylko kombinacje, każda grupa występuje również samodzielnie.</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ca—10</w:t>
            </w:r>
          </w:p>
        </w:tc>
        <w:tc>
          <w:tcPr/>
          <w:p>
            <w:pPr>
              <w:pStyle w:val="Compact"/>
              <w:jc w:val="left"/>
            </w:pPr>
            <w:r>
              <w:t xml:space="preserve">cbdeg—5</w:t>
            </w:r>
          </w:p>
        </w:tc>
        <w:tc>
          <w:tcPr/>
          <w:p>
            <w:pPr>
              <w:pStyle w:val="Compact"/>
              <w:jc w:val="left"/>
            </w:pPr>
            <w:r>
              <w:t xml:space="preserve">ab—3</w:t>
            </w:r>
          </w:p>
        </w:tc>
        <w:tc>
          <w:tcPr/>
          <w:p>
            <w:pPr>
              <w:pStyle w:val="Compact"/>
              <w:jc w:val="left"/>
            </w:pPr>
            <w:r>
              <w:t xml:space="preserve">bd—9</w:t>
            </w:r>
          </w:p>
        </w:tc>
      </w:tr>
      <w:tr>
        <w:tc>
          <w:tcPr/>
          <w:p>
            <w:pPr>
              <w:pStyle w:val="Compact"/>
              <w:jc w:val="left"/>
            </w:pPr>
            <w:r>
              <w:t xml:space="preserve">cabdfgi—15</w:t>
            </w:r>
          </w:p>
        </w:tc>
        <w:tc>
          <w:tcPr/>
          <w:p>
            <w:pPr>
              <w:pStyle w:val="Compact"/>
              <w:jc w:val="left"/>
            </w:pPr>
            <w:r>
              <w:t xml:space="preserve">cbdegh—11</w:t>
            </w:r>
          </w:p>
        </w:tc>
        <w:tc>
          <w:tcPr/>
          <w:p>
            <w:pPr>
              <w:pStyle w:val="Compact"/>
              <w:jc w:val="left"/>
            </w:pPr>
            <w:r>
              <w:t xml:space="preserve">abdefghi—11</w:t>
            </w:r>
          </w:p>
        </w:tc>
        <w:tc>
          <w:tcPr/>
          <w:p>
            <w:pPr>
              <w:pStyle w:val="Compact"/>
              <w:jc w:val="left"/>
            </w:pPr>
            <w:r>
              <w:t xml:space="preserve">bde—12</w:t>
            </w:r>
          </w:p>
        </w:tc>
      </w:tr>
      <w:tr>
        <w:tc>
          <w:tcPr/>
          <w:p>
            <w:pPr>
              <w:pStyle w:val="Compact"/>
              <w:jc w:val="left"/>
            </w:pPr>
            <w:r>
              <w:t xml:space="preserve">cabdfi—3</w:t>
            </w:r>
          </w:p>
        </w:tc>
        <w:tc>
          <w:tcPr/>
          <w:p>
            <w:pPr>
              <w:pStyle w:val="Compact"/>
              <w:jc w:val="left"/>
            </w:pPr>
            <w:r>
              <w:t xml:space="preserve">cbdeh—6</w:t>
            </w:r>
          </w:p>
        </w:tc>
        <w:tc>
          <w:tcPr/>
          <w:p>
            <w:pPr>
              <w:pStyle w:val="Compact"/>
              <w:jc w:val="left"/>
            </w:pPr>
            <w:r>
              <w:t xml:space="preserve">abdfghi—10</w:t>
            </w:r>
          </w:p>
        </w:tc>
        <w:tc>
          <w:tcPr/>
          <w:p>
            <w:pPr>
              <w:pStyle w:val="Compact"/>
              <w:jc w:val="left"/>
            </w:pPr>
            <w:r>
              <w:t xml:space="preserve">bdeh—12</w:t>
            </w:r>
          </w:p>
        </w:tc>
      </w:tr>
      <w:tr>
        <w:tc>
          <w:tcPr/>
          <w:p>
            <w:pPr>
              <w:pStyle w:val="Compact"/>
              <w:jc w:val="left"/>
            </w:pPr>
            <w:r>
              <w:t xml:space="preserve">cabefgi—4</w:t>
            </w:r>
          </w:p>
        </w:tc>
        <w:tc>
          <w:tcPr/>
          <w:p>
            <w:pPr>
              <w:pStyle w:val="Compact"/>
              <w:jc w:val="left"/>
            </w:pPr>
            <w:r>
              <w:t xml:space="preserve">cbdfhi—3</w:t>
            </w:r>
          </w:p>
        </w:tc>
        <w:tc>
          <w:tcPr/>
          <w:p>
            <w:pPr>
              <w:pStyle w:val="Compact"/>
              <w:jc w:val="left"/>
            </w:pPr>
            <w:r>
              <w:t xml:space="preserve">abdfgi—4</w:t>
            </w:r>
          </w:p>
        </w:tc>
        <w:tc>
          <w:tcPr/>
          <w:p>
            <w:pPr>
              <w:pStyle w:val="Compact"/>
              <w:jc w:val="left"/>
            </w:pPr>
            <w:r>
              <w:t xml:space="preserve">bdf—4</w:t>
            </w:r>
          </w:p>
        </w:tc>
      </w:tr>
      <w:tr>
        <w:tc>
          <w:tcPr/>
          <w:p>
            <w:pPr>
              <w:pStyle w:val="Compact"/>
              <w:jc w:val="left"/>
            </w:pPr>
            <w:r>
              <w:t xml:space="preserve">cabf—5</w:t>
            </w:r>
          </w:p>
        </w:tc>
        <w:tc>
          <w:tcPr/>
          <w:p>
            <w:pPr>
              <w:pStyle w:val="Compact"/>
              <w:jc w:val="left"/>
            </w:pPr>
            <w:r>
              <w:t xml:space="preserve">cbefghi—3</w:t>
            </w:r>
          </w:p>
        </w:tc>
        <w:tc>
          <w:tcPr/>
          <w:p>
            <w:pPr>
              <w:pStyle w:val="Compact"/>
              <w:jc w:val="left"/>
            </w:pPr>
            <w:r>
              <w:t xml:space="preserve">abdfh—3</w:t>
            </w:r>
          </w:p>
        </w:tc>
        <w:tc>
          <w:tcPr/>
          <w:p>
            <w:pPr>
              <w:pStyle w:val="Compact"/>
              <w:jc w:val="left"/>
            </w:pPr>
            <w:r>
              <w:t xml:space="preserve">bdh—3</w:t>
            </w:r>
          </w:p>
        </w:tc>
      </w:tr>
      <w:tr>
        <w:tc>
          <w:tcPr/>
          <w:p>
            <w:pPr>
              <w:pStyle w:val="Compact"/>
              <w:jc w:val="left"/>
            </w:pPr>
            <w:r>
              <w:t xml:space="preserve">cabfg—8</w:t>
            </w:r>
          </w:p>
        </w:tc>
        <w:tc>
          <w:tcPr/>
          <w:p>
            <w:pPr>
              <w:pStyle w:val="Compact"/>
              <w:jc w:val="left"/>
            </w:pPr>
            <w:r>
              <w:t xml:space="preserve">cbegh—4</w:t>
            </w:r>
          </w:p>
        </w:tc>
        <w:tc>
          <w:tcPr/>
          <w:p>
            <w:pPr>
              <w:pStyle w:val="Compact"/>
              <w:jc w:val="left"/>
            </w:pPr>
            <w:r>
              <w:t xml:space="preserve">abefghi—4</w:t>
            </w:r>
          </w:p>
        </w:tc>
        <w:tc>
          <w:tcPr/>
          <w:p>
            <w:pPr>
              <w:pStyle w:val="Compact"/>
              <w:jc w:val="left"/>
            </w:pPr>
            <w:r>
              <w:t xml:space="preserve">be—7</w:t>
            </w:r>
          </w:p>
        </w:tc>
      </w:tr>
      <w:tr>
        <w:tc>
          <w:tcPr/>
          <w:p>
            <w:pPr>
              <w:pStyle w:val="Compact"/>
              <w:jc w:val="left"/>
            </w:pPr>
            <w:r>
              <w:t xml:space="preserve">cabfghi—28</w:t>
            </w:r>
          </w:p>
        </w:tc>
        <w:tc>
          <w:tcPr/>
          <w:p>
            <w:pPr>
              <w:pStyle w:val="Compact"/>
              <w:jc w:val="left"/>
            </w:pPr>
            <w:r>
              <w:t xml:space="preserve">cd—22</w:t>
            </w:r>
          </w:p>
        </w:tc>
        <w:tc>
          <w:tcPr/>
          <w:p>
            <w:pPr>
              <w:pStyle w:val="Compact"/>
              <w:jc w:val="left"/>
            </w:pPr>
            <w:r>
              <w:t xml:space="preserve">abefhi—3</w:t>
            </w:r>
          </w:p>
        </w:tc>
        <w:tc>
          <w:tcPr/>
          <w:p>
            <w:pPr>
              <w:pStyle w:val="Compact"/>
              <w:jc w:val="left"/>
            </w:pPr>
            <w:r>
              <w:t xml:space="preserve">beh—4</w:t>
            </w:r>
          </w:p>
        </w:tc>
      </w:tr>
      <w:tr>
        <w:tc>
          <w:tcPr/>
          <w:p>
            <w:pPr>
              <w:pStyle w:val="Compact"/>
              <w:jc w:val="left"/>
            </w:pPr>
            <w:r>
              <w:t xml:space="preserve">cabfgi—47</w:t>
            </w:r>
          </w:p>
        </w:tc>
        <w:tc>
          <w:tcPr/>
          <w:p>
            <w:pPr>
              <w:pStyle w:val="Compact"/>
              <w:jc w:val="left"/>
            </w:pPr>
            <w:r>
              <w:t xml:space="preserve">cde—49</w:t>
            </w:r>
          </w:p>
        </w:tc>
        <w:tc>
          <w:tcPr/>
          <w:p>
            <w:pPr>
              <w:pStyle w:val="Compact"/>
              <w:jc w:val="left"/>
            </w:pPr>
            <w:r>
              <w:t xml:space="preserve">abf—23</w:t>
            </w:r>
          </w:p>
        </w:tc>
        <w:tc>
          <w:tcPr/>
          <w:p>
            <w:pPr>
              <w:pStyle w:val="Compact"/>
              <w:jc w:val="left"/>
            </w:pPr>
            <w:r>
              <w:t xml:space="preserve">bf—4</w:t>
            </w:r>
          </w:p>
        </w:tc>
      </w:tr>
      <w:tr>
        <w:tc>
          <w:tcPr/>
          <w:p>
            <w:pPr>
              <w:pStyle w:val="Compact"/>
              <w:jc w:val="left"/>
            </w:pPr>
            <w:r>
              <w:t xml:space="preserve">cabfhi—7</w:t>
            </w:r>
          </w:p>
        </w:tc>
        <w:tc>
          <w:tcPr/>
          <w:p>
            <w:pPr>
              <w:pStyle w:val="Compact"/>
              <w:jc w:val="left"/>
            </w:pPr>
            <w:r>
              <w:t xml:space="preserve">cdef—13</w:t>
            </w:r>
          </w:p>
        </w:tc>
        <w:tc>
          <w:tcPr/>
          <w:p>
            <w:pPr>
              <w:pStyle w:val="Compact"/>
              <w:jc w:val="left"/>
            </w:pPr>
            <w:r>
              <w:t xml:space="preserve">abfg—15</w:t>
            </w:r>
          </w:p>
        </w:tc>
        <w:tc>
          <w:tcPr/>
          <w:p>
            <w:pPr>
              <w:pStyle w:val="Compact"/>
              <w:jc w:val="left"/>
            </w:pPr>
            <w:r>
              <w:t xml:space="preserve">bg—3</w:t>
            </w:r>
          </w:p>
        </w:tc>
      </w:tr>
      <w:tr>
        <w:tc>
          <w:tcPr/>
          <w:p>
            <w:pPr>
              <w:pStyle w:val="Compact"/>
              <w:jc w:val="left"/>
            </w:pPr>
            <w:r>
              <w:t xml:space="preserve">cabfi—13</w:t>
            </w:r>
          </w:p>
        </w:tc>
        <w:tc>
          <w:tcPr/>
          <w:p>
            <w:pPr>
              <w:pStyle w:val="Compact"/>
              <w:jc w:val="left"/>
            </w:pPr>
            <w:r>
              <w:t xml:space="preserve">cdefghi—3</w:t>
            </w:r>
          </w:p>
        </w:tc>
        <w:tc>
          <w:tcPr/>
          <w:p>
            <w:pPr>
              <w:pStyle w:val="Compact"/>
              <w:jc w:val="left"/>
            </w:pPr>
            <w:r>
              <w:t xml:space="preserve">abfgh—3</w:t>
            </w:r>
          </w:p>
        </w:tc>
        <w:tc>
          <w:tcPr/>
          <w:p>
            <w:pPr>
              <w:pStyle w:val="Compact"/>
              <w:jc w:val="left"/>
            </w:pPr>
            <w:r>
              <w:t xml:space="preserve">bh—5</w:t>
            </w:r>
          </w:p>
        </w:tc>
      </w:tr>
      <w:tr>
        <w:tc>
          <w:tcPr/>
          <w:p>
            <w:pPr>
              <w:pStyle w:val="Compact"/>
              <w:jc w:val="left"/>
            </w:pPr>
            <w:r>
              <w:t xml:space="preserve">cabghi—3</w:t>
            </w:r>
          </w:p>
        </w:tc>
        <w:tc>
          <w:tcPr/>
          <w:p>
            <w:pPr>
              <w:pStyle w:val="Compact"/>
              <w:jc w:val="left"/>
            </w:pPr>
            <w:r>
              <w:t xml:space="preserve">cdefhi—3</w:t>
            </w:r>
          </w:p>
        </w:tc>
        <w:tc>
          <w:tcPr/>
          <w:p>
            <w:pPr>
              <w:pStyle w:val="Compact"/>
              <w:jc w:val="left"/>
            </w:pPr>
            <w:r>
              <w:t xml:space="preserve">abfghi—20</w:t>
            </w:r>
          </w:p>
        </w:tc>
        <w:tc>
          <w:tcPr/>
          <w:p>
            <w:pPr>
              <w:pStyle w:val="Compact"/>
            </w:pPr>
          </w:p>
        </w:tc>
      </w:tr>
      <w:tr>
        <w:tc>
          <w:tcPr/>
          <w:p>
            <w:pPr>
              <w:pStyle w:val="Compact"/>
              <w:jc w:val="left"/>
            </w:pPr>
            <w:r>
              <w:t xml:space="preserve">cadfghi—4</w:t>
            </w:r>
          </w:p>
        </w:tc>
        <w:tc>
          <w:tcPr/>
          <w:p>
            <w:pPr>
              <w:pStyle w:val="Compact"/>
              <w:jc w:val="left"/>
            </w:pPr>
            <w:r>
              <w:t xml:space="preserve">cdeg—11</w:t>
            </w:r>
          </w:p>
        </w:tc>
        <w:tc>
          <w:tcPr/>
          <w:p>
            <w:pPr>
              <w:pStyle w:val="Compact"/>
              <w:jc w:val="left"/>
            </w:pPr>
            <w:r>
              <w:t xml:space="preserve">abfgi—33</w:t>
            </w:r>
          </w:p>
        </w:tc>
        <w:tc>
          <w:tcPr/>
          <w:p>
            <w:pPr>
              <w:pStyle w:val="Compact"/>
              <w:jc w:val="left"/>
            </w:pPr>
            <w:r>
              <w:t xml:space="preserve">de—52</w:t>
            </w:r>
          </w:p>
        </w:tc>
      </w:tr>
      <w:tr>
        <w:tc>
          <w:tcPr/>
          <w:p>
            <w:pPr>
              <w:pStyle w:val="Compact"/>
              <w:jc w:val="left"/>
            </w:pPr>
            <w:r>
              <w:t xml:space="preserve">cadfgi—5</w:t>
            </w:r>
          </w:p>
        </w:tc>
        <w:tc>
          <w:tcPr/>
          <w:p>
            <w:pPr>
              <w:pStyle w:val="Compact"/>
              <w:jc w:val="left"/>
            </w:pPr>
            <w:r>
              <w:t xml:space="preserve">cdegh—14</w:t>
            </w:r>
          </w:p>
        </w:tc>
        <w:tc>
          <w:tcPr/>
          <w:p>
            <w:pPr>
              <w:pStyle w:val="Compact"/>
              <w:jc w:val="left"/>
            </w:pPr>
            <w:r>
              <w:t xml:space="preserve">abfh—4</w:t>
            </w:r>
          </w:p>
        </w:tc>
        <w:tc>
          <w:tcPr/>
          <w:p>
            <w:pPr>
              <w:pStyle w:val="Compact"/>
              <w:jc w:val="left"/>
            </w:pPr>
            <w:r>
              <w:t xml:space="preserve">def—8</w:t>
            </w:r>
          </w:p>
        </w:tc>
      </w:tr>
      <w:tr>
        <w:tc>
          <w:tcPr/>
          <w:p>
            <w:pPr>
              <w:pStyle w:val="Compact"/>
              <w:jc w:val="left"/>
            </w:pPr>
            <w:r>
              <w:t xml:space="preserve">caf—9</w:t>
            </w:r>
          </w:p>
        </w:tc>
        <w:tc>
          <w:tcPr/>
          <w:p>
            <w:pPr>
              <w:pStyle w:val="Compact"/>
              <w:jc w:val="left"/>
            </w:pPr>
            <w:r>
              <w:t xml:space="preserve">cdeghi—4</w:t>
            </w:r>
          </w:p>
        </w:tc>
        <w:tc>
          <w:tcPr/>
          <w:p>
            <w:pPr>
              <w:pStyle w:val="Compact"/>
              <w:jc w:val="left"/>
            </w:pPr>
            <w:r>
              <w:t xml:space="preserve">abfhi—8</w:t>
            </w:r>
          </w:p>
        </w:tc>
        <w:tc>
          <w:tcPr/>
          <w:p>
            <w:pPr>
              <w:pStyle w:val="Compact"/>
              <w:jc w:val="left"/>
            </w:pPr>
            <w:r>
              <w:t xml:space="preserve">deg—5</w:t>
            </w:r>
          </w:p>
        </w:tc>
      </w:tr>
      <w:tr>
        <w:tc>
          <w:tcPr/>
          <w:p>
            <w:pPr>
              <w:pStyle w:val="Compact"/>
              <w:jc w:val="left"/>
            </w:pPr>
            <w:r>
              <w:t xml:space="preserve">cafg—6</w:t>
            </w:r>
          </w:p>
        </w:tc>
        <w:tc>
          <w:tcPr/>
          <w:p>
            <w:pPr>
              <w:pStyle w:val="Compact"/>
              <w:jc w:val="left"/>
            </w:pPr>
            <w:r>
              <w:t xml:space="preserve">cdeh—32</w:t>
            </w:r>
          </w:p>
        </w:tc>
        <w:tc>
          <w:tcPr/>
          <w:p>
            <w:pPr>
              <w:pStyle w:val="Compact"/>
              <w:jc w:val="left"/>
            </w:pPr>
            <w:r>
              <w:t xml:space="preserve">abfi—17</w:t>
            </w:r>
          </w:p>
        </w:tc>
        <w:tc>
          <w:tcPr/>
          <w:p>
            <w:pPr>
              <w:pStyle w:val="Compact"/>
              <w:jc w:val="left"/>
            </w:pPr>
            <w:r>
              <w:t xml:space="preserve">degh—8</w:t>
            </w:r>
          </w:p>
        </w:tc>
      </w:tr>
      <w:tr>
        <w:tc>
          <w:tcPr/>
          <w:p>
            <w:pPr>
              <w:pStyle w:val="Compact"/>
              <w:jc w:val="left"/>
            </w:pPr>
            <w:r>
              <w:t xml:space="preserve">cafgh—5</w:t>
            </w:r>
          </w:p>
        </w:tc>
        <w:tc>
          <w:tcPr/>
          <w:p>
            <w:pPr>
              <w:pStyle w:val="Compact"/>
              <w:jc w:val="left"/>
            </w:pPr>
            <w:r>
              <w:t xml:space="preserve">cdehi—7</w:t>
            </w:r>
          </w:p>
        </w:tc>
        <w:tc>
          <w:tcPr/>
          <w:p>
            <w:pPr>
              <w:pStyle w:val="Compact"/>
              <w:jc w:val="left"/>
            </w:pPr>
            <w:r>
              <w:t xml:space="preserve">abgh—3</w:t>
            </w:r>
          </w:p>
        </w:tc>
        <w:tc>
          <w:tcPr/>
          <w:p>
            <w:pPr>
              <w:pStyle w:val="Compact"/>
              <w:jc w:val="left"/>
            </w:pPr>
            <w:r>
              <w:t xml:space="preserve">deh—25</w:t>
            </w:r>
          </w:p>
        </w:tc>
      </w:tr>
      <w:tr>
        <w:tc>
          <w:tcPr/>
          <w:p>
            <w:pPr>
              <w:pStyle w:val="Compact"/>
              <w:jc w:val="left"/>
            </w:pPr>
            <w:r>
              <w:t xml:space="preserve">cafgi—24</w:t>
            </w:r>
          </w:p>
        </w:tc>
        <w:tc>
          <w:tcPr/>
          <w:p>
            <w:pPr>
              <w:pStyle w:val="Compact"/>
              <w:jc w:val="left"/>
            </w:pPr>
            <w:r>
              <w:t xml:space="preserve">cdg—3</w:t>
            </w:r>
          </w:p>
        </w:tc>
        <w:tc>
          <w:tcPr/>
          <w:p>
            <w:pPr>
              <w:pStyle w:val="Compact"/>
              <w:jc w:val="left"/>
            </w:pPr>
            <w:r>
              <w:t xml:space="preserve">af—19</w:t>
            </w:r>
          </w:p>
        </w:tc>
        <w:tc>
          <w:tcPr/>
          <w:p>
            <w:pPr>
              <w:pStyle w:val="Compact"/>
              <w:jc w:val="left"/>
            </w:pPr>
            <w:r>
              <w:t xml:space="preserve">dei—3</w:t>
            </w:r>
          </w:p>
        </w:tc>
      </w:tr>
      <w:tr>
        <w:tc>
          <w:tcPr/>
          <w:p>
            <w:pPr>
              <w:pStyle w:val="Compact"/>
              <w:jc w:val="left"/>
            </w:pPr>
            <w:r>
              <w:t xml:space="preserve">cafhi—3</w:t>
            </w:r>
          </w:p>
        </w:tc>
        <w:tc>
          <w:tcPr/>
          <w:p>
            <w:pPr>
              <w:pStyle w:val="Compact"/>
              <w:jc w:val="left"/>
            </w:pPr>
            <w:r>
              <w:t xml:space="preserve">cdh—7</w:t>
            </w:r>
          </w:p>
        </w:tc>
        <w:tc>
          <w:tcPr/>
          <w:p>
            <w:pPr>
              <w:pStyle w:val="Compact"/>
              <w:jc w:val="left"/>
            </w:pPr>
            <w:r>
              <w:t xml:space="preserve">afg—15</w:t>
            </w:r>
          </w:p>
        </w:tc>
        <w:tc>
          <w:tcPr/>
          <w:p>
            <w:pPr>
              <w:pStyle w:val="Compact"/>
              <w:jc w:val="left"/>
            </w:pPr>
            <w:r>
              <w:t xml:space="preserve">df—6</w:t>
            </w:r>
          </w:p>
        </w:tc>
      </w:tr>
      <w:tr>
        <w:tc>
          <w:tcPr/>
          <w:p>
            <w:pPr>
              <w:pStyle w:val="Compact"/>
              <w:jc w:val="left"/>
            </w:pPr>
            <w:r>
              <w:t xml:space="preserve">cafi—5</w:t>
            </w:r>
          </w:p>
        </w:tc>
        <w:tc>
          <w:tcPr/>
          <w:p>
            <w:pPr>
              <w:pStyle w:val="Compact"/>
              <w:jc w:val="left"/>
            </w:pPr>
            <w:r>
              <w:t xml:space="preserve">ce—10</w:t>
            </w:r>
          </w:p>
        </w:tc>
        <w:tc>
          <w:tcPr/>
          <w:p>
            <w:pPr>
              <w:pStyle w:val="Compact"/>
              <w:jc w:val="left"/>
            </w:pPr>
            <w:r>
              <w:t xml:space="preserve">afghi—9</w:t>
            </w:r>
          </w:p>
        </w:tc>
        <w:tc>
          <w:tcPr/>
          <w:p>
            <w:pPr>
              <w:pStyle w:val="Compact"/>
              <w:jc w:val="left"/>
            </w:pPr>
            <w:r>
              <w:t xml:space="preserve">dg—3</w:t>
            </w:r>
          </w:p>
        </w:tc>
      </w:tr>
      <w:tr>
        <w:tc>
          <w:tcPr/>
          <w:p>
            <w:pPr>
              <w:pStyle w:val="Compact"/>
              <w:jc w:val="left"/>
            </w:pPr>
            <w:r>
              <w:t xml:space="preserve">cag—4</w:t>
            </w:r>
          </w:p>
        </w:tc>
        <w:tc>
          <w:tcPr/>
          <w:p>
            <w:pPr>
              <w:pStyle w:val="Compact"/>
              <w:jc w:val="left"/>
            </w:pPr>
            <w:r>
              <w:t xml:space="preserve">cef—4</w:t>
            </w:r>
          </w:p>
        </w:tc>
        <w:tc>
          <w:tcPr/>
          <w:p>
            <w:pPr>
              <w:pStyle w:val="Compact"/>
              <w:jc w:val="left"/>
            </w:pPr>
            <w:r>
              <w:t xml:space="preserve">afgi—7</w:t>
            </w:r>
          </w:p>
        </w:tc>
        <w:tc>
          <w:tcPr/>
          <w:p>
            <w:pPr>
              <w:pStyle w:val="Compact"/>
              <w:jc w:val="left"/>
            </w:pPr>
            <w:r>
              <w:t xml:space="preserve">dh—19</w:t>
            </w:r>
          </w:p>
        </w:tc>
      </w:tr>
      <w:tr>
        <w:tc>
          <w:tcPr/>
          <w:p>
            <w:pPr>
              <w:pStyle w:val="Compact"/>
              <w:jc w:val="left"/>
            </w:pPr>
            <w:r>
              <w:t xml:space="preserve">caghi—6</w:t>
            </w:r>
          </w:p>
        </w:tc>
        <w:tc>
          <w:tcPr/>
          <w:p>
            <w:pPr>
              <w:pStyle w:val="Compact"/>
              <w:jc w:val="left"/>
            </w:pPr>
            <w:r>
              <w:t xml:space="preserve">ceg—3</w:t>
            </w:r>
          </w:p>
        </w:tc>
        <w:tc>
          <w:tcPr/>
          <w:p>
            <w:pPr>
              <w:pStyle w:val="Compact"/>
              <w:jc w:val="left"/>
            </w:pPr>
            <w:r>
              <w:t xml:space="preserve">afh—5</w:t>
            </w:r>
          </w:p>
        </w:tc>
        <w:tc>
          <w:tcPr/>
          <w:p>
            <w:pPr>
              <w:pStyle w:val="Compact"/>
            </w:pPr>
          </w:p>
        </w:tc>
      </w:tr>
      <w:tr>
        <w:tc>
          <w:tcPr/>
          <w:p>
            <w:pPr>
              <w:pStyle w:val="Compact"/>
              <w:jc w:val="left"/>
            </w:pPr>
            <w:r>
              <w:t xml:space="preserve">cb—5</w:t>
            </w:r>
          </w:p>
        </w:tc>
        <w:tc>
          <w:tcPr/>
          <w:p>
            <w:pPr>
              <w:pStyle w:val="Compact"/>
              <w:jc w:val="left"/>
            </w:pPr>
            <w:r>
              <w:t xml:space="preserve">ceh—5</w:t>
            </w:r>
          </w:p>
        </w:tc>
        <w:tc>
          <w:tcPr/>
          <w:p>
            <w:pPr>
              <w:pStyle w:val="Compact"/>
              <w:jc w:val="left"/>
            </w:pPr>
            <w:r>
              <w:t xml:space="preserve">afhi—3</w:t>
            </w:r>
          </w:p>
        </w:tc>
        <w:tc>
          <w:tcPr/>
          <w:p>
            <w:pPr>
              <w:pStyle w:val="Compact"/>
              <w:jc w:val="left"/>
            </w:pPr>
            <w:r>
              <w:t xml:space="preserve">eg—5</w:t>
            </w:r>
          </w:p>
        </w:tc>
      </w:tr>
      <w:tr>
        <w:tc>
          <w:tcPr/>
          <w:p>
            <w:pPr>
              <w:pStyle w:val="Compact"/>
              <w:jc w:val="left"/>
            </w:pPr>
            <w:r>
              <w:t xml:space="preserve">cbd—4</w:t>
            </w:r>
          </w:p>
        </w:tc>
        <w:tc>
          <w:tcPr/>
          <w:p>
            <w:pPr>
              <w:pStyle w:val="Compact"/>
              <w:jc w:val="left"/>
            </w:pPr>
            <w:r>
              <w:t xml:space="preserve">cf—4</w:t>
            </w:r>
          </w:p>
        </w:tc>
        <w:tc>
          <w:tcPr/>
          <w:p>
            <w:pPr>
              <w:pStyle w:val="Compact"/>
              <w:jc w:val="left"/>
            </w:pPr>
            <w:r>
              <w:t xml:space="preserve">afi—14</w:t>
            </w:r>
          </w:p>
        </w:tc>
        <w:tc>
          <w:tcPr/>
          <w:p>
            <w:pPr>
              <w:pStyle w:val="Compact"/>
              <w:jc w:val="left"/>
            </w:pPr>
            <w:r>
              <w:t xml:space="preserve">egh—3</w:t>
            </w:r>
          </w:p>
        </w:tc>
      </w:tr>
      <w:tr>
        <w:tc>
          <w:tcPr/>
          <w:p>
            <w:pPr>
              <w:pStyle w:val="Compact"/>
              <w:jc w:val="left"/>
            </w:pPr>
            <w:r>
              <w:t xml:space="preserve">cbde—15</w:t>
            </w:r>
          </w:p>
        </w:tc>
        <w:tc>
          <w:tcPr/>
          <w:p>
            <w:pPr>
              <w:pStyle w:val="Compact"/>
              <w:jc w:val="left"/>
            </w:pPr>
            <w:r>
              <w:t xml:space="preserve">cg—5</w:t>
            </w:r>
          </w:p>
        </w:tc>
        <w:tc>
          <w:tcPr/>
          <w:p>
            <w:pPr>
              <w:pStyle w:val="Compact"/>
              <w:jc w:val="left"/>
            </w:pPr>
            <w:r>
              <w:t xml:space="preserve">ag—19</w:t>
            </w:r>
          </w:p>
        </w:tc>
        <w:tc>
          <w:tcPr/>
          <w:p>
            <w:pPr>
              <w:pStyle w:val="Compact"/>
              <w:jc w:val="left"/>
            </w:pPr>
            <w:r>
              <w:t xml:space="preserve">eh—11</w:t>
            </w:r>
          </w:p>
        </w:tc>
      </w:tr>
      <w:tr>
        <w:tc>
          <w:tcPr/>
          <w:p>
            <w:pPr>
              <w:pStyle w:val="Compact"/>
              <w:jc w:val="left"/>
            </w:pPr>
            <w:r>
              <w:t xml:space="preserve">cbdefghi—3</w:t>
            </w:r>
          </w:p>
        </w:tc>
        <w:tc>
          <w:tcPr/>
          <w:p>
            <w:pPr>
              <w:pStyle w:val="Compact"/>
              <w:jc w:val="left"/>
            </w:pPr>
            <w:r>
              <w:t xml:space="preserve">ch—3</w:t>
            </w:r>
          </w:p>
        </w:tc>
        <w:tc>
          <w:tcPr/>
          <w:p>
            <w:pPr>
              <w:pStyle w:val="Compact"/>
              <w:jc w:val="left"/>
            </w:pPr>
            <w:r>
              <w:t xml:space="preserve">agh—5</w:t>
            </w:r>
          </w:p>
        </w:tc>
        <w:tc>
          <w:tcPr/>
          <w:p>
            <w:pPr>
              <w:pStyle w:val="Compact"/>
            </w:pPr>
          </w:p>
        </w:tc>
      </w:tr>
      <w:tr>
        <w:tc>
          <w:tcPr/>
          <w:p>
            <w:pPr>
              <w:pStyle w:val="Compact"/>
              <w:jc w:val="left"/>
            </w:pPr>
            <w:r>
              <w:t xml:space="preserve">cbdefhi—6</w:t>
            </w:r>
          </w:p>
        </w:tc>
        <w:tc>
          <w:tcPr/>
          <w:p>
            <w:pPr>
              <w:pStyle w:val="Compact"/>
            </w:pPr>
          </w:p>
        </w:tc>
        <w:tc>
          <w:tcPr/>
          <w:p>
            <w:pPr>
              <w:pStyle w:val="Compact"/>
              <w:jc w:val="left"/>
            </w:pPr>
            <w:r>
              <w:t xml:space="preserve">agi—3</w:t>
            </w:r>
          </w:p>
        </w:tc>
        <w:tc>
          <w:tcPr/>
          <w:p>
            <w:pPr>
              <w:pStyle w:val="Compact"/>
              <w:jc w:val="left"/>
            </w:pPr>
            <w:r>
              <w:t xml:space="preserve">gh—4</w:t>
            </w:r>
          </w:p>
        </w:tc>
      </w:tr>
    </w:tbl>
    <w:p>
      <w:pPr>
        <w:pStyle w:val="BodyText"/>
      </w:pPr>
      <w:r>
        <w:t xml:space="preserve">Proszę pamiętać, że nie wymieniłem kolejnych 138 kombinacji, które występują tylko raz lub dwa razy. Ilość „mieszania” jest oszałamiająca. Pomimo tego wszystkiego od co najmniej 80 lat w tej dyscyplinie standardowo podaje się następującą kaczkę dziennikarską: grupa kompluteńska jest kompozytem opartym na grupach Koine i Andreasa. Jak jednak ta koncepcja ma się do przedstawionych wyżej dowodów?</w:t>
      </w:r>
      <w:r>
        <w:t xml:space="preserve"> </w:t>
      </w:r>
      <w:r>
        <w:rPr>
          <w:bCs/>
          <w:b/>
          <w:u w:val="single"/>
        </w:rPr>
        <w:t xml:space="preserve">c</w:t>
      </w:r>
      <w:r>
        <w:t xml:space="preserve"> </w:t>
      </w:r>
      <w:r>
        <w:t xml:space="preserve">występuje w co najmniej 129 kombinacjach z innymi grupami, zupełnie niezależnie od przypadków, w których występuje sama. Niemal nigdy jednak nie jest całkowicie sama, zgadza się z nią garstka niespokrewnionych manuskryptów, lecz lista tych manuskryptów jest zawsze inna (gdyby lista była taka sama, manuskrypty te stanowiłyby część rodziny). Niewiarygodny zakres niespokrewnionych powiązań pozwala na dwa wnioski: 1) manuskrypty reprezentujące grupę można zidentyfikować i wyodrębnić, co daje nam empirycznie zdefiniowaną rodzinę, 2) ta empirycznie zdefiniowana rodzina</w:t>
      </w:r>
      <w:r>
        <w:t xml:space="preserve"> </w:t>
      </w:r>
      <w:r>
        <w:rPr>
          <w:bCs/>
          <w:b/>
        </w:rPr>
        <w:t xml:space="preserve">musi być niezależna</w:t>
      </w:r>
      <w:r>
        <w:t xml:space="preserve"> </w:t>
      </w:r>
      <w:r>
        <w:t xml:space="preserve">od wszystkich innych linii przekazu.</w:t>
      </w:r>
    </w:p>
    <w:p>
      <w:pPr>
        <w:pStyle w:val="BodyText"/>
      </w:pPr>
      <w:r>
        <w:t xml:space="preserve">Co zatem wzorzec i zależność mówią nam o dowodach? Działają na dwóch poziomach: wewnątrz grupy i między grupami. Wewnątrz grupy określają poziom spójności lub wewnętrznej koherencji wykazywanej przez tę grupę. Tak więc spośród dziewięciu grup w Objawieniu Jana</w:t>
      </w:r>
      <w:r>
        <w:t xml:space="preserve"> </w:t>
      </w:r>
      <w:r>
        <w:rPr>
          <w:bCs/>
          <w:b/>
          <w:u w:val="single"/>
        </w:rPr>
        <w:t xml:space="preserve">e</w:t>
      </w:r>
      <w:r>
        <w:t xml:space="preserve">,</w:t>
      </w:r>
      <w:r>
        <w:t xml:space="preserve"> </w:t>
      </w:r>
      <w:r>
        <w:rPr>
          <w:bCs/>
          <w:b/>
          <w:u w:val="single"/>
        </w:rPr>
        <w:t xml:space="preserve">i</w:t>
      </w:r>
      <w:r>
        <w:t xml:space="preserve"> </w:t>
      </w:r>
      <w:r>
        <w:t xml:space="preserve">i</w:t>
      </w:r>
      <w:r>
        <w:t xml:space="preserve"> </w:t>
      </w:r>
      <w:r>
        <w:rPr>
          <w:bCs/>
          <w:b/>
          <w:u w:val="single"/>
        </w:rPr>
        <w:t xml:space="preserve">h</w:t>
      </w:r>
      <w:r>
        <w:t xml:space="preserve"> </w:t>
      </w:r>
      <w:r>
        <w:t xml:space="preserve">wykazują największe wewnętrzne pomieszanie, co zmniejsza ich wiarygodność jako linii przekazu.</w:t>
      </w:r>
      <w:r>
        <w:t xml:space="preserve"> </w:t>
      </w:r>
      <w:r>
        <w:rPr>
          <w:bCs/>
          <w:b/>
          <w:u w:val="single"/>
        </w:rPr>
        <w:t xml:space="preserve">a</w:t>
      </w:r>
      <w:r>
        <w:t xml:space="preserve"> </w:t>
      </w:r>
      <w:r>
        <w:t xml:space="preserve">jest duża, ale ma pięć podgrup, bez podgrup jej liczba spada z 65 do 18 — pięć podgrup wraz z dalszym wewnętrznym pomieszaniem umniejsza jej wiarygodności jako linii przekazu. W przeciwieństwie do pozostałych</w:t>
      </w:r>
      <w:r>
        <w:t xml:space="preserve"> </w:t>
      </w:r>
      <w:r>
        <w:rPr>
          <w:bCs/>
          <w:b/>
          <w:u w:val="single"/>
        </w:rPr>
        <w:t xml:space="preserve">c</w:t>
      </w:r>
      <w:r>
        <w:t xml:space="preserve"> </w:t>
      </w:r>
      <w:r>
        <w:t xml:space="preserve">jest niezwykle stabilna, wewnętrznie konsekwentna lub spójna — wewnętrzny wzorzec i zależność są silne, co zwiększa wiarygodność tej grupy jako linii przekazu.</w:t>
      </w:r>
    </w:p>
    <w:p>
      <w:pPr>
        <w:pStyle w:val="BodyText"/>
      </w:pPr>
      <w:r>
        <w:t xml:space="preserve">A jak jest między grupami? To stosunkowo wysoki poziom wzorca i zależności pozwala nam pogrupować</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t xml:space="preserve">i powiedzieć, że razem tworzą typ tekstu (nazwijmy go „Koine”). To samo dotyczy</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(nazwijmy go „Andreas”). W przeciwieństwie do tych ośmiu</w:t>
      </w:r>
      <w:r>
        <w:t xml:space="preserve"> </w:t>
      </w:r>
      <w:r>
        <w:rPr>
          <w:bCs/>
          <w:b/>
          <w:u w:val="single"/>
        </w:rPr>
        <w:t xml:space="preserve">c</w:t>
      </w:r>
      <w:r>
        <w:t xml:space="preserve"> </w:t>
      </w:r>
      <w:r>
        <w:t xml:space="preserve">jest niezależna od nich wszystkich, na co wskazuje brak wzorca i zależności.</w:t>
      </w:r>
      <w:r>
        <w:t xml:space="preserve"> </w:t>
      </w:r>
      <w:r>
        <w:rPr>
          <w:bCs/>
          <w:b/>
          <w:u w:val="single"/>
        </w:rPr>
        <w:t xml:space="preserve">c</w:t>
      </w:r>
      <w:r>
        <w:t xml:space="preserve"> </w:t>
      </w:r>
      <w:r>
        <w:t xml:space="preserve">i „Koine” zgadzają się przeciwko „Andreasowi” ponad 100 razy, a</w:t>
      </w:r>
      <w:r>
        <w:t xml:space="preserve"> </w:t>
      </w:r>
      <w:r>
        <w:rPr>
          <w:bCs/>
          <w:b/>
          <w:u w:val="single"/>
        </w:rPr>
        <w:t xml:space="preserve">c</w:t>
      </w:r>
      <w:r>
        <w:t xml:space="preserve"> </w:t>
      </w:r>
      <w:r>
        <w:t xml:space="preserve">i „Andreas” również zgadzają się przeciwko „Koine” ponad 100 razy. Pełny skład „Koine” i „Andreasa” zgadza się przeciwko</w:t>
      </w:r>
      <w:r>
        <w:t xml:space="preserve"> </w:t>
      </w:r>
      <w:r>
        <w:rPr>
          <w:bCs/>
          <w:b/>
          <w:u w:val="single"/>
        </w:rPr>
        <w:t xml:space="preserve">c</w:t>
      </w:r>
      <w:r>
        <w:t xml:space="preserve"> </w:t>
      </w:r>
      <w:r>
        <w:t xml:space="preserve">jedenaście razy. Twierdzę, że najrozsądniejszym wyjaśnieniem stojących przed nami dowodów jest to, że</w:t>
      </w:r>
      <w:r>
        <w:t xml:space="preserve"> </w:t>
      </w:r>
      <w:r>
        <w:rPr>
          <w:bCs/>
          <w:b/>
          <w:u w:val="single"/>
        </w:rPr>
        <w:t xml:space="preserve">c</w:t>
      </w:r>
      <w:r>
        <w:t xml:space="preserve"> </w:t>
      </w:r>
      <w:r>
        <w:t xml:space="preserve">stanowi wspólny mianownik, jest rdzeniem przekazu, od którego wszyscy pozostali odeszli w różnym czasie i na różne sposoby.</w:t>
      </w:r>
    </w:p>
    <w:p>
      <w:pPr>
        <w:pStyle w:val="BodyText"/>
      </w:pPr>
      <w:r>
        <w:t xml:space="preserve">Co zatem mówią nam wzorzec i zależność? Pozwalają zidentyfikować grupy lub rodziny manuskryptów. Określają także poziom wewnętrznej spójności każdej grupy. Brak wzorca i zależności pozwala zidentyfikować niezależne linie przekazu. Wszystkie manuskrypty otrzymały wspólny wpływ od Oryginału, ale najwyraźniej niezależne linie przekazu nie mogą w jednakowym stopniu reprezentować Oryginału. Co zatem robimy, gdy stajemy w obliczu kilku takich linii? Albo, biorąc konkretny przypadek, jak możemy dokonać wyboru między „Koine”, „Andreasem” i „kompluteńskim” w Objawieniu Jana? Jeśli pójdziemy za dwoma przeciwko jednemu, uzyskamy tekst „większościowy” — według przybliżonego szacunku będzie on w co najmniej 90% kompluteński (ten rzadko występuje sam).</w:t>
      </w:r>
      <w:r>
        <w:rPr>
          <w:rStyle w:val="FootnoteReference"/>
        </w:rPr>
        <w:footnoteReference w:id="235"/>
      </w:r>
      <w:r>
        <w:t xml:space="preserve"> </w:t>
      </w:r>
      <w:r>
        <w:t xml:space="preserve">(Z mojego punktu widzenia byłby to bardzo dobry Tekst!)</w:t>
      </w:r>
    </w:p>
    <w:p>
      <w:pPr>
        <w:pStyle w:val="BodyText"/>
      </w:pPr>
      <w:r>
        <w:t xml:space="preserve">W całej księdze nie ma ani jednego wyraźnego trójstronnego podziału, a tylko jeden można uznać za dość bliski takiemu podziałowi (w 15,4). Co mówi nam brak trójstronnych podziałów? Mówi nam, że te trzy grupy nie są jednakowo niezależne. Mówi nam, że tekst kompluteński jest najbardziej niezależny z całej trójki — niezależny w odniesieniu do pozostałych dwóch! Skoro wszystkie trzy zależą od Oryginału, czy możemy ustalić, która z nich jest najbardziej zależna, a zatem najbliższa Oryginałowi? Jeśli dowody wskazują na tekst kompluteński jako wspólny mianownik, to pozostałe dwie grupy są od niego przynajmniej częściowo zależne, oznaczałoby to, że tekst kompluteński znajduje się między nimi a Oryginałem, a zatem jest najbliższy Oryginałowi.</w:t>
      </w:r>
    </w:p>
    <w:p>
      <w:pPr>
        <w:pStyle w:val="BodyText"/>
      </w:pPr>
      <w:r>
        <w:t xml:space="preserve">A co z nielicznymi miejscami, w których Koine i Andreas zgadzają się przeciwko tekstowi kompluteńskiemu, czy obeszły go i wróciły bezpośrednio do Oryginału? (Jak mogłoby to być możliwe?) Czy „wybierały według uznania”, konsultując egzemplarz inny niż kompluteński? Taki egzemplarz byłby węzłem znajdującym się ponad Koine i Andreasem, ponieważ oba następnie poszły własnymi drogami. (Przypuszczam, że to byłoby przynajmniej możliwe). Co jednak, jeśli tekst kompluteński poprawnie reprezentuje Oryginał? Wtedy stemma mogłoby wyglądać następująco:</w:t>
      </w:r>
    </w:p>
    <w:p>
      <w:pPr>
        <w:pStyle w:val="SourceCode"/>
      </w:pPr>
      <w:r>
        <w:rPr>
          <w:rStyle w:val="VerbatimChar"/>
        </w:rPr>
        <w:t xml:space="preserve">      O</w:t>
      </w:r>
      <w:r>
        <w:br/>
      </w:r>
      <w:r>
        <w:rPr>
          <w:rStyle w:val="VerbatimChar"/>
        </w:rPr>
        <w:t xml:space="preserve">      │</w:t>
      </w:r>
      <w:r>
        <w:br/>
      </w:r>
      <w:r>
        <w:rPr>
          <w:rStyle w:val="VerbatimChar"/>
        </w:rPr>
        <w:t xml:space="preserve">□ makro-C</w:t>
      </w:r>
      <w:r>
        <w:br/>
      </w:r>
      <w:r>
        <w:rPr>
          <w:rStyle w:val="VerbatimChar"/>
        </w:rPr>
        <w:t xml:space="preserve">├── c</w:t>
      </w:r>
      <w:r>
        <w:br/>
      </w:r>
      <w:r>
        <w:rPr>
          <w:rStyle w:val="VerbatimChar"/>
        </w:rPr>
        <w:t xml:space="preserve">└── ○ a, d</w:t>
      </w:r>
      <w:r>
        <w:br/>
      </w:r>
      <w:r>
        <w:rPr>
          <w:rStyle w:val="VerbatimChar"/>
        </w:rPr>
        <w:t xml:space="preserve">    ├── a</w:t>
      </w:r>
      <w:r>
        <w:br/>
      </w:r>
      <w:r>
        <w:rPr>
          <w:rStyle w:val="VerbatimChar"/>
        </w:rPr>
        <w:t xml:space="preserve">    └── d</w:t>
      </w:r>
    </w:p>
    <w:p>
      <w:pPr>
        <w:pStyle w:val="FirstParagraph"/>
      </w:pPr>
      <w:r>
        <w:t xml:space="preserve">Przypuszczam, że ostateczny wybór będzie zależał od czynników wykraczających poza wzorzec i zależność. Potrzebujemy jednak wzorca i zależności, aby zbliżyć się do ostatecznego wyboru.</w:t>
      </w:r>
    </w:p>
    <w:bookmarkEnd w:id="236"/>
    <w:bookmarkStart w:id="240" w:name="X8a5da6891cdce0262847cd4554d66dc99238c29"/>
    <w:p>
      <w:pPr>
        <w:pStyle w:val="Heading2"/>
      </w:pPr>
      <w:r>
        <w:t xml:space="preserve">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FirstParagraph"/>
      </w:pPr>
      <w:r>
        <w:t xml:space="preserve">Przyjmuję, że Klaus Wachtel w swojej książce</w:t>
      </w:r>
      <w:r>
        <w:t xml:space="preserve"> </w:t>
      </w:r>
      <w:r>
        <w:rPr>
          <w:iCs/>
          <w:i/>
        </w:rPr>
        <w:t xml:space="preserve">Der Byzantinische Text der Katholischen Briefe</w:t>
      </w:r>
      <w:r>
        <w:t xml:space="preserve"> </w:t>
      </w:r>
      <w:r>
        <w:t xml:space="preserve">(</w:t>
      </w:r>
      <w:r>
        <w:rPr>
          <w:iCs/>
          <w:i/>
        </w:rPr>
        <w:t xml:space="preserve">The Byzantine Text of the Catholic Letters</w:t>
      </w:r>
      <w:r>
        <w:t xml:space="preserve">) uznaje, iż bizantyjski</w:t>
      </w:r>
      <w:r>
        <w:t xml:space="preserve"> </w:t>
      </w:r>
      <w:r>
        <w:rPr>
          <w:u w:val="single"/>
        </w:rPr>
        <w:t xml:space="preserve">tekst</w:t>
      </w:r>
      <w:r>
        <w:t xml:space="preserve"> </w:t>
      </w:r>
      <w:r>
        <w:t xml:space="preserve">jest wczesny (chociaż na podstawie względów wewnętrznych często opowiada się przeciwko niemu), żegnając się tym samym z powszechną kaczką dziennikarską, jakoby tekst bizantyjski był późny. Uważam, że przedstawione poniżej dowody wykazują to samo w odniesieniu do</w:t>
      </w:r>
      <w:r>
        <w:t xml:space="preserve"> </w:t>
      </w:r>
      <w:r>
        <w:rPr>
          <w:u w:val="single"/>
        </w:rPr>
        <w:t xml:space="preserve">tekstu</w:t>
      </w:r>
      <w:r>
        <w:t xml:space="preserve"> </w:t>
      </w:r>
      <w:r>
        <w:rPr>
          <w:bCs/>
          <w:b/>
        </w:rPr>
        <w:t xml:space="preserve">f</w:t>
      </w:r>
      <w:r>
        <w:rPr>
          <w:vertAlign w:val="superscript"/>
          <w:bCs/>
          <w:b/>
        </w:rPr>
        <w:t xml:space="preserve">35</w:t>
      </w:r>
      <w:r>
        <w:t xml:space="preserve">.</w:t>
      </w:r>
    </w:p>
    <w:p>
      <w:pPr>
        <w:pStyle w:val="BodyText"/>
      </w:pPr>
      <w:r>
        <w:t xml:space="preserve">Przystępuję do zestawienia wyników wczesnych uncjałów (z V wieku i wcześniejszych), tak jak pojawiają się w aparacie krytycznym mojego greckiego tekstu siedmiu Listów Ogólnych, uzupełnionym jednak na podstawie serii</w:t>
      </w:r>
      <w:r>
        <w:t xml:space="preserve"> </w:t>
      </w:r>
      <w:r>
        <w:rPr>
          <w:iCs/>
          <w:i/>
        </w:rPr>
        <w:t xml:space="preserve">Editio Critica Maior</w:t>
      </w:r>
      <w:r>
        <w:t xml:space="preserve">.</w:t>
      </w:r>
      <w:r>
        <w:rPr>
          <w:rStyle w:val="FootnoteReference"/>
        </w:rPr>
        <w:footnoteReference w:id="237"/>
      </w:r>
      <w:r>
        <w:t xml:space="preserve"> </w:t>
      </w:r>
      <w:r>
        <w:t xml:space="preserve">Za punkt odniesienia przyjmuję</w:t>
      </w:r>
      <w:r>
        <w:t xml:space="preserve"> </w:t>
      </w:r>
      <w:r>
        <w:rPr>
          <w:bCs/>
          <w:b/>
        </w:rPr>
        <w:t xml:space="preserve">f</w:t>
      </w:r>
      <w:r>
        <w:rPr>
          <w:vertAlign w:val="superscript"/>
          <w:bCs/>
          <w:b/>
        </w:rPr>
        <w:t xml:space="preserve">35</w:t>
      </w:r>
      <w:r>
        <w:t xml:space="preserve">, ale uwzględniam tylko te zestawy wariantów, w których przynajmniej jeden z zachowanych wczesnych uncjałów (zachowanych w danym miejscu) występuje przeciwko</w:t>
      </w:r>
      <w:r>
        <w:t xml:space="preserve"> </w:t>
      </w:r>
      <w:r>
        <w:rPr>
          <w:bCs/>
          <w:b/>
        </w:rPr>
        <w:t xml:space="preserve">f</w:t>
      </w:r>
      <w:r>
        <w:rPr>
          <w:vertAlign w:val="superscript"/>
          <w:bCs/>
          <w:b/>
        </w:rPr>
        <w:t xml:space="preserve">35</w:t>
      </w:r>
      <w:r>
        <w:t xml:space="preserve"> </w:t>
      </w:r>
      <w:r>
        <w:t xml:space="preserve">(jest to konieczne, ponieważ większość słów ma jednomyślne poświadczenie).</w:t>
      </w:r>
    </w:p>
    <w:p>
      <w:pPr>
        <w:pStyle w:val="BodyText"/>
      </w:pPr>
      <w:r>
        <w:t xml:space="preserve">W moim aparacie krytycznym pojawia się trzynaście wczesnych uncjałów: P</w:t>
      </w:r>
      <w:r>
        <w:rPr>
          <w:vertAlign w:val="superscript"/>
        </w:rPr>
        <w:t xml:space="preserve">20,23,72,78,81,100</w:t>
      </w:r>
      <w:r>
        <w:t xml:space="preserve">, ℵ, A, B, C, 048, 0173, 0232. Jedynie P</w:t>
      </w:r>
      <w:r>
        <w:rPr>
          <w:vertAlign w:val="superscript"/>
        </w:rPr>
        <w:t xml:space="preserve">72</w:t>
      </w:r>
      <w:r>
        <w:t xml:space="preserve">, ℵ, A, B, C nie są fragmentami (048 składa się z różnych fragmentów, występujących tu i ówdzie). W kodeksie C brakuje zasadniczo rozdziałów 4 i 5 Listu Jakuba, 1 Listu Piotra i 1 Listu Jana (co ciekawe, tych samych dwóch rozdziałów we wszystkich trzech księgach), a także całego 2 Listu Jana. Oczywiście P</w:t>
      </w:r>
      <w:r>
        <w:rPr>
          <w:vertAlign w:val="superscript"/>
        </w:rPr>
        <w:t xml:space="preserve">72</w:t>
      </w:r>
      <w:r>
        <w:t xml:space="preserve"> </w:t>
      </w:r>
      <w:r>
        <w:t xml:space="preserve">zawiera tylko 1 i 2 List Piotra oraz List Judy. 0173 jest jedynym z nich, który nigdy nie staje po stronie</w:t>
      </w:r>
      <w:r>
        <w:t xml:space="preserve"> </w:t>
      </w:r>
      <w:r>
        <w:rPr>
          <w:bCs/>
          <w:b/>
        </w:rPr>
        <w:t xml:space="preserve">f</w:t>
      </w:r>
      <w:r>
        <w:rPr>
          <w:vertAlign w:val="superscript"/>
          <w:bCs/>
          <w:b/>
        </w:rPr>
        <w:t xml:space="preserve">35</w:t>
      </w:r>
      <w:r>
        <w:t xml:space="preserve">. Spośród 795 zestawów wariantów</w:t>
      </w:r>
      <w:r>
        <w:t xml:space="preserve"> </w:t>
      </w:r>
      <w:r>
        <w:rPr>
          <w:bCs/>
          <w:b/>
        </w:rPr>
        <w:t xml:space="preserve">f</w:t>
      </w:r>
      <w:r>
        <w:rPr>
          <w:vertAlign w:val="superscript"/>
          <w:bCs/>
          <w:b/>
        </w:rPr>
        <w:t xml:space="preserve">35</w:t>
      </w:r>
      <w:r>
        <w:t xml:space="preserve"> </w:t>
      </w:r>
      <w:r>
        <w:t xml:space="preserve">otrzymuje wyraźne wczesne poświadczenie w 77,9% przypadków (619 ÷ 795).</w:t>
      </w:r>
    </w:p>
    <w:p>
      <w:pPr>
        <w:pStyle w:val="BodyText"/>
      </w:pPr>
      <w:r>
        <w:t xml:space="preserve">Zanim wyciągnę wnioski, przedstawiam dowody (w zestawieniu ujęto wyłącznie kombinacje mające co najmniej jedno wystąpienie). Nawiasem mówiąc, ponieważ nie mam ani sekretarza, ani korektora, nie gwarantuję całkowitej dokładności, jednak pojedyncze przeoczenie tu czy tam nie zmieni ogólnego obrazu ani nie unieważni moich wniosków.</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rPr>
                <w:bCs/>
                <w:b/>
              </w:rPr>
              <w:t xml:space="preserve">f</w:t>
            </w:r>
            <w:r>
              <w:rPr>
                <w:vertAlign w:val="superscript"/>
                <w:bCs/>
                <w:b/>
              </w:rPr>
              <w:t xml:space="preserve">35</w:t>
            </w:r>
            <w:r>
              <w:t xml:space="preserve"> </w:t>
            </w:r>
            <w:r>
              <w:t xml:space="preserve">sam</w:t>
            </w:r>
          </w:p>
        </w:tc>
        <w:tc>
          <w:tcPr/>
          <w:p>
            <w:pPr>
              <w:pStyle w:val="Compact"/>
              <w:jc w:val="right"/>
            </w:pPr>
            <w:r>
              <w:t xml:space="preserve">53</w:t>
            </w:r>
          </w:p>
        </w:tc>
        <w:tc>
          <w:tcPr/>
          <w:p>
            <w:pPr>
              <w:pStyle w:val="Compact"/>
              <w:jc w:val="right"/>
            </w:pPr>
            <w:r>
              <w:t xml:space="preserve">45</w:t>
            </w:r>
          </w:p>
        </w:tc>
        <w:tc>
          <w:tcPr/>
          <w:p>
            <w:pPr>
              <w:pStyle w:val="Compact"/>
              <w:jc w:val="right"/>
            </w:pPr>
            <w:r>
              <w:t xml:space="preserve">17</w:t>
            </w:r>
          </w:p>
        </w:tc>
        <w:tc>
          <w:tcPr/>
          <w:p>
            <w:pPr>
              <w:pStyle w:val="Compact"/>
              <w:jc w:val="right"/>
            </w:pPr>
            <w:r>
              <w:t xml:space="preserve">31</w:t>
            </w:r>
          </w:p>
        </w:tc>
        <w:tc>
          <w:tcPr/>
          <w:p>
            <w:pPr>
              <w:pStyle w:val="Compact"/>
              <w:jc w:val="right"/>
            </w:pPr>
            <w:r>
              <w:t xml:space="preserve">17</w:t>
            </w:r>
          </w:p>
        </w:tc>
        <w:tc>
          <w:tcPr/>
          <w:p>
            <w:pPr>
              <w:pStyle w:val="Compact"/>
              <w:jc w:val="right"/>
            </w:pPr>
            <w:r>
              <w:t xml:space="preserve">13</w:t>
            </w:r>
          </w:p>
        </w:tc>
        <w:tc>
          <w:tcPr/>
          <w:p>
            <w:pPr>
              <w:pStyle w:val="Compact"/>
              <w:jc w:val="right"/>
            </w:pPr>
            <w:r>
              <w:rPr>
                <w:bCs/>
                <w:b/>
              </w:rPr>
              <w:t xml:space="preserve">176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pPr>
          </w:p>
        </w:tc>
        <w:tc>
          <w:tcPr/>
          <w:p>
            <w:pPr>
              <w:pStyle w:val="Compact"/>
              <w:jc w:val="right"/>
            </w:pPr>
            <w:r>
              <w:t xml:space="preserve">7</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jc w:val="right"/>
            </w:pPr>
            <w:r>
              <w:t xml:space="preserve">9</w:t>
            </w:r>
          </w:p>
        </w:tc>
        <w:tc>
          <w:tcPr/>
          <w:p>
            <w:pPr>
              <w:pStyle w:val="Compact"/>
              <w:jc w:val="right"/>
            </w:pPr>
            <w:r>
              <w:t xml:space="preserve">7</w:t>
            </w:r>
          </w:p>
        </w:tc>
        <w:tc>
          <w:tcPr/>
          <w:p>
            <w:pPr>
              <w:pStyle w:val="Compact"/>
              <w:jc w:val="right"/>
            </w:pPr>
            <w:r>
              <w:t xml:space="preserve">11</w:t>
            </w:r>
          </w:p>
        </w:tc>
        <w:tc>
          <w:tcPr/>
          <w:p>
            <w:pPr>
              <w:pStyle w:val="Compact"/>
              <w:jc w:val="right"/>
            </w:pPr>
            <w:r>
              <w:t xml:space="preserve">3</w:t>
            </w:r>
          </w:p>
        </w:tc>
        <w:tc>
          <w:tcPr/>
          <w:p>
            <w:pPr>
              <w:pStyle w:val="Compact"/>
              <w:jc w:val="right"/>
            </w:pPr>
            <w:r>
              <w:t xml:space="preserve">1</w:t>
            </w:r>
          </w:p>
        </w:tc>
        <w:tc>
          <w:tcPr/>
          <w:p>
            <w:pPr>
              <w:pStyle w:val="Compact"/>
              <w:jc w:val="right"/>
            </w:pPr>
            <w:r>
              <w:rPr>
                <w:bCs/>
                <w:b/>
              </w:rPr>
              <w:t xml:space="preserve">40</w:t>
            </w: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10</w:t>
            </w:r>
          </w:p>
        </w:tc>
        <w:tc>
          <w:tcPr/>
          <w:p>
            <w:pPr>
              <w:pStyle w:val="Compact"/>
              <w:jc w:val="right"/>
            </w:pPr>
            <w:r>
              <w:t xml:space="preserve">8</w:t>
            </w:r>
          </w:p>
        </w:tc>
        <w:tc>
          <w:tcPr/>
          <w:p>
            <w:pPr>
              <w:pStyle w:val="Compact"/>
              <w:jc w:val="right"/>
            </w:pPr>
            <w:r>
              <w:t xml:space="preserve">2</w:t>
            </w:r>
          </w:p>
        </w:tc>
        <w:tc>
          <w:tcPr/>
          <w:p>
            <w:pPr>
              <w:pStyle w:val="Compact"/>
              <w:jc w:val="right"/>
            </w:pPr>
            <w:r>
              <w:t xml:space="preserve">6</w:t>
            </w:r>
          </w:p>
        </w:tc>
        <w:tc>
          <w:tcPr/>
          <w:p>
            <w:pPr>
              <w:pStyle w:val="Compact"/>
            </w:pPr>
          </w:p>
        </w:tc>
        <w:tc>
          <w:tcPr/>
          <w:p>
            <w:pPr>
              <w:pStyle w:val="Compact"/>
              <w:jc w:val="right"/>
            </w:pPr>
            <w:r>
              <w:t xml:space="preserve">1</w:t>
            </w:r>
          </w:p>
        </w:tc>
        <w:tc>
          <w:tcPr/>
          <w:p>
            <w:pPr>
              <w:pStyle w:val="Compact"/>
              <w:jc w:val="right"/>
            </w:pPr>
            <w:r>
              <w:rPr>
                <w:bCs/>
                <w:b/>
              </w:rPr>
              <w:t xml:space="preserve">27</w:t>
            </w: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right"/>
            </w:pPr>
            <w:r>
              <w:t xml:space="preserve">7</w:t>
            </w:r>
          </w:p>
        </w:tc>
        <w:tc>
          <w:tcPr/>
          <w:p>
            <w:pPr>
              <w:pStyle w:val="Compact"/>
              <w:jc w:val="right"/>
            </w:pPr>
            <w:r>
              <w:t xml:space="preserve">3</w:t>
            </w:r>
          </w:p>
        </w:tc>
        <w:tc>
          <w:tcPr/>
          <w:p>
            <w:pPr>
              <w:pStyle w:val="Compact"/>
            </w:pPr>
          </w:p>
        </w:tc>
        <w:tc>
          <w:tcPr/>
          <w:p>
            <w:pPr>
              <w:pStyle w:val="Compact"/>
              <w:jc w:val="right"/>
            </w:pPr>
            <w:r>
              <w:rPr>
                <w:bCs/>
                <w:b/>
              </w:rPr>
              <w:t xml:space="preserve">16</w:t>
            </w: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jc w:val="right"/>
            </w:pPr>
            <w:r>
              <w:t xml:space="preserve">8</w:t>
            </w:r>
          </w:p>
        </w:tc>
        <w:tc>
          <w:tcPr/>
          <w:p>
            <w:pPr>
              <w:pStyle w:val="Compact"/>
              <w:jc w:val="right"/>
            </w:pPr>
            <w:r>
              <w:t xml:space="preserve">3</w:t>
            </w:r>
          </w:p>
        </w:tc>
        <w:tc>
          <w:tcPr/>
          <w:p>
            <w:pPr>
              <w:pStyle w:val="Compact"/>
              <w:jc w:val="right"/>
            </w:pPr>
            <w:r>
              <w:t xml:space="preserve">4</w:t>
            </w:r>
          </w:p>
        </w:tc>
        <w:tc>
          <w:tcPr/>
          <w:p>
            <w:pPr>
              <w:pStyle w:val="Compact"/>
              <w:jc w:val="right"/>
            </w:pPr>
            <w:r>
              <w:t xml:space="preserve">1</w:t>
            </w:r>
          </w:p>
        </w:tc>
        <w:tc>
          <w:tcPr/>
          <w:p>
            <w:pPr>
              <w:pStyle w:val="Compact"/>
              <w:jc w:val="right"/>
            </w:pPr>
            <w:r>
              <w:t xml:space="preserve">1</w:t>
            </w:r>
          </w:p>
        </w:tc>
        <w:tc>
          <w:tcPr/>
          <w:p>
            <w:pPr>
              <w:pStyle w:val="Compact"/>
              <w:jc w:val="right"/>
            </w:pPr>
            <w:r>
              <w:rPr>
                <w:bCs/>
                <w:b/>
              </w:rPr>
              <w:t xml:space="preserve">22</w:t>
            </w: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12</w:t>
            </w:r>
          </w:p>
        </w:tc>
        <w:tc>
          <w:tcPr/>
          <w:p>
            <w:pPr>
              <w:pStyle w:val="Compact"/>
              <w:jc w:val="right"/>
            </w:pPr>
            <w:r>
              <w:t xml:space="preserve">3</w:t>
            </w: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jc w:val="right"/>
            </w:pPr>
            <w:r>
              <w:t xml:space="preserve">1</w:t>
            </w:r>
          </w:p>
        </w:tc>
        <w:tc>
          <w:tcPr/>
          <w:p>
            <w:pPr>
              <w:pStyle w:val="Compact"/>
              <w:jc w:val="right"/>
            </w:pPr>
            <w:r>
              <w:rPr>
                <w:bCs/>
                <w:b/>
              </w:rPr>
              <w:t xml:space="preserve">32</w:t>
            </w: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10</w:t>
            </w:r>
          </w:p>
        </w:tc>
        <w:tc>
          <w:tcPr/>
          <w:p>
            <w:pPr>
              <w:pStyle w:val="Compact"/>
              <w:jc w:val="right"/>
            </w:pPr>
            <w:r>
              <w:t xml:space="preserve">5</w:t>
            </w:r>
          </w:p>
        </w:tc>
        <w:tc>
          <w:tcPr/>
          <w:p>
            <w:pPr>
              <w:pStyle w:val="Compact"/>
            </w:pPr>
          </w:p>
        </w:tc>
        <w:tc>
          <w:tcPr/>
          <w:p>
            <w:pPr>
              <w:pStyle w:val="Compact"/>
              <w:jc w:val="right"/>
            </w:pPr>
            <w:r>
              <w:t xml:space="preserve">22</w:t>
            </w:r>
          </w:p>
        </w:tc>
        <w:tc>
          <w:tcPr/>
          <w:p>
            <w:pPr>
              <w:pStyle w:val="Compact"/>
              <w:jc w:val="right"/>
            </w:pPr>
            <w:r>
              <w:t xml:space="preserve">2</w:t>
            </w:r>
          </w:p>
        </w:tc>
        <w:tc>
          <w:tcPr/>
          <w:p>
            <w:pPr>
              <w:pStyle w:val="Compact"/>
            </w:pPr>
          </w:p>
        </w:tc>
        <w:tc>
          <w:tcPr/>
          <w:p>
            <w:pPr>
              <w:pStyle w:val="Compact"/>
              <w:jc w:val="right"/>
            </w:pPr>
            <w:r>
              <w:rPr>
                <w:bCs/>
                <w:b/>
              </w:rPr>
              <w:t xml:space="preserve">39</w:t>
            </w: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5</w:t>
            </w:r>
          </w:p>
        </w:tc>
        <w:tc>
          <w:tcPr/>
          <w:p>
            <w:pPr>
              <w:pStyle w:val="Compact"/>
            </w:pPr>
          </w:p>
        </w:tc>
        <w:tc>
          <w:tcPr/>
          <w:p>
            <w:pPr>
              <w:pStyle w:val="Compact"/>
              <w:jc w:val="right"/>
            </w:pPr>
            <w:r>
              <w:t xml:space="preserve">2</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right"/>
            </w:pPr>
            <w:r>
              <w:t xml:space="preserve">12</w:t>
            </w:r>
          </w:p>
        </w:tc>
        <w:tc>
          <w:tcPr/>
          <w:p>
            <w:pPr>
              <w:pStyle w:val="Compact"/>
            </w:pPr>
          </w:p>
        </w:tc>
        <w:tc>
          <w:tcPr/>
          <w:p>
            <w:pPr>
              <w:pStyle w:val="Compact"/>
              <w:jc w:val="right"/>
            </w:pPr>
            <w:r>
              <w:t xml:space="preserve">2</w:t>
            </w:r>
          </w:p>
        </w:tc>
        <w:tc>
          <w:tcPr/>
          <w:p>
            <w:pPr>
              <w:pStyle w:val="Compact"/>
              <w:jc w:val="right"/>
            </w:pPr>
            <w:r>
              <w:rPr>
                <w:bCs/>
                <w:b/>
              </w:rPr>
              <w:t xml:space="preserve">21</w:t>
            </w: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B048</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pPr>
          </w:p>
        </w:tc>
        <w:tc>
          <w:tcPr/>
          <w:p>
            <w:pPr>
              <w:pStyle w:val="Compact"/>
              <w:jc w:val="righ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pPr>
          </w:p>
        </w:tc>
        <w:tc>
          <w:tcPr/>
          <w:p>
            <w:pPr>
              <w:pStyle w:val="Compact"/>
              <w:jc w:val="right"/>
            </w:pPr>
            <w:r>
              <w:t xml:space="preserve">4</w:t>
            </w: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5</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pPr>
          </w:p>
        </w:tc>
        <w:tc>
          <w:tcPr/>
          <w:p>
            <w:pPr>
              <w:pStyle w:val="Compact"/>
              <w:jc w:val="right"/>
            </w:pPr>
            <w:r>
              <w:t xml:space="preserve">12</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pPr>
          </w:p>
        </w:tc>
        <w:tc>
          <w:tcPr/>
          <w:p>
            <w:pPr>
              <w:pStyle w:val="Compact"/>
              <w:jc w:val="right"/>
            </w:pPr>
            <w:r>
              <w:t xml:space="preserve">1</w:t>
            </w:r>
          </w:p>
        </w:tc>
        <w:tc>
          <w:tcPr/>
          <w:p>
            <w:pPr>
              <w:pStyle w:val="Compact"/>
              <w:jc w:val="right"/>
            </w:pPr>
            <w:r>
              <w:t xml:space="preserve">13</w:t>
            </w:r>
          </w:p>
        </w:tc>
        <w:tc>
          <w:tcPr/>
          <w:p>
            <w:pPr>
              <w:pStyle w:val="Compact"/>
            </w:pPr>
          </w:p>
        </w:tc>
        <w:tc>
          <w:tcPr/>
          <w:p>
            <w:pPr>
              <w:pStyle w:val="Compact"/>
            </w:pPr>
          </w:p>
        </w:tc>
        <w:tc>
          <w:tcPr/>
          <w:p>
            <w:pPr>
              <w:pStyle w:val="Compact"/>
            </w:pPr>
          </w:p>
        </w:tc>
        <w:tc>
          <w:tcPr/>
          <w:p>
            <w:pPr>
              <w:pStyle w:val="Compact"/>
              <w:jc w:val="right"/>
            </w:pPr>
            <w:r>
              <w:rPr>
                <w:bCs/>
                <w:b/>
              </w:rPr>
              <w:t xml:space="preserve">14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8</w:t>
            </w:r>
          </w:p>
        </w:tc>
        <w:tc>
          <w:tcPr/>
          <w:p>
            <w:pPr>
              <w:pStyle w:val="Compact"/>
              <w:jc w:val="right"/>
            </w:pPr>
            <w:r>
              <w:t xml:space="preserve">4</w:t>
            </w:r>
          </w:p>
        </w:tc>
        <w:tc>
          <w:tcPr/>
          <w:p>
            <w:pPr>
              <w:pStyle w:val="Compact"/>
              <w:jc w:val="right"/>
            </w:pPr>
            <w:r>
              <w:t xml:space="preserve">1</w:t>
            </w:r>
          </w:p>
        </w:tc>
        <w:tc>
          <w:tcPr/>
          <w:p>
            <w:pPr>
              <w:pStyle w:val="Compact"/>
              <w:jc w:val="right"/>
            </w:pPr>
            <w:r>
              <w:t xml:space="preserve">11</w:t>
            </w:r>
          </w:p>
        </w:tc>
        <w:tc>
          <w:tcPr/>
          <w:p>
            <w:pPr>
              <w:pStyle w:val="Compact"/>
            </w:pPr>
          </w:p>
        </w:tc>
        <w:tc>
          <w:tcPr/>
          <w:p>
            <w:pPr>
              <w:pStyle w:val="Compact"/>
              <w:jc w:val="right"/>
            </w:pPr>
            <w:r>
              <w:t xml:space="preserve">2</w:t>
            </w:r>
          </w:p>
        </w:tc>
        <w:tc>
          <w:tcPr/>
          <w:p>
            <w:pPr>
              <w:pStyle w:val="Compact"/>
              <w:jc w:val="right"/>
            </w:pPr>
            <w:r>
              <w:rPr>
                <w:bCs/>
                <w:b/>
              </w:rPr>
              <w:t xml:space="preserve">26</w:t>
            </w: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pP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17</w:t>
            </w:r>
          </w:p>
        </w:tc>
        <w:tc>
          <w:tcPr/>
          <w:p>
            <w:pPr>
              <w:pStyle w:val="Compact"/>
              <w:jc w:val="right"/>
            </w:pPr>
            <w:r>
              <w:t xml:space="preserve">1</w:t>
            </w:r>
          </w:p>
        </w:tc>
        <w:tc>
          <w:tcPr/>
          <w:p>
            <w:pPr>
              <w:pStyle w:val="Compact"/>
              <w:jc w:val="right"/>
            </w:pPr>
            <w:r>
              <w:t xml:space="preserve">2</w:t>
            </w:r>
          </w:p>
        </w:tc>
        <w:tc>
          <w:tcPr/>
          <w:p>
            <w:pPr>
              <w:pStyle w:val="Compact"/>
              <w:jc w:val="right"/>
            </w:pPr>
            <w:r>
              <w:t xml:space="preserve">17</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ℵB048</w:t>
            </w: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8</w:t>
            </w:r>
          </w:p>
        </w:tc>
        <w:tc>
          <w:tcPr/>
          <w:p>
            <w:pPr>
              <w:pStyle w:val="Compact"/>
              <w:jc w:val="right"/>
            </w:pPr>
            <w:r>
              <w:t xml:space="preserve">5</w:t>
            </w:r>
          </w:p>
        </w:tc>
        <w:tc>
          <w:tcPr/>
          <w:p>
            <w:pPr>
              <w:pStyle w:val="Compact"/>
              <w:jc w:val="right"/>
            </w:pPr>
            <w:r>
              <w:t xml:space="preserve">2</w:t>
            </w:r>
          </w:p>
        </w:tc>
        <w:tc>
          <w:tcPr/>
          <w:p>
            <w:pPr>
              <w:pStyle w:val="Compact"/>
              <w:jc w:val="right"/>
            </w:pPr>
            <w:r>
              <w:t xml:space="preserve">15</w:t>
            </w:r>
          </w:p>
        </w:tc>
        <w:tc>
          <w:tcPr/>
          <w:p>
            <w:pPr>
              <w:pStyle w:val="Compact"/>
              <w:jc w:val="right"/>
            </w:pPr>
            <w:r>
              <w:t xml:space="preserve">3</w:t>
            </w:r>
          </w:p>
        </w:tc>
        <w:tc>
          <w:tcPr/>
          <w:p>
            <w:pPr>
              <w:pStyle w:val="Compact"/>
              <w:jc w:val="right"/>
            </w:pPr>
            <w:r>
              <w:t xml:space="preserve">2</w:t>
            </w:r>
          </w:p>
        </w:tc>
        <w:tc>
          <w:tcPr/>
          <w:p>
            <w:pPr>
              <w:pStyle w:val="Compact"/>
              <w:jc w:val="right"/>
            </w:pPr>
            <w:r>
              <w:rPr>
                <w:bCs/>
                <w:b/>
              </w:rPr>
              <w:t xml:space="preserve">35</w:t>
            </w:r>
          </w:p>
        </w:tc>
      </w:tr>
      <w:tr>
        <w:tc>
          <w:tcPr/>
          <w:p>
            <w:pPr>
              <w:pStyle w:val="Compact"/>
              <w:jc w:val="left"/>
            </w:pPr>
            <w:r>
              <w:rPr>
                <w:bCs/>
                <w:b/>
              </w:rPr>
              <w:t xml:space="preserve">f</w:t>
            </w:r>
            <w:r>
              <w:rPr>
                <w:vertAlign w:val="superscript"/>
                <w:bCs/>
                <w:b/>
              </w:rPr>
              <w:t xml:space="preserve">35</w:t>
            </w:r>
            <w:r>
              <w:t xml:space="preserve"> </w:t>
            </w:r>
            <w:r>
              <w:t xml:space="preserve">AB048</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jc w:val="right"/>
            </w:pPr>
            <w:r>
              <w:rPr>
                <w:bCs/>
                <w:b/>
              </w:rPr>
              <w:t xml:space="preserve">7</w:t>
            </w:r>
          </w:p>
        </w:tc>
      </w:tr>
      <w:tr>
        <w:tc>
          <w:tcPr/>
          <w:p>
            <w:pPr>
              <w:pStyle w:val="Compact"/>
              <w:jc w:val="left"/>
            </w:pPr>
            <w:r>
              <w:rPr>
                <w:bCs/>
                <w:b/>
              </w:rPr>
              <w:t xml:space="preserve">f</w:t>
            </w:r>
            <w:r>
              <w:rPr>
                <w:vertAlign w:val="superscript"/>
                <w:bCs/>
                <w:b/>
              </w:rPr>
              <w:t xml:space="preserve">35</w:t>
            </w:r>
            <w:r>
              <w:t xml:space="preserve"> </w:t>
            </w:r>
            <w:r>
              <w:t xml:space="preserve">AB0232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23</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pPr>
          </w:p>
        </w:tc>
        <w:tc>
          <w:tcPr/>
          <w:p>
            <w:pPr>
              <w:pStyle w:val="Compact"/>
              <w:jc w:val="right"/>
            </w:pPr>
            <w:r>
              <w:t xml:space="preserve">9</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4</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pP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pPr>
          </w:p>
        </w:tc>
        <w:tc>
          <w:tcPr/>
          <w:p>
            <w:pPr>
              <w:pStyle w:val="Compact"/>
              <w:jc w:val="right"/>
            </w:pPr>
            <w:r>
              <w:t xml:space="preserve">8</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5</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ℵBC</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1</w:t>
            </w:r>
          </w:p>
        </w:tc>
        <w:tc>
          <w:tcPr/>
          <w:p>
            <w:pPr>
              <w:pStyle w:val="Compact"/>
              <w:jc w:val="right"/>
            </w:pPr>
            <w:r>
              <w:t xml:space="preserve">11</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7</w:t>
            </w:r>
          </w:p>
        </w:tc>
        <w:tc>
          <w:tcPr/>
          <w:p>
            <w:pPr>
              <w:pStyle w:val="Compact"/>
              <w:jc w:val="right"/>
            </w:pPr>
            <w:r>
              <w:rPr>
                <w:bCs/>
                <w:b/>
              </w:rPr>
              <w:t xml:space="preserve">25</w:t>
            </w:r>
          </w:p>
        </w:tc>
      </w:tr>
      <w:tr>
        <w:tc>
          <w:tcPr/>
          <w:p>
            <w:pPr>
              <w:pStyle w:val="Compact"/>
              <w:jc w:val="left"/>
            </w:pPr>
            <w:r>
              <w:rPr>
                <w:bCs/>
                <w:b/>
              </w:rPr>
              <w:t xml:space="preserve">f</w:t>
            </w:r>
            <w:r>
              <w:rPr>
                <w:vertAlign w:val="superscript"/>
                <w:bCs/>
                <w:b/>
              </w:rPr>
              <w:t xml:space="preserve">35</w:t>
            </w:r>
            <w:r>
              <w:t xml:space="preserve"> </w:t>
            </w:r>
            <w:r>
              <w:t xml:space="preserve">ℵAC048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ℵBC048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AB048,0232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 </w:t>
            </w:r>
            <w:r>
              <w:t xml:space="preserve">ℵAB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72,81</w:t>
            </w:r>
            <w:r>
              <w:t xml:space="preserve"> </w:t>
            </w:r>
            <w:r>
              <w:t xml:space="preserve">ℵBC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jc w:val="right"/>
            </w:pPr>
            <w:r>
              <w:t xml:space="preserve">6</w:t>
            </w:r>
          </w:p>
        </w:tc>
        <w:tc>
          <w:tcPr/>
          <w:p>
            <w:pPr>
              <w:pStyle w:val="Compact"/>
            </w:pP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ℵAC048</w:t>
            </w: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ABC048</w:t>
            </w:r>
          </w:p>
        </w:tc>
        <w:tc>
          <w:tcPr/>
          <w:p>
            <w:pPr>
              <w:pStyle w:val="Compact"/>
            </w:pP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78</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ℵABC048</w:t>
            </w:r>
          </w:p>
        </w:tc>
        <w:tc>
          <w:tcPr/>
          <w:p>
            <w:pPr>
              <w:pStyle w:val="Compact"/>
            </w:pPr>
          </w:p>
        </w:tc>
        <w:tc>
          <w:tcPr/>
          <w:p>
            <w:pPr>
              <w:pStyle w:val="Compact"/>
              <w:jc w:val="right"/>
            </w:pPr>
            <w:r>
              <w:t xml:space="preserve">3</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t xml:space="preserve">Łącznie z uncjałem</w:t>
            </w:r>
          </w:p>
        </w:tc>
        <w:tc>
          <w:tcPr/>
          <w:p>
            <w:pPr>
              <w:pStyle w:val="Compact"/>
              <w:jc w:val="right"/>
            </w:pPr>
            <w:r>
              <w:t xml:space="preserve">127</w:t>
            </w:r>
          </w:p>
        </w:tc>
        <w:tc>
          <w:tcPr/>
          <w:p>
            <w:pPr>
              <w:pStyle w:val="Compact"/>
              <w:jc w:val="right"/>
            </w:pPr>
            <w:r>
              <w:t xml:space="preserve">155</w:t>
            </w:r>
          </w:p>
        </w:tc>
        <w:tc>
          <w:tcPr/>
          <w:p>
            <w:pPr>
              <w:pStyle w:val="Compact"/>
              <w:jc w:val="right"/>
            </w:pPr>
            <w:r>
              <w:t xml:space="preserve">95</w:t>
            </w:r>
          </w:p>
        </w:tc>
        <w:tc>
          <w:tcPr/>
          <w:p>
            <w:pPr>
              <w:pStyle w:val="Compact"/>
              <w:jc w:val="right"/>
            </w:pPr>
            <w:r>
              <w:t xml:space="preserve">147</w:t>
            </w:r>
          </w:p>
        </w:tc>
        <w:tc>
          <w:tcPr/>
          <w:p>
            <w:pPr>
              <w:pStyle w:val="Compact"/>
              <w:jc w:val="right"/>
            </w:pPr>
            <w:r>
              <w:t xml:space="preserve">38</w:t>
            </w:r>
          </w:p>
        </w:tc>
        <w:tc>
          <w:tcPr/>
          <w:p>
            <w:pPr>
              <w:pStyle w:val="Compact"/>
              <w:jc w:val="right"/>
            </w:pPr>
            <w:r>
              <w:t xml:space="preserve">48</w:t>
            </w:r>
          </w:p>
        </w:tc>
        <w:tc>
          <w:tcPr/>
          <w:p>
            <w:pPr>
              <w:pStyle w:val="Compact"/>
              <w:jc w:val="right"/>
            </w:pPr>
            <w:r>
              <w:rPr>
                <w:bCs/>
                <w:b/>
              </w:rPr>
              <w:t xml:space="preserve">619</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z udziałem P</w:t>
            </w:r>
            <w:r>
              <w:rPr>
                <w:vertAlign w:val="superscript"/>
              </w:rPr>
              <w:t xml:space="preserve">20</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23</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72</w:t>
            </w:r>
          </w:p>
        </w:tc>
        <w:tc>
          <w:tcPr/>
          <w:p>
            <w:pPr>
              <w:pStyle w:val="Compact"/>
              <w:jc w:val="center"/>
            </w:pPr>
            <w:r>
              <w:t xml:space="preserve">—</w:t>
            </w:r>
          </w:p>
        </w:tc>
        <w:tc>
          <w:tcPr/>
          <w:p>
            <w:pPr>
              <w:pStyle w:val="Compact"/>
              <w:jc w:val="right"/>
            </w:pPr>
            <w:r>
              <w:rPr>
                <w:bCs/>
                <w:b/>
              </w:rPr>
              <w:t xml:space="preserve">153</w:t>
            </w:r>
          </w:p>
        </w:tc>
      </w:tr>
      <w:tr>
        <w:tc>
          <w:tcPr/>
          <w:p>
            <w:pPr>
              <w:pStyle w:val="Compact"/>
              <w:jc w:val="left"/>
            </w:pPr>
            <w:r>
              <w:t xml:space="preserve">z udziałem P</w:t>
            </w:r>
            <w:r>
              <w:rPr>
                <w:vertAlign w:val="superscript"/>
              </w:rPr>
              <w:t xml:space="preserve">78</w:t>
            </w:r>
          </w:p>
        </w:tc>
        <w:tc>
          <w:tcPr/>
          <w:p>
            <w:pPr>
              <w:pStyle w:val="Compact"/>
              <w:jc w:val="center"/>
            </w:pPr>
            <w:r>
              <w:t xml:space="preserve">—</w:t>
            </w:r>
          </w:p>
        </w:tc>
        <w:tc>
          <w:tcPr/>
          <w:p>
            <w:pPr>
              <w:pStyle w:val="Compact"/>
              <w:jc w:val="right"/>
            </w:pPr>
            <w:r>
              <w:rPr>
                <w:bCs/>
                <w:b/>
              </w:rPr>
              <w:t xml:space="preserve">3</w:t>
            </w:r>
          </w:p>
        </w:tc>
      </w:tr>
      <w:tr>
        <w:tc>
          <w:tcPr/>
          <w:p>
            <w:pPr>
              <w:pStyle w:val="Compact"/>
              <w:jc w:val="left"/>
            </w:pPr>
            <w:r>
              <w:t xml:space="preserve">z udziałem P</w:t>
            </w:r>
            <w:r>
              <w:rPr>
                <w:vertAlign w:val="superscript"/>
              </w:rPr>
              <w:t xml:space="preserve">81</w:t>
            </w:r>
          </w:p>
        </w:tc>
        <w:tc>
          <w:tcPr/>
          <w:p>
            <w:pPr>
              <w:pStyle w:val="Compact"/>
              <w:jc w:val="center"/>
            </w:pPr>
            <w:r>
              <w:t xml:space="preserve">—</w:t>
            </w:r>
          </w:p>
        </w:tc>
        <w:tc>
          <w:tcPr/>
          <w:p>
            <w:pPr>
              <w:pStyle w:val="Compact"/>
              <w:jc w:val="right"/>
            </w:pPr>
            <w:r>
              <w:rPr>
                <w:bCs/>
                <w:b/>
              </w:rPr>
              <w:t xml:space="preserve">4</w:t>
            </w:r>
          </w:p>
        </w:tc>
      </w:tr>
      <w:tr>
        <w:tc>
          <w:tcPr/>
          <w:p>
            <w:pPr>
              <w:pStyle w:val="Compact"/>
              <w:jc w:val="left"/>
            </w:pPr>
            <w:r>
              <w:t xml:space="preserve">z udziałem P</w:t>
            </w:r>
            <w:r>
              <w:rPr>
                <w:vertAlign w:val="superscript"/>
              </w:rPr>
              <w:t xml:space="preserve">100</w:t>
            </w:r>
          </w:p>
        </w:tc>
        <w:tc>
          <w:tcPr/>
          <w:p>
            <w:pPr>
              <w:pStyle w:val="Compact"/>
              <w:jc w:val="center"/>
            </w:pPr>
            <w:r>
              <w:t xml:space="preserve">—</w:t>
            </w:r>
          </w:p>
        </w:tc>
        <w:tc>
          <w:tcPr/>
          <w:p>
            <w:pPr>
              <w:pStyle w:val="Compact"/>
              <w:jc w:val="right"/>
            </w:pPr>
            <w:r>
              <w:rPr>
                <w:bCs/>
                <w:b/>
              </w:rPr>
              <w:t xml:space="preserve">12</w:t>
            </w:r>
          </w:p>
        </w:tc>
      </w:tr>
      <w:tr>
        <w:tc>
          <w:tcPr/>
          <w:p>
            <w:pPr>
              <w:pStyle w:val="Compact"/>
              <w:jc w:val="left"/>
            </w:pPr>
            <w:r>
              <w:t xml:space="preserve">z udziałem ℵ</w:t>
            </w:r>
          </w:p>
        </w:tc>
        <w:tc>
          <w:tcPr/>
          <w:p>
            <w:pPr>
              <w:pStyle w:val="Compact"/>
              <w:jc w:val="center"/>
            </w:pPr>
            <w:r>
              <w:t xml:space="preserve">—</w:t>
            </w:r>
          </w:p>
        </w:tc>
        <w:tc>
          <w:tcPr/>
          <w:p>
            <w:pPr>
              <w:pStyle w:val="Compact"/>
              <w:jc w:val="right"/>
            </w:pPr>
            <w:r>
              <w:rPr>
                <w:bCs/>
                <w:b/>
              </w:rPr>
              <w:t xml:space="preserve">356</w:t>
            </w:r>
          </w:p>
        </w:tc>
      </w:tr>
      <w:tr>
        <w:tc>
          <w:tcPr/>
          <w:p>
            <w:pPr>
              <w:pStyle w:val="Compact"/>
              <w:jc w:val="left"/>
            </w:pPr>
            <w:r>
              <w:t xml:space="preserve">z udziałem A</w:t>
            </w:r>
          </w:p>
        </w:tc>
        <w:tc>
          <w:tcPr/>
          <w:p>
            <w:pPr>
              <w:pStyle w:val="Compact"/>
              <w:jc w:val="center"/>
            </w:pPr>
            <w:r>
              <w:t xml:space="preserve">—</w:t>
            </w:r>
          </w:p>
        </w:tc>
        <w:tc>
          <w:tcPr/>
          <w:p>
            <w:pPr>
              <w:pStyle w:val="Compact"/>
              <w:jc w:val="right"/>
            </w:pPr>
            <w:r>
              <w:rPr>
                <w:bCs/>
                <w:b/>
              </w:rPr>
              <w:t xml:space="preserve">356</w:t>
            </w:r>
            <w:r>
              <w:rPr>
                <w:rStyle w:val="FootnoteReference"/>
              </w:rPr>
              <w:footnoteReference w:id="238"/>
            </w:r>
          </w:p>
        </w:tc>
      </w:tr>
      <w:tr>
        <w:tc>
          <w:tcPr/>
          <w:p>
            <w:pPr>
              <w:pStyle w:val="Compact"/>
              <w:jc w:val="left"/>
            </w:pPr>
            <w:r>
              <w:t xml:space="preserve">z udziałem B</w:t>
            </w:r>
          </w:p>
        </w:tc>
        <w:tc>
          <w:tcPr/>
          <w:p>
            <w:pPr>
              <w:pStyle w:val="Compact"/>
              <w:jc w:val="center"/>
            </w:pPr>
            <w:r>
              <w:t xml:space="preserve">—</w:t>
            </w:r>
          </w:p>
        </w:tc>
        <w:tc>
          <w:tcPr/>
          <w:p>
            <w:pPr>
              <w:pStyle w:val="Compact"/>
              <w:jc w:val="right"/>
            </w:pPr>
            <w:r>
              <w:rPr>
                <w:bCs/>
                <w:b/>
              </w:rPr>
              <w:t xml:space="preserve">378</w:t>
            </w:r>
          </w:p>
        </w:tc>
      </w:tr>
      <w:tr>
        <w:tc>
          <w:tcPr/>
          <w:p>
            <w:pPr>
              <w:pStyle w:val="Compact"/>
              <w:jc w:val="left"/>
            </w:pPr>
            <w:r>
              <w:t xml:space="preserve">z udziałem C</w:t>
            </w:r>
          </w:p>
        </w:tc>
        <w:tc>
          <w:tcPr/>
          <w:p>
            <w:pPr>
              <w:pStyle w:val="Compact"/>
              <w:jc w:val="center"/>
            </w:pPr>
            <w:r>
              <w:t xml:space="preserve">—</w:t>
            </w:r>
          </w:p>
        </w:tc>
        <w:tc>
          <w:tcPr/>
          <w:p>
            <w:pPr>
              <w:pStyle w:val="Compact"/>
              <w:jc w:val="right"/>
            </w:pPr>
            <w:r>
              <w:rPr>
                <w:bCs/>
                <w:b/>
              </w:rPr>
              <w:t xml:space="preserve">285</w:t>
            </w:r>
          </w:p>
        </w:tc>
      </w:tr>
      <w:tr>
        <w:tc>
          <w:tcPr/>
          <w:p>
            <w:pPr>
              <w:pStyle w:val="Compact"/>
              <w:jc w:val="left"/>
            </w:pPr>
            <w:r>
              <w:t xml:space="preserve">z udziałem 048</w:t>
            </w:r>
          </w:p>
        </w:tc>
        <w:tc>
          <w:tcPr/>
          <w:p>
            <w:pPr>
              <w:pStyle w:val="Compact"/>
              <w:jc w:val="center"/>
            </w:pPr>
            <w:r>
              <w:t xml:space="preserve">—</w:t>
            </w:r>
          </w:p>
        </w:tc>
        <w:tc>
          <w:tcPr/>
          <w:p>
            <w:pPr>
              <w:pStyle w:val="Compact"/>
              <w:jc w:val="right"/>
            </w:pPr>
            <w:r>
              <w:rPr>
                <w:bCs/>
                <w:b/>
              </w:rPr>
              <w:t xml:space="preserve">62</w:t>
            </w:r>
          </w:p>
        </w:tc>
      </w:tr>
      <w:tr>
        <w:tc>
          <w:tcPr/>
          <w:p>
            <w:pPr>
              <w:pStyle w:val="Compact"/>
              <w:jc w:val="left"/>
            </w:pPr>
            <w:r>
              <w:t xml:space="preserve">z udziałem 0232</w:t>
            </w:r>
          </w:p>
        </w:tc>
        <w:tc>
          <w:tcPr/>
          <w:p>
            <w:pPr>
              <w:pStyle w:val="Compact"/>
              <w:jc w:val="center"/>
            </w:pPr>
            <w:r>
              <w:t xml:space="preserve">—</w:t>
            </w:r>
          </w:p>
        </w:tc>
        <w:tc>
          <w:tcPr/>
          <w:p>
            <w:pPr>
              <w:pStyle w:val="Compact"/>
              <w:jc w:val="right"/>
            </w:pPr>
            <w:r>
              <w:rPr>
                <w:bCs/>
                <w:b/>
              </w:rPr>
              <w:t xml:space="preserve">4</w:t>
            </w:r>
          </w:p>
        </w:tc>
      </w:tr>
    </w:tbl>
    <w:p>
      <w:pPr>
        <w:pStyle w:val="BodyText"/>
      </w:pPr>
      <w:r>
        <w:t xml:space="preserve">Każdy z tych dwunastu uncjałów jest wyraźnie niezależny od wszystkich pozostałych.</w:t>
      </w:r>
      <w:r>
        <w:rPr>
          <w:rStyle w:val="FootnoteReference"/>
        </w:rPr>
        <w:footnoteReference w:id="239"/>
      </w:r>
      <w:r>
        <w:t xml:space="preserve"> </w:t>
      </w:r>
      <w:r>
        <w:t xml:space="preserve">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ody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ody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ody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bookmarkEnd w:id="240"/>
    <w:bookmarkStart w:id="243" w:name="X2a827fc589c949488f2b24c5688bbe169993ad9"/>
    <w:p>
      <w:pPr>
        <w:pStyle w:val="Heading2"/>
      </w:pPr>
      <w:r>
        <w:t xml:space="preserve">Profil Rodziny 35 w Dziejach Apostolskich: starożytny i niezależny</w:t>
      </w:r>
    </w:p>
    <w:p>
      <w:pPr>
        <w:pStyle w:val="FirstParagraph"/>
      </w:pPr>
      <w:r>
        <w:t xml:space="preserve">Do mojego opublikowanego profilu Dziejów Apostolskich dodałem świadków z pierwszych pięciu wieków, tak jak odnotowano ich w aparacie krytycznym mojego greckiego Tekstu. To znaczy, że pokazuję tylko tych, którzy zgadzają się z Rodziną 35, tam gdzie ma to miejsce. Sprawdziłem jednak również dowody przedstawione w</w:t>
      </w:r>
      <w:r>
        <w:t xml:space="preserve"> </w:t>
      </w:r>
      <w:r>
        <w:rPr>
          <w:iCs/>
          <w:i/>
        </w:rPr>
        <w:t xml:space="preserve">Editio Critica Maior</w:t>
      </w:r>
      <w:r>
        <w:t xml:space="preserve"> </w:t>
      </w:r>
      <w:r>
        <w:t xml:space="preserve">dla Dziejów Apostolskich, co skłoniło mnie do wprowadzenia zmian w około 60% poniższej listy zestawów wariantów. Będę więc musiał zrewidować swój opublikowany profil. Nie skolacjonowałem żadnego z tych wczesnych świadków, po prostu przepisałem informacje z innych źródeł. Ewentualny sporadyczny błąd nie zmieni siły mojego argumentu.</w:t>
      </w:r>
    </w:p>
    <w:bookmarkStart w:id="242" w:name="dzieje-apostolskie"/>
    <w:p>
      <w:pPr>
        <w:pStyle w:val="Heading3"/>
      </w:pPr>
      <w:r>
        <w:t xml:space="preserve">Dzieje Apostolskie</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 C, D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w:t>
            </w:r>
            <w:r>
              <w:t xml:space="preserve"> </w:t>
            </w:r>
            <w:r>
              <w:rPr>
                <w:bCs/>
                <w:b/>
              </w:rPr>
              <w:t xml:space="preserve">f</w:t>
            </w:r>
            <w:r>
              <w:rPr>
                <w:vertAlign w:val="superscript"/>
                <w:bCs/>
                <w:b/>
              </w:rPr>
              <w:t xml:space="preserve">35</w:t>
            </w:r>
            <w:r>
              <w:t xml:space="preserve"> </w:t>
            </w:r>
            <w:r>
              <w:t xml:space="preserve">[20%]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w:t>
            </w:r>
            <w:r>
              <w:t xml:space="preserve"> </w:t>
            </w:r>
            <w:r>
              <w:rPr>
                <w:bCs/>
                <w:b/>
              </w:rPr>
              <w:t xml:space="preserve">f</w:t>
            </w:r>
            <w:r>
              <w:rPr>
                <w:vertAlign w:val="superscript"/>
                <w:bCs/>
                <w:b/>
              </w:rPr>
              <w:t xml:space="preserve">35</w:t>
            </w:r>
            <w:r>
              <w:t xml:space="preserve"> </w:t>
            </w:r>
            <w:r>
              <w:t xml:space="preserve">[25%]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w:t>
            </w:r>
            <w:r>
              <w:t xml:space="preserve"> </w:t>
            </w:r>
            <w:r>
              <w:rPr>
                <w:bCs/>
                <w:b/>
              </w:rPr>
              <w:t xml:space="preserve">f</w:t>
            </w:r>
            <w:r>
              <w:rPr>
                <w:vertAlign w:val="superscript"/>
                <w:bCs/>
                <w:b/>
              </w:rPr>
              <w:t xml:space="preserve">35</w:t>
            </w:r>
            <w:r>
              <w:t xml:space="preserve"> </w:t>
            </w:r>
            <w:r>
              <w:t xml:space="preserve">[25%]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w:t>
            </w:r>
            <w:r>
              <w:t xml:space="preserve"> </w:t>
            </w:r>
            <w:r>
              <w:rPr>
                <w:bCs/>
                <w:b/>
              </w:rPr>
              <w:t xml:space="preserve">f</w:t>
            </w:r>
            <w:r>
              <w:rPr>
                <w:vertAlign w:val="superscript"/>
                <w:bCs/>
                <w:b/>
              </w:rPr>
              <w:t xml:space="preserve">35</w:t>
            </w:r>
            <w:r>
              <w:t xml:space="preserve"> </w:t>
            </w:r>
            <w:r>
              <w:t xml:space="preserve">ℵ, A, B, C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w:t>
            </w:r>
            <w:r>
              <w:t xml:space="preserve"> </w:t>
            </w:r>
            <w:r>
              <w:rPr>
                <w:bCs/>
                <w:b/>
              </w:rPr>
              <w:t xml:space="preserve">f</w:t>
            </w:r>
            <w:r>
              <w:rPr>
                <w:vertAlign w:val="superscript"/>
                <w:bCs/>
                <w:b/>
              </w:rPr>
              <w:t xml:space="preserve">35</w:t>
            </w:r>
            <w:r>
              <w:t xml:space="preserve"> </w:t>
            </w:r>
            <w:r>
              <w:t xml:space="preserve">[20%]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w:t>
            </w:r>
            <w:r>
              <w:t xml:space="preserve"> </w:t>
            </w:r>
            <w:r>
              <w:rPr>
                <w:bCs/>
                <w:b/>
              </w:rPr>
              <w:t xml:space="preserve">f</w:t>
            </w:r>
            <w:r>
              <w:rPr>
                <w:vertAlign w:val="superscript"/>
                <w:bCs/>
                <w:b/>
              </w:rPr>
              <w:t xml:space="preserve">35</w:t>
            </w:r>
            <w:r>
              <w:t xml:space="preserve"> </w:t>
            </w:r>
            <w:r>
              <w:t xml:space="preserve">[20%]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B,D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w:t>
            </w:r>
            <w:r>
              <w:t xml:space="preserve"> </w:t>
            </w:r>
            <w:r>
              <w:rPr>
                <w:bCs/>
                <w:b/>
              </w:rPr>
              <w:t xml:space="preserve">f</w:t>
            </w:r>
            <w:r>
              <w:rPr>
                <w:vertAlign w:val="superscript"/>
                <w:bCs/>
                <w:b/>
              </w:rPr>
              <w:t xml:space="preserve">35</w:t>
            </w:r>
            <w:r>
              <w:t xml:space="preserve"> </w:t>
            </w:r>
            <w:r>
              <w:t xml:space="preserve">[25%]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A, B, D(0165)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w:t>
            </w:r>
            <w:r>
              <w:t xml:space="preserve"> </w:t>
            </w:r>
            <w:r>
              <w:rPr>
                <w:bCs/>
                <w:b/>
              </w:rPr>
              <w:t xml:space="preserve">f</w:t>
            </w:r>
            <w:r>
              <w:rPr>
                <w:vertAlign w:val="superscript"/>
                <w:bCs/>
                <w:b/>
              </w:rPr>
              <w:t xml:space="preserve">35</w:t>
            </w:r>
            <w:r>
              <w:t xml:space="preserve"> </w:t>
            </w:r>
            <w:r>
              <w:t xml:space="preserve">ℵ, A, B, 0165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w:t>
            </w:r>
            <w:r>
              <w:t xml:space="preserve"> </w:t>
            </w:r>
            <w:r>
              <w:rPr>
                <w:bCs/>
                <w:b/>
              </w:rPr>
              <w:t xml:space="preserve">f</w:t>
            </w:r>
            <w:r>
              <w:rPr>
                <w:vertAlign w:val="superscript"/>
                <w:bCs/>
                <w:b/>
              </w:rPr>
              <w:t xml:space="preserve">35</w:t>
            </w:r>
            <w:r>
              <w:t xml:space="preserve"> </w:t>
            </w:r>
            <w:r>
              <w:t xml:space="preserve">A,0165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w:t>
            </w:r>
            <w:r>
              <w:t xml:space="preserve"> </w:t>
            </w:r>
            <w:r>
              <w:rPr>
                <w:bCs/>
                <w:b/>
              </w:rPr>
              <w:t xml:space="preserve">f</w:t>
            </w:r>
            <w:r>
              <w:rPr>
                <w:vertAlign w:val="superscript"/>
                <w:bCs/>
                <w:b/>
              </w:rPr>
              <w:t xml:space="preserve">35</w:t>
            </w:r>
            <w:r>
              <w:t xml:space="preserve"> </w:t>
            </w:r>
            <w:r>
              <w:t xml:space="preserve">[20%]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w:t>
            </w:r>
            <w:r>
              <w:t xml:space="preserve"> </w:t>
            </w:r>
            <w:r>
              <w:rPr>
                <w:bCs/>
                <w:b/>
              </w:rPr>
              <w:t xml:space="preserve">f</w:t>
            </w:r>
            <w:r>
              <w:rPr>
                <w:vertAlign w:val="superscript"/>
                <w:bCs/>
                <w:b/>
              </w:rPr>
              <w:t xml:space="preserve">35</w:t>
            </w:r>
            <w:r>
              <w:t xml:space="preserve"> </w:t>
            </w:r>
            <w:r>
              <w:t xml:space="preserve">[20%]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w:t>
            </w:r>
            <w:r>
              <w:t xml:space="preserve"> </w:t>
            </w:r>
            <w:r>
              <w:rPr>
                <w:bCs/>
                <w:b/>
              </w:rPr>
              <w:t xml:space="preserve">f</w:t>
            </w:r>
            <w:r>
              <w:rPr>
                <w:vertAlign w:val="superscript"/>
                <w:bCs/>
                <w:b/>
              </w:rPr>
              <w:t xml:space="preserve">35</w:t>
            </w:r>
            <w:r>
              <w:t xml:space="preserve"> </w:t>
            </w:r>
            <w:r>
              <w:t xml:space="preserve">(ℵ)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w:t>
            </w:r>
            <w:r>
              <w:t xml:space="preserve"> </w:t>
            </w:r>
            <w:r>
              <w:rPr>
                <w:bCs/>
                <w:b/>
              </w:rPr>
              <w:t xml:space="preserve">f</w:t>
            </w:r>
            <w:r>
              <w:rPr>
                <w:vertAlign w:val="superscript"/>
                <w:bCs/>
                <w:b/>
              </w:rPr>
              <w:t xml:space="preserve">35</w:t>
            </w:r>
            <w:r>
              <w:t xml:space="preserve"> </w:t>
            </w:r>
            <w:r>
              <w:t xml:space="preserve">P</w:t>
            </w:r>
            <w:r>
              <w:rPr>
                <w:vertAlign w:val="superscript"/>
              </w:rPr>
              <w:t xml:space="preserve">8</w:t>
            </w:r>
            <w:r>
              <w:t xml:space="preserve">(ℵ)A,B,D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w:t>
            </w:r>
            <w:r>
              <w:t xml:space="preserve"> </w:t>
            </w:r>
            <w:r>
              <w:rPr>
                <w:bCs/>
                <w:b/>
              </w:rPr>
              <w:t xml:space="preserve">f</w:t>
            </w:r>
            <w:r>
              <w:rPr>
                <w:vertAlign w:val="superscript"/>
                <w:bCs/>
                <w:b/>
              </w:rPr>
              <w:t xml:space="preserve">35</w:t>
            </w:r>
            <w:r>
              <w:t xml:space="preserve"> </w:t>
            </w:r>
            <w:r>
              <w:t xml:space="preserve">A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w:t>
            </w:r>
            <w:r>
              <w:t xml:space="preserve"> </w:t>
            </w:r>
            <w:r>
              <w:rPr>
                <w:bCs/>
                <w:b/>
              </w:rPr>
              <w:t xml:space="preserve">f</w:t>
            </w:r>
            <w:r>
              <w:rPr>
                <w:vertAlign w:val="superscript"/>
                <w:bCs/>
                <w:b/>
              </w:rPr>
              <w:t xml:space="preserve">35</w:t>
            </w:r>
            <w:r>
              <w:t xml:space="preserve"> </w:t>
            </w:r>
            <w:r>
              <w:t xml:space="preserve">ℵ, A(B)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w:t>
            </w:r>
            <w:r>
              <w:t xml:space="preserve"> </w:t>
            </w:r>
            <w:r>
              <w:rPr>
                <w:bCs/>
                <w:b/>
              </w:rPr>
              <w:t xml:space="preserve">f</w:t>
            </w:r>
            <w:r>
              <w:rPr>
                <w:vertAlign w:val="superscript"/>
                <w:bCs/>
                <w:b/>
              </w:rPr>
              <w:t xml:space="preserve">35</w:t>
            </w:r>
            <w:r>
              <w:t xml:space="preserve"> </w:t>
            </w:r>
            <w:r>
              <w:t xml:space="preserve">B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D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w:t>
            </w:r>
            <w:r>
              <w:t xml:space="preserve"> </w:t>
            </w:r>
            <w:r>
              <w:rPr>
                <w:bCs/>
                <w:b/>
              </w:rPr>
              <w:t xml:space="preserve">f</w:t>
            </w:r>
            <w:r>
              <w:rPr>
                <w:vertAlign w:val="superscript"/>
                <w:bCs/>
                <w:b/>
              </w:rPr>
              <w:t xml:space="preserve">35</w:t>
            </w:r>
            <w:r>
              <w:t xml:space="preserve"> </w:t>
            </w:r>
            <w:r>
              <w:t xml:space="preserve">ℵ, A, B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A, B, C, D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w:t>
            </w:r>
            <w:r>
              <w:t xml:space="preserve"> </w:t>
            </w:r>
            <w:r>
              <w:rPr>
                <w:bCs/>
                <w:b/>
              </w:rPr>
              <w:t xml:space="preserve">f</w:t>
            </w:r>
            <w:r>
              <w:rPr>
                <w:vertAlign w:val="superscript"/>
                <w:bCs/>
                <w:b/>
              </w:rPr>
              <w:t xml:space="preserve">35</w:t>
            </w:r>
            <w:r>
              <w:t xml:space="preserve"> </w:t>
            </w:r>
            <w:r>
              <w:t xml:space="preserve">B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w:t>
            </w:r>
            <w:r>
              <w:t xml:space="preserve"> </w:t>
            </w:r>
            <w:r>
              <w:rPr>
                <w:bCs/>
                <w:b/>
              </w:rPr>
              <w:t xml:space="preserve">f</w:t>
            </w:r>
            <w:r>
              <w:rPr>
                <w:vertAlign w:val="superscript"/>
                <w:bCs/>
                <w:b/>
              </w:rPr>
              <w:t xml:space="preserve">35</w:t>
            </w:r>
            <w:r>
              <w:t xml:space="preserve"> </w:t>
            </w:r>
            <w:r>
              <w:t xml:space="preserve">[18%]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w:t>
            </w:r>
            <w:r>
              <w:t xml:space="preserve"> </w:t>
            </w:r>
            <w:r>
              <w:rPr>
                <w:bCs/>
                <w:b/>
              </w:rPr>
              <w:t xml:space="preserve">f</w:t>
            </w:r>
            <w:r>
              <w:rPr>
                <w:vertAlign w:val="superscript"/>
                <w:bCs/>
                <w:b/>
              </w:rPr>
              <w:t xml:space="preserve">35</w:t>
            </w:r>
            <w:r>
              <w:t xml:space="preserve"> </w:t>
            </w:r>
            <w:r>
              <w:t xml:space="preserve">ℵ, A, B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w:t>
            </w:r>
            <w:r>
              <w:t xml:space="preserve"> </w:t>
            </w:r>
            <w:r>
              <w:rPr>
                <w:bCs/>
                <w:b/>
              </w:rPr>
              <w:t xml:space="preserve">f</w:t>
            </w:r>
            <w:r>
              <w:rPr>
                <w:vertAlign w:val="superscript"/>
                <w:bCs/>
                <w:b/>
              </w:rPr>
              <w:t xml:space="preserve">35</w:t>
            </w:r>
            <w:r>
              <w:t xml:space="preserve"> </w:t>
            </w:r>
            <w:r>
              <w:t xml:space="preserve">B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w:t>
            </w:r>
            <w:r>
              <w:t xml:space="preserve"> </w:t>
            </w:r>
            <w:r>
              <w:rPr>
                <w:bCs/>
                <w:b/>
              </w:rPr>
              <w:t xml:space="preserve">f</w:t>
            </w:r>
            <w:r>
              <w:rPr>
                <w:vertAlign w:val="superscript"/>
                <w:bCs/>
                <w:b/>
              </w:rPr>
              <w:t xml:space="preserve">35</w:t>
            </w:r>
            <w:r>
              <w:t xml:space="preserve"> </w:t>
            </w:r>
            <w:r>
              <w:t xml:space="preserve">ℵ, A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w:t>
            </w:r>
            <w:r>
              <w:t xml:space="preserve"> </w:t>
            </w:r>
            <w:r>
              <w:rPr>
                <w:bCs/>
                <w:b/>
              </w:rPr>
              <w:t xml:space="preserve">f</w:t>
            </w:r>
            <w:r>
              <w:rPr>
                <w:vertAlign w:val="superscript"/>
                <w:bCs/>
                <w:b/>
              </w:rPr>
              <w:t xml:space="preserve">35</w:t>
            </w:r>
            <w:r>
              <w:t xml:space="preserve"> </w:t>
            </w:r>
            <w:r>
              <w:t xml:space="preserve">ℵ, A, B, C, D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D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w:t>
            </w:r>
            <w:r>
              <w:t xml:space="preserve"> </w:t>
            </w:r>
            <w:r>
              <w:rPr>
                <w:bCs/>
                <w:b/>
              </w:rPr>
              <w:t xml:space="preserve">f</w:t>
            </w:r>
            <w:r>
              <w:rPr>
                <w:vertAlign w:val="superscript"/>
                <w:bCs/>
                <w:b/>
              </w:rPr>
              <w:t xml:space="preserve">35</w:t>
            </w:r>
            <w:r>
              <w:t xml:space="preserve"> </w:t>
            </w:r>
            <w:r>
              <w:t xml:space="preserve">[30%]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w:t>
            </w:r>
            <w:r>
              <w:t xml:space="preserve"> </w:t>
            </w:r>
            <w:r>
              <w:rPr>
                <w:bCs/>
                <w:b/>
              </w:rPr>
              <w:t xml:space="preserve">f</w:t>
            </w:r>
            <w:r>
              <w:rPr>
                <w:vertAlign w:val="superscript"/>
                <w:bCs/>
                <w:b/>
              </w:rPr>
              <w:t xml:space="preserve">35</w:t>
            </w:r>
            <w:r>
              <w:t xml:space="preserve"> </w:t>
            </w:r>
            <w:r>
              <w:t xml:space="preserve">ℵ, A, B, C, D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w:t>
            </w:r>
            <w:r>
              <w:t xml:space="preserve"> </w:t>
            </w:r>
            <w:r>
              <w:rPr>
                <w:bCs/>
                <w:b/>
              </w:rPr>
              <w:t xml:space="preserve">f</w:t>
            </w:r>
            <w:r>
              <w:rPr>
                <w:vertAlign w:val="superscript"/>
                <w:bCs/>
                <w:b/>
              </w:rPr>
              <w:t xml:space="preserve">35</w:t>
            </w:r>
            <w:r>
              <w:t xml:space="preserve"> </w:t>
            </w:r>
            <w:r>
              <w:t xml:space="preserve">[22%]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w:t>
            </w:r>
            <w:r>
              <w:t xml:space="preserve"> </w:t>
            </w:r>
            <w:r>
              <w:rPr>
                <w:bCs/>
                <w:b/>
              </w:rPr>
              <w:t xml:space="preserve">f</w:t>
            </w:r>
            <w:r>
              <w:rPr>
                <w:vertAlign w:val="superscript"/>
                <w:bCs/>
                <w:b/>
              </w:rPr>
              <w:t xml:space="preserve">35</w:t>
            </w:r>
            <w:r>
              <w:t xml:space="preserve"> </w:t>
            </w:r>
            <w:r>
              <w:t xml:space="preserve">[18%]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A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w:t>
            </w:r>
            <w:r>
              <w:t xml:space="preserve"> </w:t>
            </w:r>
            <w:r>
              <w:rPr>
                <w:bCs/>
                <w:b/>
              </w:rPr>
              <w:t xml:space="preserve">f</w:t>
            </w:r>
            <w:r>
              <w:rPr>
                <w:vertAlign w:val="superscript"/>
                <w:bCs/>
                <w:b/>
              </w:rPr>
              <w:t xml:space="preserve">35</w:t>
            </w:r>
            <w:r>
              <w:t xml:space="preserve"> </w:t>
            </w:r>
            <w:r>
              <w:t xml:space="preserve">A, B, C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w:t>
            </w:r>
            <w:r>
              <w:t xml:space="preserve"> </w:t>
            </w:r>
            <w:r>
              <w:rPr>
                <w:bCs/>
                <w:b/>
              </w:rPr>
              <w:t xml:space="preserve">f</w:t>
            </w:r>
            <w:r>
              <w:rPr>
                <w:vertAlign w:val="superscript"/>
                <w:bCs/>
                <w:b/>
              </w:rPr>
              <w:t xml:space="preserve">35</w:t>
            </w:r>
            <w:r>
              <w:t xml:space="preserve"> </w:t>
            </w:r>
            <w:r>
              <w:t xml:space="preserve">A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w:t>
            </w:r>
            <w:r>
              <w:t xml:space="preserve"> </w:t>
            </w:r>
            <w:r>
              <w:rPr>
                <w:bCs/>
                <w:b/>
              </w:rPr>
              <w:t xml:space="preserve">f</w:t>
            </w:r>
            <w:r>
              <w:rPr>
                <w:vertAlign w:val="superscript"/>
                <w:bCs/>
                <w:b/>
              </w:rPr>
              <w:t xml:space="preserve">35</w:t>
            </w:r>
            <w:r>
              <w:t xml:space="preserve"> </w:t>
            </w:r>
            <w:r>
              <w:t xml:space="preserve">(A)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w:t>
            </w:r>
            <w:r>
              <w:t xml:space="preserve"> </w:t>
            </w:r>
            <w:r>
              <w:rPr>
                <w:bCs/>
                <w:b/>
              </w:rPr>
              <w:t xml:space="preserve">f</w:t>
            </w:r>
            <w:r>
              <w:rPr>
                <w:vertAlign w:val="superscript"/>
                <w:bCs/>
                <w:b/>
              </w:rPr>
              <w:t xml:space="preserve">35</w:t>
            </w:r>
            <w:r>
              <w:t xml:space="preserve"> </w:t>
            </w:r>
            <w:r>
              <w:t xml:space="preserve">C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w:t>
            </w:r>
            <w:r>
              <w:t xml:space="preserve"> </w:t>
            </w:r>
            <w:r>
              <w:rPr>
                <w:bCs/>
                <w:b/>
              </w:rPr>
              <w:t xml:space="preserve">f</w:t>
            </w:r>
            <w:r>
              <w:rPr>
                <w:vertAlign w:val="superscript"/>
                <w:bCs/>
                <w:b/>
              </w:rPr>
              <w:t xml:space="preserve">35</w:t>
            </w:r>
            <w:r>
              <w:t xml:space="preserve"> </w:t>
            </w:r>
            <w:r>
              <w:t xml:space="preserve">ℵ, A, B, C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w:t>
            </w:r>
            <w:r>
              <w:t xml:space="preserve"> </w:t>
            </w:r>
            <w:r>
              <w:rPr>
                <w:bCs/>
                <w:b/>
              </w:rPr>
              <w:t xml:space="preserve">f</w:t>
            </w:r>
            <w:r>
              <w:rPr>
                <w:vertAlign w:val="superscript"/>
                <w:bCs/>
                <w:b/>
              </w:rPr>
              <w:t xml:space="preserve">35</w:t>
            </w:r>
            <w:r>
              <w:t xml:space="preserve"> </w:t>
            </w:r>
            <w:r>
              <w:t xml:space="preserve">ℵ, A, B, C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C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w:t>
            </w:r>
            <w:r>
              <w:t xml:space="preserve"> </w:t>
            </w:r>
            <w:r>
              <w:rPr>
                <w:bCs/>
                <w:b/>
              </w:rPr>
              <w:t xml:space="preserve">f</w:t>
            </w:r>
            <w:r>
              <w:rPr>
                <w:vertAlign w:val="superscript"/>
                <w:bCs/>
                <w:b/>
              </w:rPr>
              <w:t xml:space="preserve">35</w:t>
            </w:r>
            <w:r>
              <w:t xml:space="preserve"> </w:t>
            </w:r>
            <w:r>
              <w:t xml:space="preserve">ℵ, A, B, C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(C)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w:t>
            </w:r>
            <w:r>
              <w:t xml:space="preserve"> </w:t>
            </w:r>
            <w:r>
              <w:rPr>
                <w:bCs/>
                <w:b/>
              </w:rPr>
              <w:t xml:space="preserve">f</w:t>
            </w:r>
            <w:r>
              <w:rPr>
                <w:vertAlign w:val="superscript"/>
                <w:bCs/>
                <w:b/>
              </w:rPr>
              <w:t xml:space="preserve">35</w:t>
            </w:r>
            <w:r>
              <w:t xml:space="preserve"> </w:t>
            </w:r>
            <w:r>
              <w:t xml:space="preserve">ℵ(A)B(C)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w:t>
            </w:r>
            <w:r>
              <w:t xml:space="preserve"> </w:t>
            </w:r>
            <w:r>
              <w:rPr>
                <w:bCs/>
                <w:b/>
              </w:rPr>
              <w:t xml:space="preserve">f</w:t>
            </w:r>
            <w:r>
              <w:rPr>
                <w:vertAlign w:val="superscript"/>
                <w:bCs/>
                <w:b/>
              </w:rPr>
              <w:t xml:space="preserve">35</w:t>
            </w:r>
            <w:r>
              <w:t xml:space="preserve"> </w:t>
            </w:r>
            <w:r>
              <w:t xml:space="preserve">A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P</w:t>
            </w:r>
            <w:r>
              <w:rPr>
                <w:vertAlign w:val="superscript"/>
              </w:rPr>
              <w:t xml:space="preserve">53</w:t>
            </w:r>
            <w:r>
              <w:t xml:space="preserve">A,C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w:t>
            </w:r>
            <w:r>
              <w:t xml:space="preserve"> </w:t>
            </w:r>
            <w:r>
              <w:rPr>
                <w:bCs/>
                <w:b/>
              </w:rPr>
              <w:t xml:space="preserve">f</w:t>
            </w:r>
            <w:r>
              <w:rPr>
                <w:vertAlign w:val="superscript"/>
                <w:bCs/>
                <w:b/>
              </w:rPr>
              <w:t xml:space="preserve">35</w:t>
            </w:r>
            <w:r>
              <w:t xml:space="preserve"> </w:t>
            </w:r>
            <w:r>
              <w:t xml:space="preserve">A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w:t>
            </w:r>
            <w:r>
              <w:t xml:space="preserve"> </w:t>
            </w:r>
            <w:r>
              <w:rPr>
                <w:bCs/>
                <w:b/>
              </w:rPr>
              <w:t xml:space="preserve">f</w:t>
            </w:r>
            <w:r>
              <w:rPr>
                <w:vertAlign w:val="superscript"/>
                <w:bCs/>
                <w:b/>
              </w:rPr>
              <w:t xml:space="preserve">35</w:t>
            </w:r>
            <w:r>
              <w:t xml:space="preserve"> </w:t>
            </w:r>
            <w:r>
              <w:t xml:space="preserve">ℵ(A)B, C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ℵ,B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w:t>
            </w:r>
            <w:r>
              <w:t xml:space="preserve"> </w:t>
            </w:r>
            <w:r>
              <w:rPr>
                <w:bCs/>
                <w:b/>
              </w:rPr>
              <w:t xml:space="preserve">f</w:t>
            </w:r>
            <w:r>
              <w:rPr>
                <w:vertAlign w:val="superscript"/>
                <w:bCs/>
                <w:b/>
              </w:rPr>
              <w:t xml:space="preserve">35</w:t>
            </w:r>
            <w:r>
              <w:t xml:space="preserve"> </w:t>
            </w:r>
            <w:r>
              <w:t xml:space="preserve">[18%]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w:t>
            </w:r>
            <w:r>
              <w:t xml:space="preserve"> </w:t>
            </w:r>
            <w:r>
              <w:rPr>
                <w:bCs/>
                <w:b/>
              </w:rPr>
              <w:t xml:space="preserve">f</w:t>
            </w:r>
            <w:r>
              <w:rPr>
                <w:vertAlign w:val="superscript"/>
                <w:bCs/>
                <w:b/>
              </w:rPr>
              <w:t xml:space="preserve">35</w:t>
            </w:r>
            <w:r>
              <w:t xml:space="preserve"> </w:t>
            </w:r>
            <w:r>
              <w:t xml:space="preserve">ℵ, A, B, C, D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ℵ, A, B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εισηλθες προς ανδρας ακροβυστιαν εχοντας και συνεφαγες</w:t>
            </w:r>
            <w:r>
              <w:t xml:space="preserve"> </w:t>
            </w:r>
            <w:r>
              <w:rPr>
                <w:bCs/>
                <w:b/>
              </w:rPr>
              <w:t xml:space="preserve">f</w:t>
            </w:r>
            <w:r>
              <w:rPr>
                <w:vertAlign w:val="superscript"/>
                <w:bCs/>
                <w:b/>
              </w:rPr>
              <w:t xml:space="preserve">35</w:t>
            </w:r>
            <w:r>
              <w:t xml:space="preserve"> </w:t>
            </w:r>
            <w:r>
              <w:t xml:space="preserve">ℵ, A, D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w:t>
            </w:r>
            <w:r>
              <w:t xml:space="preserve"> </w:t>
            </w:r>
            <w:r>
              <w:rPr>
                <w:bCs/>
                <w:b/>
              </w:rPr>
              <w:t xml:space="preserve">f</w:t>
            </w:r>
            <w:r>
              <w:rPr>
                <w:vertAlign w:val="superscript"/>
                <w:bCs/>
                <w:b/>
              </w:rPr>
              <w:t xml:space="preserve">35</w:t>
            </w:r>
            <w:r>
              <w:t xml:space="preserve"> </w:t>
            </w:r>
            <w:r>
              <w:t xml:space="preserve">B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w:t>
            </w:r>
            <w:r>
              <w:t xml:space="preserve"> </w:t>
            </w:r>
            <w:r>
              <w:rPr>
                <w:bCs/>
                <w:b/>
              </w:rPr>
              <w:t xml:space="preserve">f</w:t>
            </w:r>
            <w:r>
              <w:rPr>
                <w:vertAlign w:val="superscript"/>
                <w:bCs/>
                <w:b/>
              </w:rPr>
              <w:t xml:space="preserve">35</w:t>
            </w:r>
            <w:r>
              <w:t xml:space="preserve"> </w:t>
            </w:r>
            <w:r>
              <w:t xml:space="preserve">ℵ, A, B, D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ℵ, A, B, D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w:t>
            </w:r>
            <w:r>
              <w:t xml:space="preserve"> </w:t>
            </w:r>
            <w:r>
              <w:rPr>
                <w:bCs/>
                <w:b/>
              </w:rPr>
              <w:t xml:space="preserve">f</w:t>
            </w:r>
            <w:r>
              <w:rPr>
                <w:vertAlign w:val="superscript"/>
                <w:bCs/>
                <w:b/>
              </w:rPr>
              <w:t xml:space="preserve">35</w:t>
            </w:r>
            <w:r>
              <w:t xml:space="preserve"> </w:t>
            </w:r>
            <w:r>
              <w:t xml:space="preserve">ℵ, A, B, D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w:t>
            </w:r>
            <w:r>
              <w:t xml:space="preserve"> </w:t>
            </w:r>
            <w:r>
              <w:rPr>
                <w:bCs/>
                <w:b/>
              </w:rPr>
              <w:t xml:space="preserve">f</w:t>
            </w:r>
            <w:r>
              <w:rPr>
                <w:vertAlign w:val="superscript"/>
                <w:bCs/>
                <w:b/>
              </w:rPr>
              <w:t xml:space="preserve">35</w:t>
            </w:r>
            <w:r>
              <w:t xml:space="preserve"> </w:t>
            </w:r>
            <w:r>
              <w:t xml:space="preserve">ℵ, A, B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D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w:t>
            </w:r>
            <w:r>
              <w:t xml:space="preserve"> </w:t>
            </w:r>
            <w:r>
              <w:rPr>
                <w:bCs/>
                <w:b/>
              </w:rPr>
              <w:t xml:space="preserve">f</w:t>
            </w:r>
            <w:r>
              <w:rPr>
                <w:vertAlign w:val="superscript"/>
                <w:bCs/>
                <w:b/>
              </w:rPr>
              <w:t xml:space="preserve">35</w:t>
            </w:r>
            <w:r>
              <w:t xml:space="preserve"> </w:t>
            </w:r>
            <w:r>
              <w:t xml:space="preserve">D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w:t>
            </w:r>
            <w:r>
              <w:t xml:space="preserve"> </w:t>
            </w:r>
            <w:r>
              <w:rPr>
                <w:bCs/>
                <w:b/>
              </w:rPr>
              <w:t xml:space="preserve">f</w:t>
            </w:r>
            <w:r>
              <w:rPr>
                <w:vertAlign w:val="superscript"/>
                <w:bCs/>
                <w:b/>
              </w:rPr>
              <w:t xml:space="preserve">35</w:t>
            </w:r>
            <w:r>
              <w:t xml:space="preserve"> </w:t>
            </w:r>
            <w:r>
              <w:t xml:space="preserve">ℵ, A, B(D)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w:t>
            </w:r>
            <w:r>
              <w:t xml:space="preserve"> </w:t>
            </w:r>
            <w:r>
              <w:rPr>
                <w:bCs/>
                <w:b/>
              </w:rPr>
              <w:t xml:space="preserve">f</w:t>
            </w:r>
            <w:r>
              <w:rPr>
                <w:vertAlign w:val="superscript"/>
                <w:bCs/>
                <w:b/>
              </w:rPr>
              <w:t xml:space="preserve">35pt</w:t>
            </w:r>
            <w:r>
              <w:t xml:space="preserve"> </w:t>
            </w:r>
            <w:r>
              <w:t xml:space="preserve">(5.1%)+{19.5%} || 1 ιερουσαλημ [60%] || || || || ||</w:t>
            </w:r>
            <w:r>
              <w:rPr>
                <w:rStyle w:val="FootnoteReference"/>
              </w:rPr>
              <w:footnoteReference w:id="241"/>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ℵ, A, B, C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w:t>
            </w:r>
            <w:r>
              <w:t xml:space="preserve"> </w:t>
            </w:r>
            <w:r>
              <w:rPr>
                <w:bCs/>
                <w:b/>
              </w:rPr>
              <w:t xml:space="preserve">f</w:t>
            </w:r>
            <w:r>
              <w:rPr>
                <w:vertAlign w:val="superscript"/>
                <w:bCs/>
                <w:b/>
              </w:rPr>
              <w:t xml:space="preserve">35</w:t>
            </w:r>
            <w:r>
              <w:t xml:space="preserve"> </w:t>
            </w:r>
            <w:r>
              <w:t xml:space="preserve">B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w:t>
            </w:r>
            <w:r>
              <w:t xml:space="preserve"> </w:t>
            </w:r>
            <w:r>
              <w:rPr>
                <w:bCs/>
                <w:b/>
              </w:rPr>
              <w:t xml:space="preserve">f</w:t>
            </w:r>
            <w:r>
              <w:rPr>
                <w:vertAlign w:val="superscript"/>
                <w:bCs/>
                <w:b/>
              </w:rPr>
              <w:t xml:space="preserve">35</w:t>
            </w:r>
            <w:r>
              <w:t xml:space="preserve"> </w:t>
            </w:r>
            <w:r>
              <w:t xml:space="preserve">[20%]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w:t>
            </w:r>
            <w:r>
              <w:t xml:space="preserve"> </w:t>
            </w:r>
            <w:r>
              <w:rPr>
                <w:bCs/>
                <w:b/>
              </w:rPr>
              <w:t xml:space="preserve">f</w:t>
            </w:r>
            <w:r>
              <w:rPr>
                <w:vertAlign w:val="superscript"/>
                <w:bCs/>
                <w:b/>
              </w:rPr>
              <w:t xml:space="preserve">35</w:t>
            </w:r>
            <w:r>
              <w:t xml:space="preserve"> </w:t>
            </w:r>
            <w:r>
              <w:t xml:space="preserve">ℵ, A, B, C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w:t>
            </w:r>
            <w:r>
              <w:t xml:space="preserve"> </w:t>
            </w:r>
            <w:r>
              <w:rPr>
                <w:bCs/>
                <w:b/>
              </w:rPr>
              <w:t xml:space="preserve">f</w:t>
            </w:r>
            <w:r>
              <w:rPr>
                <w:vertAlign w:val="superscript"/>
                <w:bCs/>
                <w:b/>
              </w:rPr>
              <w:t xml:space="preserve">35</w:t>
            </w:r>
            <w:r>
              <w:t xml:space="preserve"> </w:t>
            </w:r>
            <w:r>
              <w:t xml:space="preserve">C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A, B, C, D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w:t>
            </w:r>
            <w:r>
              <w:t xml:space="preserve"> </w:t>
            </w:r>
            <w:r>
              <w:rPr>
                <w:bCs/>
                <w:b/>
              </w:rPr>
              <w:t xml:space="preserve">f</w:t>
            </w:r>
            <w:r>
              <w:rPr>
                <w:vertAlign w:val="superscript"/>
                <w:bCs/>
                <w:b/>
              </w:rPr>
              <w:t xml:space="preserve">35</w:t>
            </w:r>
            <w:r>
              <w:t xml:space="preserve"> </w:t>
            </w:r>
            <w:r>
              <w:t xml:space="preserve">[20%]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w:t>
            </w:r>
            <w:r>
              <w:t xml:space="preserve"> </w:t>
            </w:r>
            <w:r>
              <w:rPr>
                <w:bCs/>
                <w:b/>
              </w:rPr>
              <w:t xml:space="preserve">f</w:t>
            </w:r>
            <w:r>
              <w:rPr>
                <w:vertAlign w:val="superscript"/>
                <w:bCs/>
                <w:b/>
              </w:rPr>
              <w:t xml:space="preserve">35</w:t>
            </w:r>
            <w:r>
              <w:t xml:space="preserve"> </w:t>
            </w:r>
            <w:r>
              <w:t xml:space="preserve">[18%]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w:t>
            </w:r>
            <w:r>
              <w:t xml:space="preserve"> </w:t>
            </w:r>
            <w:r>
              <w:rPr>
                <w:bCs/>
                <w:b/>
              </w:rPr>
              <w:t xml:space="preserve">f</w:t>
            </w:r>
            <w:r>
              <w:rPr>
                <w:vertAlign w:val="superscript"/>
                <w:bCs/>
                <w:b/>
              </w:rPr>
              <w:t xml:space="preserve">35</w:t>
            </w:r>
            <w:r>
              <w:t xml:space="preserve"> </w:t>
            </w:r>
            <w:r>
              <w:t xml:space="preserve">[20%]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w:t>
            </w:r>
            <w:r>
              <w:t xml:space="preserve"> </w:t>
            </w:r>
            <w:r>
              <w:rPr>
                <w:bCs/>
                <w:b/>
              </w:rPr>
              <w:t xml:space="preserve">f</w:t>
            </w:r>
            <w:r>
              <w:rPr>
                <w:vertAlign w:val="superscript"/>
                <w:bCs/>
                <w:b/>
              </w:rPr>
              <w:t xml:space="preserve">35</w:t>
            </w:r>
            <w:r>
              <w:t xml:space="preserve"> </w:t>
            </w:r>
            <w:r>
              <w:t xml:space="preserve">C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w:t>
            </w:r>
            <w:r>
              <w:t xml:space="preserve"> </w:t>
            </w:r>
            <w:r>
              <w:rPr>
                <w:bCs/>
                <w:b/>
              </w:rPr>
              <w:t xml:space="preserve">f</w:t>
            </w:r>
            <w:r>
              <w:rPr>
                <w:vertAlign w:val="superscript"/>
                <w:bCs/>
                <w:b/>
              </w:rPr>
              <w:t xml:space="preserve">35</w:t>
            </w:r>
            <w:r>
              <w:t xml:space="preserve"> </w:t>
            </w:r>
            <w:r>
              <w:t xml:space="preserve">ℵ, A, B, C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D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w:t>
            </w:r>
            <w:r>
              <w:t xml:space="preserve"> </w:t>
            </w:r>
            <w:r>
              <w:rPr>
                <w:bCs/>
                <w:b/>
              </w:rPr>
              <w:t xml:space="preserve">f</w:t>
            </w:r>
            <w:r>
              <w:rPr>
                <w:vertAlign w:val="superscript"/>
                <w:bCs/>
                <w:b/>
              </w:rPr>
              <w:t xml:space="preserve">35</w:t>
            </w:r>
            <w:r>
              <w:t xml:space="preserve"> </w:t>
            </w:r>
            <w:r>
              <w:t xml:space="preserve">A, D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A, B, C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A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w:t>
            </w:r>
            <w:r>
              <w:t xml:space="preserve"> </w:t>
            </w:r>
            <w:r>
              <w:rPr>
                <w:bCs/>
                <w:b/>
              </w:rPr>
              <w:t xml:space="preserve">f</w:t>
            </w:r>
            <w:r>
              <w:rPr>
                <w:vertAlign w:val="superscript"/>
                <w:bCs/>
                <w:b/>
              </w:rPr>
              <w:t xml:space="preserve">35</w:t>
            </w:r>
            <w:r>
              <w:t xml:space="preserve"> </w:t>
            </w:r>
            <w:r>
              <w:t xml:space="preserve">P</w:t>
            </w:r>
            <w:r>
              <w:rPr>
                <w:vertAlign w:val="superscript"/>
              </w:rPr>
              <w:t xml:space="preserve">45v</w:t>
            </w:r>
            <w:r>
              <w:t xml:space="preserve">A,B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A,C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w:t>
            </w:r>
            <w:r>
              <w:t xml:space="preserve"> </w:t>
            </w:r>
            <w:r>
              <w:rPr>
                <w:bCs/>
                <w:b/>
              </w:rPr>
              <w:t xml:space="preserve">f</w:t>
            </w:r>
            <w:r>
              <w:rPr>
                <w:vertAlign w:val="superscript"/>
                <w:bCs/>
                <w:b/>
              </w:rPr>
              <w:t xml:space="preserve">35</w:t>
            </w:r>
            <w:r>
              <w:t xml:space="preserve"> </w:t>
            </w:r>
            <w:r>
              <w:t xml:space="preserve">[20%]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w:t>
            </w:r>
            <w:r>
              <w:t xml:space="preserve"> </w:t>
            </w:r>
            <w:r>
              <w:rPr>
                <w:bCs/>
                <w:b/>
              </w:rPr>
              <w:t xml:space="preserve">f</w:t>
            </w:r>
            <w:r>
              <w:rPr>
                <w:vertAlign w:val="superscript"/>
                <w:bCs/>
                <w:b/>
              </w:rPr>
              <w:t xml:space="preserve">35</w:t>
            </w:r>
            <w:r>
              <w:t xml:space="preserve"> </w:t>
            </w:r>
            <w:r>
              <w:t xml:space="preserve">[18%]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w:t>
            </w:r>
            <w:r>
              <w:t xml:space="preserve"> </w:t>
            </w:r>
            <w:r>
              <w:rPr>
                <w:bCs/>
                <w:b/>
              </w:rPr>
              <w:t xml:space="preserve">f</w:t>
            </w:r>
            <w:r>
              <w:rPr>
                <w:vertAlign w:val="superscript"/>
                <w:bCs/>
                <w:b/>
              </w:rPr>
              <w:t xml:space="preserve">35</w:t>
            </w:r>
            <w:r>
              <w:t xml:space="preserve"> </w:t>
            </w:r>
            <w:r>
              <w:t xml:space="preserve">[20%]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w:t>
            </w:r>
            <w:r>
              <w:t xml:space="preserve"> </w:t>
            </w:r>
            <w:r>
              <w:rPr>
                <w:bCs/>
                <w:b/>
              </w:rPr>
              <w:t xml:space="preserve">f</w:t>
            </w:r>
            <w:r>
              <w:rPr>
                <w:vertAlign w:val="superscript"/>
                <w:bCs/>
                <w:b/>
              </w:rPr>
              <w:t xml:space="preserve">35</w:t>
            </w:r>
            <w:r>
              <w:t xml:space="preserve"> </w:t>
            </w:r>
            <w:r>
              <w:t xml:space="preserve">ℵ, B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w:t>
            </w:r>
            <w:r>
              <w:t xml:space="preserve"> </w:t>
            </w:r>
            <w:r>
              <w:rPr>
                <w:bCs/>
                <w:b/>
              </w:rPr>
              <w:t xml:space="preserve">f</w:t>
            </w:r>
            <w:r>
              <w:rPr>
                <w:vertAlign w:val="superscript"/>
                <w:bCs/>
                <w:b/>
              </w:rPr>
              <w:t xml:space="preserve">35</w:t>
            </w:r>
            <w:r>
              <w:t xml:space="preserve"> </w:t>
            </w:r>
            <w:r>
              <w:t xml:space="preserve">[20%]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w:t>
            </w:r>
            <w:r>
              <w:t xml:space="preserve"> </w:t>
            </w:r>
            <w:r>
              <w:rPr>
                <w:bCs/>
                <w:b/>
              </w:rPr>
              <w:t xml:space="preserve">f</w:t>
            </w:r>
            <w:r>
              <w:rPr>
                <w:vertAlign w:val="superscript"/>
                <w:bCs/>
                <w:b/>
              </w:rPr>
              <w:t xml:space="preserve">35</w:t>
            </w:r>
            <w:r>
              <w:t xml:space="preserve"> </w:t>
            </w:r>
            <w:r>
              <w:t xml:space="preserve">ℵ, A, B, D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w:t>
            </w:r>
            <w:r>
              <w:t xml:space="preserve"> </w:t>
            </w:r>
            <w:r>
              <w:rPr>
                <w:bCs/>
                <w:b/>
              </w:rPr>
              <w:t xml:space="preserve">f</w:t>
            </w:r>
            <w:r>
              <w:rPr>
                <w:vertAlign w:val="superscript"/>
                <w:bCs/>
                <w:b/>
              </w:rPr>
              <w:t xml:space="preserve">35</w:t>
            </w:r>
            <w:r>
              <w:t xml:space="preserve"> </w:t>
            </w:r>
            <w:r>
              <w:t xml:space="preserve">A, B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w:t>
            </w:r>
            <w:r>
              <w:t xml:space="preserve"> </w:t>
            </w:r>
            <w:r>
              <w:rPr>
                <w:bCs/>
                <w:b/>
              </w:rPr>
              <w:t xml:space="preserve">f</w:t>
            </w:r>
            <w:r>
              <w:rPr>
                <w:vertAlign w:val="superscript"/>
                <w:bCs/>
                <w:b/>
              </w:rPr>
              <w:t xml:space="preserve">35</w:t>
            </w:r>
            <w:r>
              <w:t xml:space="preserve"> </w:t>
            </w:r>
            <w:r>
              <w:t xml:space="preserve">[25%]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A(D)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w:t>
            </w:r>
            <w:r>
              <w:t xml:space="preserve"> </w:t>
            </w:r>
            <w:r>
              <w:rPr>
                <w:bCs/>
                <w:b/>
              </w:rPr>
              <w:t xml:space="preserve">f</w:t>
            </w:r>
            <w:r>
              <w:rPr>
                <w:vertAlign w:val="superscript"/>
                <w:bCs/>
                <w:b/>
              </w:rPr>
              <w:t xml:space="preserve">35</w:t>
            </w:r>
            <w:r>
              <w:t xml:space="preserve"> </w:t>
            </w:r>
            <w:r>
              <w:t xml:space="preserve">[25%]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w:t>
            </w:r>
            <w:r>
              <w:t xml:space="preserve"> </w:t>
            </w:r>
            <w:r>
              <w:rPr>
                <w:bCs/>
                <w:b/>
              </w:rPr>
              <w:t xml:space="preserve">f</w:t>
            </w:r>
            <w:r>
              <w:rPr>
                <w:vertAlign w:val="superscript"/>
                <w:bCs/>
                <w:b/>
              </w:rPr>
              <w:t xml:space="preserve">35</w:t>
            </w:r>
            <w:r>
              <w:t xml:space="preserve"> </w:t>
            </w:r>
            <w:r>
              <w:t xml:space="preserve">[20%]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w:t>
            </w:r>
            <w:r>
              <w:t xml:space="preserve"> </w:t>
            </w:r>
            <w:r>
              <w:rPr>
                <w:bCs/>
                <w:b/>
              </w:rPr>
              <w:t xml:space="preserve">f</w:t>
            </w:r>
            <w:r>
              <w:rPr>
                <w:vertAlign w:val="superscript"/>
                <w:bCs/>
                <w:b/>
              </w:rPr>
              <w:t xml:space="preserve">35</w:t>
            </w:r>
            <w:r>
              <w:t xml:space="preserve"> </w:t>
            </w:r>
            <w:r>
              <w:t xml:space="preserve">ℵ(A)B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w:t>
            </w:r>
            <w:r>
              <w:t xml:space="preserve"> </w:t>
            </w:r>
            <w:r>
              <w:rPr>
                <w:bCs/>
                <w:b/>
              </w:rPr>
              <w:t xml:space="preserve">f</w:t>
            </w:r>
            <w:r>
              <w:rPr>
                <w:vertAlign w:val="superscript"/>
                <w:bCs/>
                <w:b/>
              </w:rPr>
              <w:t xml:space="preserve">35</w:t>
            </w:r>
            <w:r>
              <w:t xml:space="preserve"> </w:t>
            </w:r>
            <w:r>
              <w:t xml:space="preserve">ℵ, A, B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ℵ, A, B(D)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B(D)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D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w:t>
            </w:r>
            <w:r>
              <w:t xml:space="preserve"> </w:t>
            </w:r>
            <w:r>
              <w:rPr>
                <w:bCs/>
                <w:b/>
              </w:rPr>
              <w:t xml:space="preserve">f</w:t>
            </w:r>
            <w:r>
              <w:rPr>
                <w:vertAlign w:val="superscript"/>
                <w:bCs/>
                <w:b/>
              </w:rPr>
              <w:t xml:space="preserve">35</w:t>
            </w:r>
            <w:r>
              <w:t xml:space="preserve"> </w:t>
            </w:r>
            <w:r>
              <w:t xml:space="preserve">P</w:t>
            </w:r>
            <w:r>
              <w:rPr>
                <w:vertAlign w:val="superscript"/>
              </w:rPr>
              <w:t xml:space="preserve">38</w:t>
            </w:r>
            <w:r>
              <w:t xml:space="preserve"> </w:t>
            </w:r>
            <w:r>
              <w:t xml:space="preserve">[30%]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w:t>
            </w:r>
            <w:r>
              <w:t xml:space="preserve"> </w:t>
            </w:r>
            <w:r>
              <w:rPr>
                <w:bCs/>
                <w:b/>
              </w:rPr>
              <w:t xml:space="preserve">f</w:t>
            </w:r>
            <w:r>
              <w:rPr>
                <w:vertAlign w:val="superscript"/>
                <w:bCs/>
                <w:b/>
              </w:rPr>
              <w:t xml:space="preserve">35</w:t>
            </w:r>
            <w:r>
              <w:t xml:space="preserve"> </w:t>
            </w:r>
            <w:r>
              <w:t xml:space="preserve">[20%]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w:t>
            </w:r>
            <w:r>
              <w:t xml:space="preserve"> </w:t>
            </w:r>
            <w:r>
              <w:rPr>
                <w:bCs/>
                <w:b/>
              </w:rPr>
              <w:t xml:space="preserve">f</w:t>
            </w:r>
            <w:r>
              <w:rPr>
                <w:vertAlign w:val="superscript"/>
                <w:bCs/>
                <w:b/>
              </w:rPr>
              <w:t xml:space="preserve">35</w:t>
            </w:r>
            <w:r>
              <w:t xml:space="preserve"> </w:t>
            </w:r>
            <w:r>
              <w:t xml:space="preserve">[20%]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w:t>
            </w:r>
            <w:r>
              <w:t xml:space="preserve"> </w:t>
            </w:r>
            <w:r>
              <w:rPr>
                <w:bCs/>
                <w:b/>
              </w:rPr>
              <w:t xml:space="preserve">f</w:t>
            </w:r>
            <w:r>
              <w:rPr>
                <w:vertAlign w:val="superscript"/>
                <w:bCs/>
                <w:b/>
              </w:rPr>
              <w:t xml:space="preserve">35</w:t>
            </w:r>
            <w:r>
              <w:t xml:space="preserve"> </w:t>
            </w:r>
            <w:r>
              <w:t xml:space="preserve">D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w:t>
            </w:r>
            <w:r>
              <w:t xml:space="preserve"> </w:t>
            </w:r>
            <w:r>
              <w:rPr>
                <w:bCs/>
                <w:b/>
              </w:rPr>
              <w:t xml:space="preserve">f</w:t>
            </w:r>
            <w:r>
              <w:rPr>
                <w:vertAlign w:val="superscript"/>
                <w:bCs/>
                <w:b/>
              </w:rPr>
              <w:t xml:space="preserve">35</w:t>
            </w:r>
            <w:r>
              <w:t xml:space="preserve"> </w:t>
            </w:r>
            <w:r>
              <w:t xml:space="preserve">ℵ, A, B, D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w:t>
            </w:r>
            <w:r>
              <w:t xml:space="preserve"> </w:t>
            </w:r>
            <w:r>
              <w:rPr>
                <w:bCs/>
                <w:b/>
              </w:rPr>
              <w:t xml:space="preserve">f</w:t>
            </w:r>
            <w:r>
              <w:rPr>
                <w:vertAlign w:val="superscript"/>
                <w:bCs/>
                <w:b/>
              </w:rPr>
              <w:t xml:space="preserve">35</w:t>
            </w:r>
            <w:r>
              <w:t xml:space="preserve"> </w:t>
            </w:r>
            <w:r>
              <w:t xml:space="preserve">[25%]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w:t>
            </w:r>
            <w:r>
              <w:t xml:space="preserve"> </w:t>
            </w:r>
            <w:r>
              <w:rPr>
                <w:bCs/>
                <w:b/>
              </w:rPr>
              <w:t xml:space="preserve">f</w:t>
            </w:r>
            <w:r>
              <w:rPr>
                <w:vertAlign w:val="superscript"/>
                <w:bCs/>
                <w:b/>
              </w:rPr>
              <w:t xml:space="preserve">35</w:t>
            </w:r>
            <w:r>
              <w:t xml:space="preserve"> </w:t>
            </w:r>
            <w:r>
              <w:t xml:space="preserve">[25%]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w:t>
            </w:r>
            <w:r>
              <w:t xml:space="preserve"> </w:t>
            </w:r>
            <w:r>
              <w:rPr>
                <w:bCs/>
                <w:b/>
              </w:rPr>
              <w:t xml:space="preserve">f</w:t>
            </w:r>
            <w:r>
              <w:rPr>
                <w:vertAlign w:val="superscript"/>
                <w:bCs/>
                <w:b/>
              </w:rPr>
              <w:t xml:space="preserve">35</w:t>
            </w:r>
            <w:r>
              <w:t xml:space="preserve"> </w:t>
            </w:r>
            <w:r>
              <w:t xml:space="preserve">[18%]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w:t>
            </w:r>
            <w:r>
              <w:t xml:space="preserve"> </w:t>
            </w:r>
            <w:r>
              <w:rPr>
                <w:bCs/>
                <w:b/>
              </w:rPr>
              <w:t xml:space="preserve">f</w:t>
            </w:r>
            <w:r>
              <w:rPr>
                <w:vertAlign w:val="superscript"/>
                <w:bCs/>
                <w:b/>
              </w:rPr>
              <w:t xml:space="preserve">35</w:t>
            </w:r>
            <w:r>
              <w:t xml:space="preserve"> </w:t>
            </w:r>
            <w:r>
              <w:t xml:space="preserve">[18%]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w:t>
            </w:r>
            <w:r>
              <w:t xml:space="preserve"> </w:t>
            </w:r>
            <w:r>
              <w:rPr>
                <w:bCs/>
                <w:b/>
              </w:rPr>
              <w:t xml:space="preserve">f</w:t>
            </w:r>
            <w:r>
              <w:rPr>
                <w:vertAlign w:val="superscript"/>
                <w:bCs/>
                <w:b/>
              </w:rPr>
              <w:t xml:space="preserve">35</w:t>
            </w:r>
            <w:r>
              <w:t xml:space="preserve"> </w:t>
            </w:r>
            <w:r>
              <w:t xml:space="preserve">ℵ, A, B, C, D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w:t>
            </w:r>
            <w:r>
              <w:t xml:space="preserve"> </w:t>
            </w:r>
            <w:r>
              <w:rPr>
                <w:bCs/>
                <w:b/>
              </w:rPr>
              <w:t xml:space="preserve">f</w:t>
            </w:r>
            <w:r>
              <w:rPr>
                <w:vertAlign w:val="superscript"/>
                <w:bCs/>
                <w:b/>
              </w:rPr>
              <w:t xml:space="preserve">35</w:t>
            </w:r>
            <w:r>
              <w:t xml:space="preserve"> </w:t>
            </w:r>
            <w:r>
              <w:t xml:space="preserve">ℵ, A(B)C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w:t>
            </w:r>
            <w:r>
              <w:t xml:space="preserve"> </w:t>
            </w:r>
            <w:r>
              <w:rPr>
                <w:bCs/>
                <w:b/>
              </w:rPr>
              <w:t xml:space="preserve">f</w:t>
            </w:r>
            <w:r>
              <w:rPr>
                <w:vertAlign w:val="superscript"/>
                <w:bCs/>
                <w:b/>
              </w:rPr>
              <w:t xml:space="preserve">35</w:t>
            </w:r>
            <w:r>
              <w:t xml:space="preserve"> </w:t>
            </w:r>
            <w:r>
              <w:t xml:space="preserve">[25%]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w:t>
            </w:r>
            <w:r>
              <w:t xml:space="preserve"> </w:t>
            </w:r>
            <w:r>
              <w:rPr>
                <w:bCs/>
                <w:b/>
              </w:rPr>
              <w:t xml:space="preserve">f</w:t>
            </w:r>
            <w:r>
              <w:rPr>
                <w:vertAlign w:val="superscript"/>
                <w:bCs/>
                <w:b/>
              </w:rPr>
              <w:t xml:space="preserve">35</w:t>
            </w:r>
            <w:r>
              <w:t xml:space="preserve"> </w:t>
            </w:r>
            <w:r>
              <w:t xml:space="preserve">[20%]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w:t>
            </w:r>
            <w:r>
              <w:t xml:space="preserve"> </w:t>
            </w:r>
            <w:r>
              <w:rPr>
                <w:bCs/>
                <w:b/>
              </w:rPr>
              <w:t xml:space="preserve">f</w:t>
            </w:r>
            <w:r>
              <w:rPr>
                <w:vertAlign w:val="superscript"/>
                <w:bCs/>
                <w:b/>
              </w:rPr>
              <w:t xml:space="preserve">35</w:t>
            </w:r>
            <w:r>
              <w:t xml:space="preserve"> </w:t>
            </w:r>
            <w:r>
              <w:t xml:space="preserve">[20%]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w:t>
            </w:r>
            <w:r>
              <w:t xml:space="preserve"> </w:t>
            </w:r>
            <w:r>
              <w:rPr>
                <w:bCs/>
                <w:b/>
              </w:rPr>
              <w:t xml:space="preserve">f</w:t>
            </w:r>
            <w:r>
              <w:rPr>
                <w:vertAlign w:val="superscript"/>
                <w:bCs/>
                <w:b/>
              </w:rPr>
              <w:t xml:space="preserve">35</w:t>
            </w:r>
            <w:r>
              <w:t xml:space="preserve"> </w:t>
            </w:r>
            <w:r>
              <w:t xml:space="preserve">[20%]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A, B, D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w:t>
            </w:r>
            <w:r>
              <w:t xml:space="preserve"> </w:t>
            </w:r>
            <w:r>
              <w:rPr>
                <w:bCs/>
                <w:b/>
              </w:rPr>
              <w:t xml:space="preserve">f</w:t>
            </w:r>
            <w:r>
              <w:rPr>
                <w:vertAlign w:val="superscript"/>
                <w:bCs/>
                <w:b/>
              </w:rPr>
              <w:t xml:space="preserve">35</w:t>
            </w:r>
            <w:r>
              <w:t xml:space="preserve"> </w:t>
            </w:r>
            <w:r>
              <w:t xml:space="preserve">[20%]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w:t>
            </w:r>
            <w:r>
              <w:t xml:space="preserve"> </w:t>
            </w:r>
            <w:r>
              <w:rPr>
                <w:bCs/>
                <w:b/>
              </w:rPr>
              <w:t xml:space="preserve">f</w:t>
            </w:r>
            <w:r>
              <w:rPr>
                <w:vertAlign w:val="superscript"/>
                <w:bCs/>
                <w:b/>
              </w:rPr>
              <w:t xml:space="preserve">35</w:t>
            </w:r>
            <w:r>
              <w:t xml:space="preserve"> </w:t>
            </w:r>
            <w:r>
              <w:t xml:space="preserve">(ℵ)B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w:t>
            </w:r>
            <w:r>
              <w:t xml:space="preserve"> </w:t>
            </w:r>
            <w:r>
              <w:rPr>
                <w:bCs/>
                <w:b/>
              </w:rPr>
              <w:t xml:space="preserve">f</w:t>
            </w:r>
            <w:r>
              <w:rPr>
                <w:vertAlign w:val="superscript"/>
                <w:bCs/>
                <w:b/>
              </w:rPr>
              <w:t xml:space="preserve">35</w:t>
            </w:r>
            <w:r>
              <w:t xml:space="preserve"> </w:t>
            </w:r>
            <w:r>
              <w:t xml:space="preserve">(ℵ)A(B)C(D)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ℵ,A,B,C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w:t>
            </w:r>
            <w:r>
              <w:t xml:space="preserve"> </w:t>
            </w:r>
            <w:r>
              <w:rPr>
                <w:bCs/>
                <w:b/>
              </w:rPr>
              <w:t xml:space="preserve">f</w:t>
            </w:r>
            <w:r>
              <w:rPr>
                <w:vertAlign w:val="superscript"/>
                <w:bCs/>
                <w:b/>
              </w:rPr>
              <w:t xml:space="preserve">35</w:t>
            </w:r>
            <w:r>
              <w:t xml:space="preserve"> </w:t>
            </w:r>
            <w:r>
              <w:t xml:space="preserve">ℵ,A,B,C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w:t>
            </w:r>
            <w:r>
              <w:t xml:space="preserve"> </w:t>
            </w:r>
            <w:r>
              <w:rPr>
                <w:bCs/>
                <w:b/>
              </w:rPr>
              <w:t xml:space="preserve">f</w:t>
            </w:r>
            <w:r>
              <w:rPr>
                <w:vertAlign w:val="superscript"/>
                <w:bCs/>
                <w:b/>
              </w:rPr>
              <w:t xml:space="preserve">35</w:t>
            </w:r>
            <w:r>
              <w:t xml:space="preserve"> </w:t>
            </w:r>
            <w:r>
              <w:t xml:space="preserve">[20%]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w:t>
            </w:r>
            <w:r>
              <w:t xml:space="preserve"> </w:t>
            </w:r>
            <w:r>
              <w:rPr>
                <w:bCs/>
                <w:b/>
              </w:rPr>
              <w:t xml:space="preserve">f</w:t>
            </w:r>
            <w:r>
              <w:rPr>
                <w:vertAlign w:val="superscript"/>
                <w:bCs/>
                <w:b/>
              </w:rPr>
              <w:t xml:space="preserve">35</w:t>
            </w:r>
            <w:r>
              <w:t xml:space="preserve"> </w:t>
            </w:r>
            <w:r>
              <w:t xml:space="preserve">ℵ,A,B,C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w:t>
            </w:r>
            <w:r>
              <w:t xml:space="preserve"> </w:t>
            </w:r>
            <w:r>
              <w:rPr>
                <w:bCs/>
                <w:b/>
              </w:rPr>
              <w:t xml:space="preserve">f</w:t>
            </w:r>
            <w:r>
              <w:rPr>
                <w:vertAlign w:val="superscript"/>
                <w:bCs/>
                <w:b/>
              </w:rPr>
              <w:t xml:space="preserve">35</w:t>
            </w:r>
            <w:r>
              <w:t xml:space="preserve"> </w:t>
            </w:r>
            <w:r>
              <w:t xml:space="preserve">C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w:t>
            </w:r>
            <w:r>
              <w:t xml:space="preserve"> </w:t>
            </w:r>
            <w:r>
              <w:rPr>
                <w:bCs/>
                <w:b/>
              </w:rPr>
              <w:t xml:space="preserve">f</w:t>
            </w:r>
            <w:r>
              <w:rPr>
                <w:vertAlign w:val="superscript"/>
                <w:bCs/>
                <w:b/>
              </w:rPr>
              <w:t xml:space="preserve">35</w:t>
            </w:r>
            <w:r>
              <w:t xml:space="preserve"> </w:t>
            </w:r>
            <w:r>
              <w:t xml:space="preserve">(A)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w:t>
            </w:r>
            <w:r>
              <w:t xml:space="preserve"> </w:t>
            </w:r>
            <w:r>
              <w:rPr>
                <w:bCs/>
                <w:b/>
              </w:rPr>
              <w:t xml:space="preserve">f</w:t>
            </w:r>
            <w:r>
              <w:rPr>
                <w:vertAlign w:val="superscript"/>
                <w:bCs/>
                <w:b/>
              </w:rPr>
              <w:t xml:space="preserve">35</w:t>
            </w:r>
            <w:r>
              <w:t xml:space="preserve"> </w:t>
            </w:r>
            <w:r>
              <w:t xml:space="preserve">[20%]+P</w:t>
            </w:r>
            <w:r>
              <w:rPr>
                <w:vertAlign w:val="superscript"/>
              </w:rPr>
              <w:t xml:space="preserve">48</w:t>
            </w:r>
            <w:r>
              <w:t xml:space="preserve"> </w:t>
            </w:r>
            <w:r>
              <w:t xml:space="preserve">ℵ, A, B, C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w:t>
            </w:r>
            <w:r>
              <w:t xml:space="preserve"> </w:t>
            </w:r>
            <w:r>
              <w:rPr>
                <w:bCs/>
                <w:b/>
              </w:rPr>
              <w:t xml:space="preserve">f</w:t>
            </w:r>
            <w:r>
              <w:rPr>
                <w:vertAlign w:val="superscript"/>
                <w:bCs/>
                <w:b/>
              </w:rPr>
              <w:t xml:space="preserve">35</w:t>
            </w:r>
            <w:r>
              <w:t xml:space="preserve"> </w:t>
            </w:r>
            <w:r>
              <w:t xml:space="preserve">(33.1%)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w:t>
            </w:r>
            <w:r>
              <w:t xml:space="preserve"> </w:t>
            </w:r>
            <w:r>
              <w:rPr>
                <w:bCs/>
                <w:b/>
              </w:rPr>
              <w:t xml:space="preserve">f</w:t>
            </w:r>
            <w:r>
              <w:rPr>
                <w:vertAlign w:val="superscript"/>
                <w:bCs/>
                <w:b/>
              </w:rPr>
              <w:t xml:space="preserve">35</w:t>
            </w:r>
            <w:r>
              <w:t xml:space="preserve"> </w:t>
            </w:r>
            <w:r>
              <w:t xml:space="preserve">ℵ, B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w:t>
            </w:r>
            <w:r>
              <w:t xml:space="preserve"> </w:t>
            </w:r>
            <w:r>
              <w:rPr>
                <w:bCs/>
                <w:b/>
              </w:rPr>
              <w:t xml:space="preserve">f</w:t>
            </w:r>
            <w:r>
              <w:rPr>
                <w:vertAlign w:val="superscript"/>
                <w:bCs/>
                <w:b/>
              </w:rPr>
              <w:t xml:space="preserve">35</w:t>
            </w:r>
            <w:r>
              <w:t xml:space="preserve"> </w:t>
            </w:r>
            <w:r>
              <w:t xml:space="preserve">P</w:t>
            </w:r>
            <w:r>
              <w:rPr>
                <w:vertAlign w:val="superscript"/>
              </w:rPr>
              <w:t xml:space="preserve">48</w:t>
            </w:r>
            <w:r>
              <w:t xml:space="preserve"> </w:t>
            </w:r>
            <w:r>
              <w:t xml:space="preserve">ℵ, B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[18%]+ℵ, A {4%} || --- [75%] ||</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w:t>
            </w:r>
            <w:r>
              <w:t xml:space="preserve"> </w:t>
            </w:r>
            <w:r>
              <w:rPr>
                <w:bCs/>
                <w:b/>
              </w:rPr>
              <w:t xml:space="preserve">f</w:t>
            </w:r>
            <w:r>
              <w:rPr>
                <w:vertAlign w:val="superscript"/>
                <w:bCs/>
                <w:b/>
              </w:rPr>
              <w:t xml:space="preserve">35</w:t>
            </w:r>
            <w:r>
              <w:t xml:space="preserve"> </w:t>
            </w:r>
            <w:r>
              <w:t xml:space="preserve">[18%] || πλειον [80%]</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w:t>
            </w:r>
            <w:r>
              <w:t xml:space="preserve"> </w:t>
            </w:r>
            <w:r>
              <w:rPr>
                <w:bCs/>
                <w:b/>
              </w:rPr>
              <w:t xml:space="preserve">f</w:t>
            </w:r>
            <w:r>
              <w:rPr>
                <w:vertAlign w:val="superscript"/>
                <w:bCs/>
                <w:b/>
              </w:rPr>
              <w:t xml:space="preserve">35</w:t>
            </w:r>
            <w:r>
              <w:t xml:space="preserve"> </w:t>
            </w:r>
            <w:r>
              <w:t xml:space="preserve">ℵ, A, B, C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w:t>
            </w:r>
            <w:r>
              <w:t xml:space="preserve"> </w:t>
            </w:r>
            <w:r>
              <w:rPr>
                <w:bCs/>
                <w:b/>
              </w:rPr>
              <w:t xml:space="preserve">f</w:t>
            </w:r>
            <w:r>
              <w:rPr>
                <w:vertAlign w:val="superscript"/>
                <w:bCs/>
                <w:b/>
              </w:rPr>
              <w:t xml:space="preserve">35</w:t>
            </w:r>
            <w:r>
              <w:t xml:space="preserve"> </w:t>
            </w:r>
            <w:r>
              <w:t xml:space="preserve">[18%]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w:t>
            </w:r>
            <w:r>
              <w:t xml:space="preserve"> </w:t>
            </w:r>
            <w:r>
              <w:rPr>
                <w:bCs/>
                <w:b/>
              </w:rPr>
              <w:t xml:space="preserve">f</w:t>
            </w:r>
            <w:r>
              <w:rPr>
                <w:vertAlign w:val="superscript"/>
                <w:bCs/>
                <w:b/>
              </w:rPr>
              <w:t xml:space="preserve">35</w:t>
            </w:r>
            <w:r>
              <w:t xml:space="preserve"> </w:t>
            </w:r>
            <w:r>
              <w:t xml:space="preserve">ℵ, A, B, C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w:t>
            </w:r>
            <w:r>
              <w:t xml:space="preserve"> </w:t>
            </w:r>
            <w:r>
              <w:rPr>
                <w:bCs/>
                <w:b/>
              </w:rPr>
              <w:t xml:space="preserve">f</w:t>
            </w:r>
            <w:r>
              <w:rPr>
                <w:vertAlign w:val="superscript"/>
                <w:bCs/>
                <w:b/>
              </w:rPr>
              <w:t xml:space="preserve">35</w:t>
            </w:r>
            <w:r>
              <w:t xml:space="preserve"> </w:t>
            </w:r>
            <w:r>
              <w:t xml:space="preserve">[25%]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w:t>
            </w:r>
            <w:r>
              <w:t xml:space="preserve"> </w:t>
            </w:r>
            <w:r>
              <w:rPr>
                <w:bCs/>
                <w:b/>
              </w:rPr>
              <w:t xml:space="preserve">f</w:t>
            </w:r>
            <w:r>
              <w:rPr>
                <w:vertAlign w:val="superscript"/>
                <w:bCs/>
                <w:b/>
              </w:rPr>
              <w:t xml:space="preserve">35</w:t>
            </w:r>
            <w:r>
              <w:t xml:space="preserve"> </w:t>
            </w:r>
            <w:r>
              <w:t xml:space="preserve">[30%]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w:t>
            </w:r>
            <w:r>
              <w:t xml:space="preserve"> </w:t>
            </w:r>
            <w:r>
              <w:rPr>
                <w:bCs/>
                <w:b/>
              </w:rPr>
              <w:t xml:space="preserve">f</w:t>
            </w:r>
            <w:r>
              <w:rPr>
                <w:vertAlign w:val="superscript"/>
                <w:bCs/>
                <w:b/>
              </w:rPr>
              <w:t xml:space="preserve">35</w:t>
            </w:r>
            <w:r>
              <w:t xml:space="preserve"> </w:t>
            </w:r>
            <w:r>
              <w:t xml:space="preserve">[18%]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w:t>
            </w:r>
            <w:r>
              <w:t xml:space="preserve"> </w:t>
            </w:r>
            <w:r>
              <w:rPr>
                <w:bCs/>
                <w:b/>
              </w:rPr>
              <w:t xml:space="preserve">f</w:t>
            </w:r>
            <w:r>
              <w:rPr>
                <w:vertAlign w:val="superscript"/>
                <w:bCs/>
                <w:b/>
              </w:rPr>
              <w:t xml:space="preserve">35</w:t>
            </w:r>
            <w:r>
              <w:t xml:space="preserve"> </w:t>
            </w:r>
            <w:r>
              <w:t xml:space="preserve">ℵ, A, B, C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A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w:t>
            </w:r>
            <w:r>
              <w:t xml:space="preserve"> </w:t>
            </w:r>
            <w:r>
              <w:rPr>
                <w:bCs/>
                <w:b/>
              </w:rPr>
              <w:t xml:space="preserve">f</w:t>
            </w:r>
            <w:r>
              <w:rPr>
                <w:vertAlign w:val="superscript"/>
                <w:bCs/>
                <w:b/>
              </w:rPr>
              <w:t xml:space="preserve">35</w:t>
            </w:r>
            <w:r>
              <w:t xml:space="preserve"> </w:t>
            </w:r>
            <w:r>
              <w:t xml:space="preserve">ℵ, B, C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w:t>
            </w:r>
            <w:r>
              <w:t xml:space="preserve"> </w:t>
            </w:r>
            <w:r>
              <w:rPr>
                <w:bCs/>
                <w:b/>
              </w:rPr>
              <w:t xml:space="preserve">f</w:t>
            </w:r>
            <w:r>
              <w:rPr>
                <w:vertAlign w:val="superscript"/>
                <w:bCs/>
                <w:b/>
              </w:rPr>
              <w:t xml:space="preserve">35</w:t>
            </w:r>
            <w:r>
              <w:t xml:space="preserve"> </w:t>
            </w:r>
            <w:r>
              <w:t xml:space="preserve">[21%]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w:t>
            </w:r>
            <w:r>
              <w:t xml:space="preserve"> </w:t>
            </w:r>
            <w:r>
              <w:rPr>
                <w:bCs/>
                <w:b/>
              </w:rPr>
              <w:t xml:space="preserve">f</w:t>
            </w:r>
            <w:r>
              <w:rPr>
                <w:vertAlign w:val="superscript"/>
                <w:bCs/>
                <w:b/>
              </w:rPr>
              <w:t xml:space="preserve">35</w:t>
            </w:r>
            <w:r>
              <w:t xml:space="preserve"> </w:t>
            </w:r>
            <w:r>
              <w:t xml:space="preserve">[21%]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w:t>
            </w:r>
            <w:r>
              <w:t xml:space="preserve"> </w:t>
            </w:r>
            <w:r>
              <w:rPr>
                <w:bCs/>
                <w:b/>
              </w:rPr>
              <w:t xml:space="preserve">f</w:t>
            </w:r>
            <w:r>
              <w:rPr>
                <w:vertAlign w:val="superscript"/>
                <w:bCs/>
                <w:b/>
              </w:rPr>
              <w:t xml:space="preserve">35</w:t>
            </w:r>
            <w:r>
              <w:t xml:space="preserve"> </w:t>
            </w:r>
            <w:r>
              <w:t xml:space="preserve">[22%]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w:t>
            </w:r>
            <w:r>
              <w:t xml:space="preserve"> </w:t>
            </w:r>
            <w:r>
              <w:rPr>
                <w:bCs/>
                <w:b/>
              </w:rPr>
              <w:t xml:space="preserve">f</w:t>
            </w:r>
            <w:r>
              <w:rPr>
                <w:vertAlign w:val="superscript"/>
                <w:bCs/>
                <w:b/>
              </w:rPr>
              <w:t xml:space="preserve">35</w:t>
            </w:r>
            <w:r>
              <w:t xml:space="preserve"> </w:t>
            </w:r>
            <w:r>
              <w:t xml:space="preserve">ℵ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w:t>
            </w:r>
            <w:r>
              <w:t xml:space="preserve"> </w:t>
            </w:r>
            <w:r>
              <w:rPr>
                <w:bCs/>
                <w:b/>
              </w:rPr>
              <w:t xml:space="preserve">f</w:t>
            </w:r>
            <w:r>
              <w:rPr>
                <w:vertAlign w:val="superscript"/>
                <w:bCs/>
                <w:b/>
              </w:rPr>
              <w:t xml:space="preserve">35</w:t>
            </w:r>
            <w:r>
              <w:t xml:space="preserve"> </w:t>
            </w:r>
            <w:r>
              <w:t xml:space="preserve">ℵ, A, B, C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w:t>
            </w:r>
            <w:r>
              <w:t xml:space="preserve"> </w:t>
            </w:r>
            <w:r>
              <w:rPr>
                <w:bCs/>
                <w:b/>
              </w:rPr>
              <w:t xml:space="preserve">f</w:t>
            </w:r>
            <w:r>
              <w:rPr>
                <w:vertAlign w:val="superscript"/>
                <w:bCs/>
                <w:b/>
              </w:rPr>
              <w:t xml:space="preserve">35</w:t>
            </w:r>
            <w:r>
              <w:t xml:space="preserve"> </w:t>
            </w:r>
            <w:r>
              <w:t xml:space="preserve">A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w:t>
            </w:r>
            <w:r>
              <w:t xml:space="preserve"> </w:t>
            </w:r>
            <w:r>
              <w:rPr>
                <w:bCs/>
                <w:b/>
              </w:rPr>
              <w:t xml:space="preserve">f</w:t>
            </w:r>
            <w:r>
              <w:rPr>
                <w:vertAlign w:val="superscript"/>
                <w:bCs/>
                <w:b/>
              </w:rPr>
              <w:t xml:space="preserve">35</w:t>
            </w:r>
            <w:r>
              <w:t xml:space="preserve"> </w:t>
            </w:r>
            <w:r>
              <w:t xml:space="preserve">ℵ, A, B, C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w:t>
            </w:r>
            <w:r>
              <w:t xml:space="preserve"> </w:t>
            </w:r>
            <w:r>
              <w:rPr>
                <w:bCs/>
                <w:b/>
              </w:rPr>
              <w:t xml:space="preserve">f</w:t>
            </w:r>
            <w:r>
              <w:rPr>
                <w:vertAlign w:val="superscript"/>
                <w:bCs/>
                <w:b/>
              </w:rPr>
              <w:t xml:space="preserve">35</w:t>
            </w:r>
            <w:r>
              <w:t xml:space="preserve"> </w:t>
            </w:r>
            <w:r>
              <w:t xml:space="preserve">C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w:t>
            </w:r>
            <w:r>
              <w:t xml:space="preserve"> </w:t>
            </w:r>
            <w:r>
              <w:rPr>
                <w:bCs/>
                <w:b/>
              </w:rPr>
              <w:t xml:space="preserve">f</w:t>
            </w:r>
            <w:r>
              <w:rPr>
                <w:vertAlign w:val="superscript"/>
                <w:bCs/>
                <w:b/>
              </w:rPr>
              <w:t xml:space="preserve">35</w:t>
            </w:r>
            <w:r>
              <w:t xml:space="preserve"> </w:t>
            </w:r>
            <w:r>
              <w:t xml:space="preserve">[20%]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w:t>
            </w:r>
            <w:r>
              <w:t xml:space="preserve"> </w:t>
            </w:r>
            <w:r>
              <w:rPr>
                <w:bCs/>
                <w:b/>
              </w:rPr>
              <w:t xml:space="preserve">f</w:t>
            </w:r>
            <w:r>
              <w:rPr>
                <w:vertAlign w:val="superscript"/>
                <w:bCs/>
                <w:b/>
              </w:rPr>
              <w:t xml:space="preserve">35</w:t>
            </w:r>
            <w:r>
              <w:t xml:space="preserve"> </w:t>
            </w:r>
            <w:r>
              <w:t xml:space="preserve">[25%]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rPr>
          <w:bCs/>
          <w:b/>
        </w:rPr>
        <w:t xml:space="preserve">Łącznie: 180</w:t>
      </w:r>
    </w:p>
    <w:p>
      <w:pPr>
        <w:pStyle w:val="BodyText"/>
      </w:pPr>
      <w:r>
        <w:t xml:space="preserve">Dla każdego bezstronnego czytelnika powinno być oczywiste, że</w:t>
      </w:r>
      <w:r>
        <w:t xml:space="preserve"> </w:t>
      </w:r>
      <w:r>
        <w:rPr>
          <w:bCs/>
          <w:b/>
        </w:rPr>
        <w:t xml:space="preserve">f</w:t>
      </w:r>
      <w:r>
        <w:rPr>
          <w:vertAlign w:val="superscript"/>
          <w:bCs/>
          <w:b/>
        </w:rPr>
        <w:t xml:space="preserve">35</w:t>
      </w:r>
      <w:r>
        <w:t xml:space="preserve"> </w:t>
      </w:r>
      <w:r>
        <w:t xml:space="preserve">jest całkowicie niezależna od masy bizantyjskiej (</w:t>
      </w:r>
      <w:r>
        <w:rPr>
          <w:bCs/>
          <w:b/>
        </w:rPr>
        <w:t xml:space="preserve">K</w:t>
      </w:r>
      <w:r>
        <w:rPr>
          <w:vertAlign w:val="superscript"/>
          <w:bCs/>
          <w:b/>
        </w:rPr>
        <w:t xml:space="preserve">x</w:t>
      </w:r>
      <w:r>
        <w:t xml:space="preserve"> </w:t>
      </w:r>
      <w:r>
        <w:t xml:space="preserve">Sodena). Spośród 180 zestawów wariantów</w:t>
      </w:r>
      <w:r>
        <w:t xml:space="preserve"> </w:t>
      </w:r>
      <w:r>
        <w:rPr>
          <w:bCs/>
          <w:b/>
        </w:rPr>
        <w:t xml:space="preserve">f</w:t>
      </w:r>
      <w:r>
        <w:rPr>
          <w:vertAlign w:val="superscript"/>
          <w:bCs/>
          <w:b/>
        </w:rPr>
        <w:t xml:space="preserve">35</w:t>
      </w:r>
      <w:r>
        <w:t xml:space="preserve"> </w:t>
      </w:r>
      <w:r>
        <w:t xml:space="preserve">występuje sama 75 razy (42%), jest więc również niezależna od linii przekazu reprezentowanych przez uwzględnione przeze mnie wczesne manuskrypty. Jeśli</w:t>
      </w:r>
      <w:r>
        <w:t xml:space="preserve"> </w:t>
      </w:r>
      <w:r>
        <w:rPr>
          <w:bCs/>
          <w:b/>
        </w:rPr>
        <w:t xml:space="preserve">f</w:t>
      </w:r>
      <w:r>
        <w:rPr>
          <w:vertAlign w:val="superscript"/>
          <w:bCs/>
          <w:b/>
        </w:rPr>
        <w:t xml:space="preserve">35</w:t>
      </w:r>
      <w:r>
        <w:t xml:space="preserve"> </w:t>
      </w:r>
      <w:r>
        <w:t xml:space="preserve">jest niezależna od masy bizantyjskiej, nie może być rewizją opartą na tej masie — dokonaną w jakimkolwiek czasie! Zanim skomentuję to szerzej, wymienię wczesne poświadczenie odczytów, które klasyfikuję odpowiednio jako „diagnostyczne” i „całkiem dobre”, oznaczonych przez +++ i ++-- (25% lub mniej).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jc w:val="left"/>
            </w:pPr>
            <w:r>
              <w:rPr>
                <w:bCs/>
                <w:b/>
              </w:rPr>
              <w:t xml:space="preserve">Łączna liczba wystąpień każdego świadka</w:t>
            </w:r>
          </w:p>
        </w:tc>
      </w:tr>
      <w:tr>
        <w:tc>
          <w:tcPr/>
          <w:p>
            <w:pPr>
              <w:pStyle w:val="Compact"/>
              <w:jc w:val="left"/>
            </w:pPr>
            <w:r>
              <w:t xml:space="preserve">P</w:t>
            </w:r>
            <w:r>
              <w:rPr>
                <w:vertAlign w:val="superscript"/>
              </w:rPr>
              <w:t xml:space="preserve">45</w:t>
            </w:r>
            <w:r>
              <w:t xml:space="preserve"> </w:t>
            </w:r>
            <w:r>
              <w:t xml:space="preserve">— 1</w:t>
            </w:r>
          </w:p>
        </w:tc>
        <w:tc>
          <w:tcPr/>
          <w:p>
            <w:pPr>
              <w:pStyle w:val="Compact"/>
              <w:jc w:val="left"/>
            </w:pPr>
            <w:r>
              <w:t xml:space="preserve">P</w:t>
            </w:r>
            <w:r>
              <w:rPr>
                <w:vertAlign w:val="superscript"/>
              </w:rPr>
              <w:t xml:space="preserve">53</w:t>
            </w:r>
            <w:r>
              <w:t xml:space="preserve">A, C — 1</w:t>
            </w:r>
          </w:p>
        </w:tc>
        <w:tc>
          <w:tcPr/>
          <w:p>
            <w:pPr>
              <w:pStyle w:val="Compact"/>
              <w:jc w:val="left"/>
            </w:pPr>
            <w:r>
              <w:t xml:space="preserve">P</w:t>
            </w:r>
            <w:r>
              <w:rPr>
                <w:vertAlign w:val="superscript"/>
              </w:rPr>
              <w:t xml:space="preserve">8</w:t>
            </w:r>
            <w:r>
              <w:t xml:space="preserve"> </w:t>
            </w:r>
            <w:r>
              <w:t xml:space="preserve">— 1</w:t>
            </w:r>
          </w:p>
        </w:tc>
      </w:tr>
      <w:tr>
        <w:tc>
          <w:tcPr/>
          <w:p>
            <w:pPr>
              <w:pStyle w:val="Compact"/>
              <w:jc w:val="left"/>
            </w:pPr>
            <w:r>
              <w:t xml:space="preserve">ℵ — 2</w:t>
            </w:r>
          </w:p>
        </w:tc>
        <w:tc>
          <w:tcPr/>
          <w:p>
            <w:pPr>
              <w:pStyle w:val="Compact"/>
              <w:jc w:val="left"/>
            </w:pPr>
            <w:r>
              <w:t xml:space="preserve">ℵ, A, B — 7</w:t>
            </w:r>
          </w:p>
        </w:tc>
        <w:tc>
          <w:tcPr/>
          <w:p>
            <w:pPr>
              <w:pStyle w:val="Compact"/>
              <w:jc w:val="left"/>
            </w:pPr>
            <w:r>
              <w:t xml:space="preserve">P</w:t>
            </w:r>
            <w:r>
              <w:rPr>
                <w:vertAlign w:val="superscript"/>
              </w:rPr>
              <w:t xml:space="preserve">45</w:t>
            </w:r>
            <w:r>
              <w:t xml:space="preserve"> </w:t>
            </w:r>
            <w:r>
              <w:t xml:space="preserve">— 5</w:t>
            </w:r>
          </w:p>
        </w:tc>
      </w:tr>
      <w:tr>
        <w:tc>
          <w:tcPr/>
          <w:p>
            <w:pPr>
              <w:pStyle w:val="Compact"/>
              <w:jc w:val="left"/>
            </w:pPr>
            <w:r>
              <w:t xml:space="preserve">A — 9</w:t>
            </w:r>
          </w:p>
        </w:tc>
        <w:tc>
          <w:tcPr/>
          <w:p>
            <w:pPr>
              <w:pStyle w:val="Compact"/>
              <w:jc w:val="left"/>
            </w:pPr>
            <w:r>
              <w:t xml:space="preserve">ℵ, A, D — 1</w:t>
            </w:r>
          </w:p>
        </w:tc>
        <w:tc>
          <w:tcPr/>
          <w:p>
            <w:pPr>
              <w:pStyle w:val="Compact"/>
              <w:jc w:val="left"/>
            </w:pPr>
            <w:r>
              <w:t xml:space="preserve">P</w:t>
            </w:r>
            <w:r>
              <w:rPr>
                <w:vertAlign w:val="superscript"/>
              </w:rPr>
              <w:t xml:space="preserve">48</w:t>
            </w:r>
            <w:r>
              <w:t xml:space="preserve"> </w:t>
            </w:r>
            <w:r>
              <w:t xml:space="preserve">— 1</w:t>
            </w:r>
          </w:p>
        </w:tc>
      </w:tr>
      <w:tr>
        <w:tc>
          <w:tcPr/>
          <w:p>
            <w:pPr>
              <w:pStyle w:val="Compact"/>
              <w:jc w:val="left"/>
            </w:pPr>
            <w:r>
              <w:t xml:space="preserve">B — 4</w:t>
            </w:r>
          </w:p>
        </w:tc>
        <w:tc>
          <w:tcPr/>
          <w:p>
            <w:pPr>
              <w:pStyle w:val="Compact"/>
              <w:jc w:val="left"/>
            </w:pPr>
            <w:r>
              <w:t xml:space="preserve">A, B, C — 1</w:t>
            </w:r>
          </w:p>
        </w:tc>
        <w:tc>
          <w:tcPr/>
          <w:p>
            <w:pPr>
              <w:pStyle w:val="Compact"/>
              <w:jc w:val="left"/>
            </w:pPr>
            <w:r>
              <w:t xml:space="preserve">P</w:t>
            </w:r>
            <w:r>
              <w:rPr>
                <w:vertAlign w:val="superscript"/>
              </w:rPr>
              <w:t xml:space="preserve">53</w:t>
            </w:r>
            <w:r>
              <w:t xml:space="preserve"> </w:t>
            </w:r>
            <w:r>
              <w:t xml:space="preserve">— 1</w:t>
            </w:r>
          </w:p>
        </w:tc>
      </w:tr>
      <w:tr>
        <w:tc>
          <w:tcPr/>
          <w:p>
            <w:pPr>
              <w:pStyle w:val="Compact"/>
              <w:jc w:val="left"/>
            </w:pPr>
            <w:r>
              <w:t xml:space="preserve">C — 5</w:t>
            </w:r>
          </w:p>
        </w:tc>
        <w:tc>
          <w:tcPr/>
          <w:p>
            <w:pPr>
              <w:pStyle w:val="Compact"/>
              <w:jc w:val="left"/>
            </w:pPr>
            <w:r>
              <w:t xml:space="preserve">A, C, D — 1</w:t>
            </w:r>
          </w:p>
        </w:tc>
        <w:tc>
          <w:tcPr/>
          <w:p>
            <w:pPr>
              <w:pStyle w:val="Compact"/>
              <w:jc w:val="left"/>
            </w:pPr>
            <w:r>
              <w:t xml:space="preserve">ℵ — 29</w:t>
            </w:r>
          </w:p>
        </w:tc>
      </w:tr>
      <w:tr>
        <w:tc>
          <w:tcPr/>
          <w:p>
            <w:pPr>
              <w:pStyle w:val="Compact"/>
              <w:jc w:val="left"/>
            </w:pPr>
            <w:r>
              <w:t xml:space="preserve">D — 5</w:t>
            </w:r>
          </w:p>
        </w:tc>
        <w:tc>
          <w:tcPr/>
          <w:p>
            <w:pPr>
              <w:pStyle w:val="Compact"/>
              <w:jc w:val="left"/>
            </w:pPr>
            <w:r>
              <w:t xml:space="preserve">P</w:t>
            </w:r>
            <w:r>
              <w:rPr>
                <w:vertAlign w:val="superscript"/>
              </w:rPr>
              <w:t xml:space="preserve">45</w:t>
            </w:r>
            <w:r>
              <w:t xml:space="preserve">ℵ, A, B — 1</w:t>
            </w:r>
          </w:p>
        </w:tc>
        <w:tc>
          <w:tcPr/>
          <w:p>
            <w:pPr>
              <w:pStyle w:val="Compact"/>
              <w:jc w:val="left"/>
            </w:pPr>
            <w:r>
              <w:t xml:space="preserve">A — 42</w:t>
            </w:r>
          </w:p>
        </w:tc>
      </w:tr>
      <w:tr>
        <w:tc>
          <w:tcPr/>
          <w:p>
            <w:pPr>
              <w:pStyle w:val="Compact"/>
              <w:jc w:val="left"/>
            </w:pPr>
            <w:r>
              <w:t xml:space="preserve">P</w:t>
            </w:r>
            <w:r>
              <w:rPr>
                <w:vertAlign w:val="superscript"/>
              </w:rPr>
              <w:t xml:space="preserve">45</w:t>
            </w:r>
            <w:r>
              <w:t xml:space="preserve">A — 1</w:t>
            </w:r>
          </w:p>
        </w:tc>
        <w:tc>
          <w:tcPr/>
          <w:p>
            <w:pPr>
              <w:pStyle w:val="Compact"/>
              <w:jc w:val="left"/>
            </w:pPr>
            <w:r>
              <w:t xml:space="preserve">ℵ, A, B, C — 8</w:t>
            </w:r>
          </w:p>
        </w:tc>
        <w:tc>
          <w:tcPr/>
          <w:p>
            <w:pPr>
              <w:pStyle w:val="Compact"/>
              <w:jc w:val="left"/>
            </w:pPr>
            <w:r>
              <w:t xml:space="preserve">B — 33</w:t>
            </w:r>
          </w:p>
        </w:tc>
      </w:tr>
      <w:tr>
        <w:tc>
          <w:tcPr/>
          <w:p>
            <w:pPr>
              <w:pStyle w:val="Compact"/>
              <w:jc w:val="left"/>
            </w:pPr>
            <w:r>
              <w:t xml:space="preserve">ℵ, A — 2</w:t>
            </w:r>
          </w:p>
        </w:tc>
        <w:tc>
          <w:tcPr/>
          <w:p>
            <w:pPr>
              <w:pStyle w:val="Compact"/>
              <w:jc w:val="left"/>
            </w:pPr>
            <w:r>
              <w:t xml:space="preserve">ℵ, A, B, D — 2</w:t>
            </w:r>
          </w:p>
        </w:tc>
        <w:tc>
          <w:tcPr/>
          <w:p>
            <w:pPr>
              <w:pStyle w:val="Compact"/>
              <w:jc w:val="left"/>
            </w:pPr>
            <w:r>
              <w:t xml:space="preserve">C — 20</w:t>
            </w:r>
          </w:p>
        </w:tc>
      </w:tr>
      <w:tr>
        <w:tc>
          <w:tcPr/>
          <w:p>
            <w:pPr>
              <w:pStyle w:val="Compact"/>
              <w:jc w:val="left"/>
            </w:pPr>
            <w:r>
              <w:t xml:space="preserve">ℵ, B — 1</w:t>
            </w:r>
          </w:p>
        </w:tc>
        <w:tc>
          <w:tcPr/>
          <w:p>
            <w:pPr>
              <w:pStyle w:val="Compact"/>
              <w:jc w:val="left"/>
            </w:pPr>
            <w:r>
              <w:t xml:space="preserve">A, B, C, D — 1</w:t>
            </w:r>
          </w:p>
        </w:tc>
        <w:tc>
          <w:tcPr/>
          <w:p>
            <w:pPr>
              <w:pStyle w:val="Compact"/>
              <w:jc w:val="left"/>
            </w:pPr>
            <w:r>
              <w:t xml:space="preserve">D — 16</w:t>
            </w:r>
          </w:p>
        </w:tc>
      </w:tr>
      <w:tr>
        <w:tc>
          <w:tcPr/>
          <w:p>
            <w:pPr>
              <w:pStyle w:val="Compact"/>
              <w:jc w:val="left"/>
            </w:pPr>
            <w:r>
              <w:t xml:space="preserve">A, D — 1</w:t>
            </w:r>
          </w:p>
        </w:tc>
        <w:tc>
          <w:tcPr/>
          <w:p>
            <w:pPr>
              <w:pStyle w:val="Compact"/>
              <w:jc w:val="left"/>
            </w:pPr>
            <w:r>
              <w:t xml:space="preserve">P</w:t>
            </w:r>
            <w:r>
              <w:rPr>
                <w:vertAlign w:val="superscript"/>
              </w:rPr>
              <w:t xml:space="preserve">8</w:t>
            </w:r>
            <w:r>
              <w:t xml:space="preserve">ℵ, A, B, D — 1</w:t>
            </w:r>
          </w:p>
        </w:tc>
        <w:tc>
          <w:tcPr/>
          <w:p>
            <w:pPr>
              <w:pStyle w:val="Compact"/>
              <w:jc w:val="left"/>
            </w:pPr>
            <w:r>
              <w:t xml:space="preserve">0165 — 1</w:t>
            </w:r>
          </w:p>
        </w:tc>
      </w:tr>
      <w:tr>
        <w:tc>
          <w:tcPr/>
          <w:p>
            <w:pPr>
              <w:pStyle w:val="Compact"/>
              <w:jc w:val="left"/>
            </w:pPr>
            <w:r>
              <w:t xml:space="preserve">A, 0165 — 1</w:t>
            </w:r>
          </w:p>
        </w:tc>
        <w:tc>
          <w:tcPr/>
          <w:p>
            <w:pPr>
              <w:pStyle w:val="Compact"/>
              <w:jc w:val="left"/>
            </w:pPr>
            <w:r>
              <w:t xml:space="preserve">P</w:t>
            </w:r>
            <w:r>
              <w:rPr>
                <w:vertAlign w:val="superscript"/>
              </w:rPr>
              <w:t xml:space="preserve">45</w:t>
            </w:r>
            <w:r>
              <w:t xml:space="preserve">ℵ, A, B, C — 1</w:t>
            </w:r>
          </w:p>
        </w:tc>
        <w:tc>
          <w:tcPr/>
          <w:p>
            <w:pPr>
              <w:pStyle w:val="Compact"/>
            </w:pPr>
          </w:p>
        </w:tc>
      </w:tr>
      <w:tr>
        <w:tc>
          <w:tcPr/>
          <w:p>
            <w:pPr>
              <w:pStyle w:val="Compact"/>
              <w:jc w:val="left"/>
            </w:pPr>
            <w:r>
              <w:t xml:space="preserve">B, D — 2</w:t>
            </w:r>
          </w:p>
        </w:tc>
        <w:tc>
          <w:tcPr/>
          <w:p>
            <w:pPr>
              <w:pStyle w:val="Compact"/>
              <w:jc w:val="left"/>
            </w:pPr>
            <w:r>
              <w:t xml:space="preserve">P</w:t>
            </w:r>
            <w:r>
              <w:rPr>
                <w:vertAlign w:val="superscript"/>
              </w:rPr>
              <w:t xml:space="preserve">48</w:t>
            </w:r>
            <w:r>
              <w:t xml:space="preserve">ℵ, A, B, C — 1</w:t>
            </w:r>
          </w:p>
        </w:tc>
        <w:tc>
          <w:tcPr/>
          <w:p>
            <w:pPr>
              <w:pStyle w:val="Compact"/>
            </w:pPr>
          </w:p>
        </w:tc>
      </w:tr>
      <w:tr>
        <w:tc>
          <w:tcPr/>
          <w:p>
            <w:pPr>
              <w:pStyle w:val="Compact"/>
              <w:jc w:val="left"/>
            </w:pPr>
            <w:r>
              <w:t xml:space="preserve">P</w:t>
            </w:r>
            <w:r>
              <w:rPr>
                <w:vertAlign w:val="superscript"/>
              </w:rPr>
              <w:t xml:space="preserve">45</w:t>
            </w:r>
            <w:r>
              <w:t xml:space="preserve">A, B — 1</w:t>
            </w:r>
          </w:p>
        </w:tc>
        <w:tc>
          <w:tcPr/>
          <w:p>
            <w:pPr>
              <w:pStyle w:val="Compact"/>
              <w:jc w:val="left"/>
            </w:pPr>
            <w:r>
              <w:t xml:space="preserve">ℵ, A, B, C, D — 2</w:t>
            </w:r>
          </w:p>
        </w:tc>
        <w:tc>
          <w:tcPr/>
          <w:p>
            <w:pPr>
              <w:pStyle w:val="Compact"/>
            </w:pPr>
          </w:p>
        </w:tc>
      </w:tr>
    </w:tbl>
    <w:p>
      <w:pPr>
        <w:pStyle w:val="BodyText"/>
      </w:pPr>
      <w:r>
        <w:t xml:space="preserve">Zauważ poświadczenie ze strony trzech wielkich kodeksów „aleksandryjskich”. Jak mogłyby wspierać coś wytworzonego w XII wieku? Powiem to ponownie: jak manuskrypty z IV wieku mogłyby wspierać coś, co nie istniało aż do XII wieku? Spośród łącznie 131 zestawów</w:t>
      </w:r>
      <w:r>
        <w:t xml:space="preserve"> </w:t>
      </w:r>
      <w:r>
        <w:rPr>
          <w:bCs/>
          <w:b/>
        </w:rPr>
        <w:t xml:space="preserve">f</w:t>
      </w:r>
      <w:r>
        <w:rPr>
          <w:vertAlign w:val="superscript"/>
          <w:bCs/>
          <w:b/>
        </w:rPr>
        <w:t xml:space="preserve">35</w:t>
      </w:r>
      <w:r>
        <w:t xml:space="preserve"> </w:t>
      </w:r>
      <w:r>
        <w:t xml:space="preserve">występuje sama 68 razy (52%), a 63 razy ma pewne wczesne poświadczenie (48%). Także tutaj</w:t>
      </w:r>
      <w:r>
        <w:t xml:space="preserve"> </w:t>
      </w:r>
      <w:r>
        <w:rPr>
          <w:bCs/>
          <w:b/>
        </w:rPr>
        <w:t xml:space="preserve">f</w:t>
      </w:r>
      <w:r>
        <w:rPr>
          <w:vertAlign w:val="superscript"/>
          <w:bCs/>
          <w:b/>
        </w:rPr>
        <w:t xml:space="preserve">35</w:t>
      </w:r>
      <w:r>
        <w:t xml:space="preserve"> </w:t>
      </w:r>
      <w:r>
        <w:t xml:space="preserve">jest niezależna od linii przekazu reprezentowanych przez uwzględnione przeze mnie wczesne manuskrypty, nie istnieje więc żaden wzorzec. Skoro nie istnieje wzorzec, nie istnieje zależność, a zatem</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musi być starożytny i sięgać co najmniej IV wieku. Skoro nie istnieje wzorzec ani zależność, nie można twierdzić, że starożytne są jedynie poszczególne odczyty. Powtarzam: dowody wskazują, że niemożliwe jest, aby</w:t>
      </w:r>
      <w:r>
        <w:t xml:space="preserve"> </w:t>
      </w:r>
      <w:r>
        <w:rPr>
          <w:bCs/>
          <w:b/>
        </w:rPr>
        <w:t xml:space="preserve">f</w:t>
      </w:r>
      <w:r>
        <w:rPr>
          <w:vertAlign w:val="superscript"/>
          <w:bCs/>
          <w:b/>
        </w:rPr>
        <w:t xml:space="preserve">35</w:t>
      </w:r>
      <w:r>
        <w:t xml:space="preserve"> </w:t>
      </w:r>
      <w:r>
        <w:t xml:space="preserve">była oparta na masie bizantyjskiej. Każdy, kto nadal tak twierdzi, jest w najlepszym razie niedoinformowany.</w:t>
      </w:r>
      <w:r>
        <w:t xml:space="preserve"> </w:t>
      </w:r>
      <w:r>
        <w:rPr>
          <w:bCs/>
          <w:b/>
        </w:rPr>
        <w:t xml:space="preserve">K</w:t>
      </w:r>
      <w:r>
        <w:rPr>
          <w:vertAlign w:val="superscript"/>
          <w:bCs/>
          <w:b/>
        </w:rPr>
        <w:t xml:space="preserve">r</w:t>
      </w:r>
      <w:r>
        <w:t xml:space="preserve"> </w:t>
      </w:r>
      <w:r>
        <w:t xml:space="preserve">von Sodena należy wycofać i zastąpić przez</w:t>
      </w:r>
      <w:r>
        <w:t xml:space="preserve"> </w:t>
      </w:r>
      <w:r>
        <w:rPr>
          <w:bCs/>
          <w:b/>
        </w:rPr>
        <w:t xml:space="preserve">f</w:t>
      </w:r>
      <w:r>
        <w:rPr>
          <w:vertAlign w:val="superscript"/>
          <w:bCs/>
          <w:b/>
        </w:rPr>
        <w:t xml:space="preserve">35</w:t>
      </w:r>
      <w:r>
        <w:t xml:space="preserve"> </w:t>
      </w:r>
      <w:r>
        <w:t xml:space="preserve">albo</w:t>
      </w:r>
      <w:r>
        <w:t xml:space="preserve"> </w:t>
      </w:r>
      <w:r>
        <w:rPr>
          <w:bCs/>
          <w:b/>
        </w:rPr>
        <w:t xml:space="preserve">f</w:t>
      </w:r>
      <w:r>
        <w:rPr>
          <w:vertAlign w:val="superscript"/>
          <w:bCs/>
          <w:b/>
        </w:rPr>
        <w:t xml:space="preserve">18</w:t>
      </w:r>
      <w:r>
        <w:t xml:space="preserve">.</w:t>
      </w:r>
    </w:p>
    <w:bookmarkEnd w:id="242"/>
    <w:bookmarkEnd w:id="243"/>
    <w:bookmarkStart w:id="256" w:name="Xe17f905824097e298a0800dc5761a07bcbdc942"/>
    <w:p>
      <w:pPr>
        <w:pStyle w:val="Heading2"/>
      </w:pPr>
      <w:r>
        <w:t xml:space="preserve">Precz z kaczkami dziennikarskimi!</w:t>
      </w:r>
      <w:r>
        <w:rPr>
          <w:rStyle w:val="FootnoteReference"/>
        </w:rPr>
        <w:footnoteReference w:id="244"/>
      </w:r>
    </w:p>
    <w:p>
      <w:pPr>
        <w:pStyle w:val="BodyText"/>
      </w:pPr>
      <w:r>
        <w:t xml:space="preserve">Dawno, dawno temu pewien starszy profesor greki w pewnym seminarium teologicznym przesłał mi osobistą wiadomość, w której stwierdził: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Następnie inny profesor greki przesłał mi kolejną osobistą wiadomość: „Wszystko to oparte, ze wszystkich możliwych rzeczy, na nurcie</w:t>
      </w:r>
      <w:r>
        <w:t xml:space="preserve"> </w:t>
      </w:r>
      <w:r>
        <w:rPr>
          <w:bCs/>
          <w:b/>
        </w:rPr>
        <w:t xml:space="preserve">K</w:t>
      </w:r>
      <w:r>
        <w:rPr>
          <w:vertAlign w:val="superscript"/>
          <w:bCs/>
          <w:b/>
        </w:rPr>
        <w:t xml:space="preserve">r</w:t>
      </w:r>
      <w:r>
        <w:t xml:space="preserve">? Krytycy tekstu, którzy pracowali nad tym nurtem, wszyscy wcześniej mówili, że był on najstarszy (</w:t>
      </w:r>
      <w:r>
        <w:rPr>
          <w:iCs/>
          <w:i/>
        </w:rPr>
        <w:t xml:space="preserve">sic</w:t>
      </w:r>
      <w:r>
        <w:t xml:space="preserve">, przypuszczalnie miał na myśli „najpóźniejszy”), ale teraz twierdzi pan, że doskonale reprezentuje autograf? Czy istnieją manuskrypty</w:t>
      </w:r>
      <w:r>
        <w:t xml:space="preserve"> </w:t>
      </w:r>
      <w:r>
        <w:rPr>
          <w:bCs/>
          <w:b/>
        </w:rPr>
        <w:t xml:space="preserve">K</w:t>
      </w:r>
      <w:r>
        <w:rPr>
          <w:vertAlign w:val="superscript"/>
          <w:bCs/>
          <w:b/>
        </w:rPr>
        <w:t xml:space="preserve">r</w:t>
      </w:r>
      <w:r>
        <w:t xml:space="preserve"> </w:t>
      </w:r>
      <w:r>
        <w:t xml:space="preserve">sprzed X-XI wieku?” (Obaj zacytowani wyżej mężczyźni mają doktorat z krytyki tekstu Nowego Testamentu i chciałoby się sądzić, że sprawdzili dowody).</w:t>
      </w:r>
    </w:p>
    <w:p>
      <w:pPr>
        <w:pStyle w:val="BodyText"/>
      </w:pPr>
      <w:r>
        <w:t xml:space="preserve">Rozważ następującą wypowiedź Kirsoppa Lake’a:</w:t>
      </w:r>
    </w:p>
    <w:p>
      <w:pPr>
        <w:pStyle w:val="BlockText"/>
      </w:pPr>
      <w:r>
        <w:t xml:space="preserve">Autorzy piszący o tekście Nowego Testamentu zazwyczaj przepisują od siebie nawzajem stwierdzenie, że Chryzostom posługiwał się tekstem bizantyjskim lub antiocheńskim. Gdy jednak tylko podejmie się jakiekolwiek badanie, nawet na podstawie drukowanego tekstu jego dzieł staje się oczywiste, że w cytowanym przez niego tekście występuje wiele istotnych wariantów i że najwyraźniej nie był on identyczny z tekstem znajdującym się w manuskryptach tekstu bizantyjskiego.</w:t>
      </w:r>
      <w:r>
        <w:rPr>
          <w:rStyle w:val="FootnoteReference"/>
        </w:rPr>
        <w:footnoteReference w:id="245"/>
      </w:r>
    </w:p>
    <w:p>
      <w:pPr>
        <w:pStyle w:val="FirstParagraph"/>
      </w:pPr>
      <w:r>
        <w:t xml:space="preserve">Spędziwszy samemu od czasu do czasu rok w tajemnych korytarzach środowiska akademickiego, zauważyłem, że bezkrytyczne powtarzanie rzeczy, które „wszyscy wiedzą”, jest naprawdę dość powszechne niemal w każdej dyscyplinie. Jak zauważył wyżej Lake, krytyka tekstu Nowego Testamentu nie stanowi wyjątku.</w:t>
      </w:r>
    </w:p>
    <w:p>
      <w:pPr>
        <w:pStyle w:val="BodyText"/>
      </w:pPr>
      <w:r>
        <w:t xml:space="preserve">Przyjmuję, że Hermann von Soden jako pierwszy formalnie zidentyfikował swój</w:t>
      </w:r>
      <w:r>
        <w:t xml:space="preserve"> </w:t>
      </w:r>
      <w:r>
        <w:rPr>
          <w:bCs/>
          <w:b/>
        </w:rPr>
        <w:t xml:space="preserve">K</w:t>
      </w:r>
      <w:r>
        <w:rPr>
          <w:vertAlign w:val="superscript"/>
          <w:bCs/>
          <w:b/>
        </w:rPr>
        <w:t xml:space="preserve">r</w:t>
      </w:r>
      <w:r>
        <w:t xml:space="preserve"> </w:t>
      </w:r>
      <w:r>
        <w:t xml:space="preserve">jako odrębny typ tekstu, przy czym „r” oznaczało „rewizję”, ponieważ uważał go za rewizję opartą na swoim</w:t>
      </w:r>
      <w:r>
        <w:t xml:space="preserve"> </w:t>
      </w:r>
      <w:r>
        <w:rPr>
          <w:bCs/>
          <w:b/>
        </w:rPr>
        <w:t xml:space="preserve">K</w:t>
      </w:r>
      <w:r>
        <w:rPr>
          <w:vertAlign w:val="superscript"/>
          <w:bCs/>
          <w:b/>
        </w:rPr>
        <w:t xml:space="preserve">x</w:t>
      </w:r>
      <w:r>
        <w:t xml:space="preserve">. Otóż z definicji „rewizji” dokonuje konkretna osoba, w konkretnym czasie i w konkretnym miejscu. Rozumiem, że w naszej dyscyplinie „rewizja” i „recenzja” są synonimami. Rozważ: „Tekst syryjski musi być w istocie wynikiem «recenzji» we właściwym znaczeniu tego słowa, dziełem zamierzonej krytyki, przeprowadzonej celowo przez redaktorów, a nie jedynie przez skrybów”.</w:t>
      </w:r>
      <w:r>
        <w:rPr>
          <w:rStyle w:val="FootnoteReference"/>
        </w:rPr>
        <w:footnoteReference w:id="246"/>
      </w:r>
      <w:r>
        <w:t xml:space="preserve"> </w:t>
      </w:r>
      <w:r>
        <w:t xml:space="preserve">Nie mam zwyczaju odwoływać się do Fentona Johna Anthony’ego Horta, ale jego rozumienie „recenzji” jest przypuszczalnie poprawne. Recenzję tworzy określona osoba (lub grupa) w określonym czasie i miejscu. Jeśli ktoś chce postulować lub twierdzić, że dokonano recenzji/rewizji, i robić to odpowiedzialnie, musi wskazać źródło oraz przedstawić pewne dowody.</w:t>
      </w:r>
      <w:r>
        <w:rPr>
          <w:rStyle w:val="FootnoteReference"/>
        </w:rPr>
        <w:footnoteReference w:id="247"/>
      </w:r>
    </w:p>
    <w:p>
      <w:pPr>
        <w:pStyle w:val="BodyText"/>
      </w:pPr>
      <w:r>
        <w:t xml:space="preserve">Na jakiej zatem podstawie von Soden twierdził, że jego</w:t>
      </w:r>
      <w:r>
        <w:t xml:space="preserve"> </w:t>
      </w:r>
      <w:r>
        <w:rPr>
          <w:bCs/>
          <w:b/>
        </w:rPr>
        <w:t xml:space="preserve">K</w:t>
      </w:r>
      <w:r>
        <w:rPr>
          <w:vertAlign w:val="superscript"/>
          <w:bCs/>
          <w:b/>
        </w:rPr>
        <w:t xml:space="preserve">r</w:t>
      </w:r>
      <w:r>
        <w:t xml:space="preserve"> </w:t>
      </w:r>
      <w:r>
        <w:t xml:space="preserve">(który nazywam Rodziną 35) był rewizją jego</w:t>
      </w:r>
      <w:r>
        <w:t xml:space="preserve"> </w:t>
      </w:r>
      <w:r>
        <w:rPr>
          <w:bCs/>
          <w:b/>
        </w:rPr>
        <w:t xml:space="preserve">K</w:t>
      </w:r>
      <w:r>
        <w:rPr>
          <w:vertAlign w:val="superscript"/>
          <w:bCs/>
          <w:b/>
        </w:rPr>
        <w:t xml:space="preserve">x</w:t>
      </w:r>
      <w:r>
        <w:t xml:space="preserve"> </w:t>
      </w:r>
      <w:r>
        <w:t xml:space="preserve">i powstał w XII wieku? Gdyby rzeczywiście zwrócił uwagę na dowody dostępne w jego własnym</w:t>
      </w:r>
      <w:r>
        <w:t xml:space="preserve"> </w:t>
      </w:r>
      <w:r>
        <w:rPr>
          <w:iCs/>
          <w:i/>
        </w:rPr>
        <w:t xml:space="preserve">magnum opus</w:t>
      </w:r>
      <w:r>
        <w:t xml:space="preserve">,</w:t>
      </w:r>
      <w:r>
        <w:t xml:space="preserve"> </w:t>
      </w:r>
      <w:r>
        <w:rPr>
          <w:iCs/>
          <w:i/>
        </w:rPr>
        <w:t xml:space="preserve">Die Schriften des Neuen Testaments</w:t>
      </w:r>
      <w:r>
        <w:t xml:space="preserve"> </w:t>
      </w:r>
      <w:r>
        <w:t xml:space="preserve">(4 tomy, Getynga: Vandenhoeck und Ruprecht, 1911-1913), nie mógłby tego uczynić, przynajmniej nie uczciwie. Czy jednak był uczciwy? Przynajmniej w odniesieniu do Ewangelii Jana 7,53-8,11 (</w:t>
      </w:r>
      <w:r>
        <w:rPr>
          <w:iCs/>
          <w:i/>
        </w:rPr>
        <w:t xml:space="preserve">PA</w:t>
      </w:r>
      <w:r>
        <w:t xml:space="preserve">) sądzę, że nie. Twierdził, że skolacjonował około 900 manuskryptów dla tej perykopy, i na tej podstawie postulował siedem rodzin lub linii przekazu, a nawet odtworzył rzekomą archetypalną formę każdej z nich. Hodges i Farstad uwierzyli mu na słowo i odzwierciedlili jego przedstawienie dowodów w swoim aparacie krytycznym, ja zaś, z braku czegoś lepszego, odzwierciedlam aparat H-F w swoim aparacie (dla tej perykopy), z tym wyjątkiem, że gwarantuję świadectwo</w:t>
      </w:r>
      <w:r>
        <w:t xml:space="preserve"> </w:t>
      </w:r>
      <w:r>
        <w:rPr>
          <w:bCs/>
          <w:b/>
        </w:rPr>
        <w:t xml:space="preserve">M</w:t>
      </w:r>
      <w:r>
        <w:rPr>
          <w:vertAlign w:val="superscript"/>
          <w:bCs/>
          <w:b/>
        </w:rPr>
        <w:t xml:space="preserve">7</w:t>
      </w:r>
      <w:r>
        <w:t xml:space="preserve"> </w:t>
      </w:r>
      <w:r>
        <w:t xml:space="preserve">(mojej Rodziny 35) na podstawie osobistego zbadania kolacjonowań Robinsona, zobacz niżej.</w:t>
      </w:r>
    </w:p>
    <w:p>
      <w:pPr>
        <w:pStyle w:val="BodyText"/>
      </w:pPr>
      <w:r>
        <w:t xml:space="preserve">Jednak kilka lat temu Maurice Robinson przeprowadził pełne kolacjonowanie 1389 manuskryptów zawierających</w:t>
      </w:r>
      <w:r>
        <w:t xml:space="preserve"> </w:t>
      </w:r>
      <w:r>
        <w:rPr>
          <w:iCs/>
          <w:i/>
        </w:rPr>
        <w:t xml:space="preserve">PA</w:t>
      </w:r>
      <w:r>
        <w:t xml:space="preserve">,</w:t>
      </w:r>
      <w:r>
        <w:rPr>
          <w:rStyle w:val="FootnoteReference"/>
        </w:rPr>
        <w:footnoteReference w:id="248"/>
      </w:r>
      <w:r>
        <w:t xml:space="preserve"> </w:t>
      </w:r>
      <w:r>
        <w:t xml:space="preserve">a ja przez dwa miesiące miałem w swoim posiadaniu fotokopię tych kolacjonowań należącą do Williama Pierponta i większość tego czasu spędziłem na ich badaniu. Gdy to robiłem, stało się dla mnie oczywiste, że von Soden „uregulował” dane, arbitralnie „tworząc” rzekomą archetypalną formę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i mają odrębne profile, ale są nieco „grząskie”, z wystarczającym pomieszaniem wewnętrznym, aby wybór formy archetypalnej był arbitralny. W przeciwieństwie do powyższych jego</w:t>
      </w:r>
      <w:r>
        <w:t xml:space="preserve"> </w:t>
      </w:r>
      <w:r>
        <w:rPr>
          <w:bCs/>
          <w:b/>
        </w:rPr>
        <w:t xml:space="preserve">M</w:t>
      </w:r>
      <w:r>
        <w:rPr>
          <w:vertAlign w:val="superscript"/>
          <w:bCs/>
          <w:b/>
        </w:rPr>
        <w:t xml:space="preserve">7</w:t>
      </w:r>
      <w:r>
        <w:t xml:space="preserve"> </w:t>
      </w:r>
      <w:r>
        <w:t xml:space="preserve">(którą nazywam Rodziną 35) ma stabilny, jednoznaczny profil — forma archetypalna jest możliwa do wykazania, ustalona empirycznie.</w:t>
      </w:r>
    </w:p>
    <w:p>
      <w:pPr>
        <w:pStyle w:val="BodyText"/>
      </w:pPr>
      <w:r>
        <w:t xml:space="preserve">Dawno, dawno temu zostałem doprowadzony do przekonania, że praca von Sodena była stosunkowo wiarygodna. Było to ważne, ponieważ jego praca stanowi podstawę zarówno wydania Tekstu Większościowego Hodgesa-Farstada, jak i Robinsona-Pierponta. Kolacjonowania</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249"/>
      </w:r>
      <w:r>
        <w:t xml:space="preserve"> </w:t>
      </w:r>
      <w:r>
        <w:t xml:space="preserve">wykazują jednak obiektywnie, że von Soden nierzadko poważnie mija się z celem. W odniesieniu do potraktowania kodeksu 223 przez von Sodena K.W. Clark napisał: „Ponadto nasze kolacjonowanie ujawniło sześćdziesiąt dwa błędy w 229 odczytach uwzględnionych przez von Sodena”.</w:t>
      </w:r>
      <w:r>
        <w:rPr>
          <w:rStyle w:val="FootnoteReference"/>
        </w:rPr>
        <w:footnoteReference w:id="250"/>
      </w:r>
      <w:r>
        <w:t xml:space="preserve"> </w:t>
      </w:r>
      <w:r>
        <w:t xml:space="preserve">27% błędów (62 ÷ 229) to zdecydowanie zbyt wiele, a to, co jest prawdą o manuskrypcie 223, może być prawdą również o innych manuskryptach. Proszę, zatrzymaj się i pomyśl o tym przez chwilę. 27% błędów nie można przypisać zwykłej nieuwadze ani nawet niedbałości, zwykła nieuwaga nie powinna przekraczać 5%. Naprawdę wygląda to tak, jakby czytelnik był celowo wprowadzany w błąd, a to jest nieuczciwe. H.C. Hoskier nie mylił się całkowicie w swojej ocenie.</w:t>
      </w:r>
    </w:p>
    <w:p>
      <w:pPr>
        <w:pStyle w:val="BodyText"/>
      </w:pPr>
      <w:r>
        <w:t xml:space="preserve">Co więcej, jak</w:t>
      </w:r>
      <w:r>
        <w:t xml:space="preserve"> </w:t>
      </w:r>
      <w:r>
        <w:rPr>
          <w:bCs/>
          <w:b/>
        </w:rPr>
        <w:t xml:space="preserve">K</w:t>
      </w:r>
      <w:r>
        <w:rPr>
          <w:vertAlign w:val="superscript"/>
          <w:bCs/>
          <w:b/>
        </w:rPr>
        <w:t xml:space="preserve">r</w:t>
      </w:r>
      <w:r>
        <w:t xml:space="preserve"> </w:t>
      </w:r>
      <w:r>
        <w:t xml:space="preserve">mógłby być rewizją</w:t>
      </w:r>
      <w:r>
        <w:t xml:space="preserve"> </w:t>
      </w:r>
      <w:r>
        <w:rPr>
          <w:bCs/>
          <w:b/>
        </w:rPr>
        <w:t xml:space="preserve">K</w:t>
      </w:r>
      <w:r>
        <w:rPr>
          <w:vertAlign w:val="superscript"/>
          <w:bCs/>
          <w:b/>
        </w:rPr>
        <w:t xml:space="preserve">x</w:t>
      </w:r>
      <w:r>
        <w:t xml:space="preserve">, skoro</w:t>
      </w:r>
      <w:r>
        <w:t xml:space="preserve"> </w:t>
      </w:r>
      <w:r>
        <w:rPr>
          <w:bCs/>
          <w:b/>
        </w:rPr>
        <w:t xml:space="preserve">K</w:t>
      </w:r>
      <w:r>
        <w:rPr>
          <w:vertAlign w:val="superscript"/>
          <w:bCs/>
          <w:b/>
        </w:rPr>
        <w:t xml:space="preserve">x</w:t>
      </w:r>
      <w:r>
        <w:t xml:space="preserve"> </w:t>
      </w:r>
      <w:r>
        <w:t xml:space="preserve">nawet nie istnieje? Sam Soden doskonale wiedział, że w</w:t>
      </w:r>
      <w:r>
        <w:t xml:space="preserve"> </w:t>
      </w:r>
      <w:r>
        <w:rPr>
          <w:iCs/>
          <w:i/>
        </w:rPr>
        <w:t xml:space="preserve">PA</w:t>
      </w:r>
      <w:r>
        <w:t xml:space="preserve"> </w:t>
      </w:r>
      <w:r>
        <w:t xml:space="preserve">nie ma</w:t>
      </w:r>
      <w:r>
        <w:t xml:space="preserve"> </w:t>
      </w:r>
      <w:r>
        <w:rPr>
          <w:bCs/>
          <w:b/>
        </w:rPr>
        <w:t xml:space="preserve">K</w:t>
      </w:r>
      <w:r>
        <w:rPr>
          <w:vertAlign w:val="superscript"/>
          <w:bCs/>
          <w:b/>
        </w:rPr>
        <w:t xml:space="preserve">x</w:t>
      </w:r>
      <w:r>
        <w:t xml:space="preserve">. Kolacjonowania H.C. Hoskiera dowodzą, że</w:t>
      </w:r>
      <w:r>
        <w:t xml:space="preserve"> </w:t>
      </w:r>
      <w:r>
        <w:rPr>
          <w:bCs/>
          <w:b/>
        </w:rPr>
        <w:t xml:space="preserve">K</w:t>
      </w:r>
      <w:r>
        <w:rPr>
          <w:vertAlign w:val="superscript"/>
          <w:bCs/>
          <w:b/>
        </w:rPr>
        <w:t xml:space="preserve">x</w:t>
      </w:r>
      <w:r>
        <w:t xml:space="preserve"> </w:t>
      </w:r>
      <w:r>
        <w:t xml:space="preserve">z pewnością nie istnieje w Objawieniu Jana. 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przyjrzenie się ich kolacjonowaniom wskazuje, że</w:t>
      </w:r>
      <w:r>
        <w:t xml:space="preserve"> </w:t>
      </w:r>
      <w:r>
        <w:rPr>
          <w:bCs/>
          <w:b/>
        </w:rPr>
        <w:t xml:space="preserve">K</w:t>
      </w:r>
      <w:r>
        <w:rPr>
          <w:vertAlign w:val="superscript"/>
          <w:bCs/>
          <w:b/>
        </w:rPr>
        <w:t xml:space="preserve">x</w:t>
      </w:r>
      <w:r>
        <w:t xml:space="preserve"> </w:t>
      </w:r>
      <w:r>
        <w:t xml:space="preserve">prawdopodobnie nie istnieje nigdzie.</w:t>
      </w:r>
    </w:p>
    <w:p>
      <w:pPr>
        <w:pStyle w:val="BodyText"/>
      </w:pPr>
      <w:r>
        <w:t xml:space="preserve">Weźmy na przykład tomy</w:t>
      </w:r>
      <w:r>
        <w:t xml:space="preserve"> </w:t>
      </w:r>
      <w:r>
        <w:rPr>
          <w:iCs/>
          <w:i/>
        </w:rPr>
        <w:t xml:space="preserve">TuT</w:t>
      </w:r>
      <w:r>
        <w:t xml:space="preserve"> </w:t>
      </w:r>
      <w:r>
        <w:t xml:space="preserve">dotyczące rozdziałów 1-10 Ewangelii Jana. Zbadano w nich łącznie 1763 manuskrypty (dla 153 zestawów wariantów), a wyniki zamieszczono w dwóch tomach. Strony 54-90 (tom 1) zawierają „Grupowania według stopni zgodności”, „zgadzające się częściej ze sobą niż z tekstem większościowym”. Użyto tylko jednego symbolu grupy, właśnie</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kolejni przedstawiciele mają tylko oznaczenie</w:t>
      </w:r>
      <w:r>
        <w:t xml:space="preserve"> </w:t>
      </w:r>
      <w:r>
        <w:rPr>
          <w:bCs/>
          <w:b/>
        </w:rPr>
        <w:t xml:space="preserve">K</w:t>
      </w:r>
      <w:r>
        <w:rPr>
          <w:vertAlign w:val="superscript"/>
          <w:bCs/>
          <w:b/>
        </w:rPr>
        <w:t xml:space="preserve">r</w:t>
      </w:r>
      <w:r>
        <w:t xml:space="preserve">. Spośród 120 ostatnich sześć wykazuje zgodność na poziomie 98%, wszystkie pozostałe na poziomie 99% (74) lub 100% (40). Powiedziałbym, że Rodzina 35 w Ewangeliach ma ponad 250 przedstawicieli, tutejszy ranking opiera się tylko na 153 zestawach wariantów (zobacz jednak, co dzieje się poniżej).</w:t>
      </w:r>
    </w:p>
    <w:p>
      <w:pPr>
        <w:pStyle w:val="BodyText"/>
      </w:pPr>
      <w:r>
        <w:t xml:space="preserve">Grupa, na której czele stoi manuskrypt 18, liczy 120 manuskryptów i jest jedyną, która otrzymuje symbol grupy, będąc zdecydowanie największą. Czy istnieją jednak inne grupy o znaczącej wielkości? Wymienię je teraz w kolejności malejącej, zaczynając od tych, które liczą 40 lub więcej: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2103</w:t>
            </w:r>
          </w:p>
        </w:tc>
        <w:tc>
          <w:tcPr/>
          <w:p>
            <w:pPr>
              <w:pStyle w:val="Compact"/>
              <w:jc w:val="right"/>
            </w:pPr>
            <w:r>
              <w:t xml:space="preserve">52</w:t>
            </w:r>
          </w:p>
        </w:tc>
        <w:tc>
          <w:tcPr/>
          <w:p>
            <w:pPr>
              <w:pStyle w:val="Compact"/>
              <w:jc w:val="left"/>
            </w:pPr>
            <w:r>
              <w:t xml:space="preserve">95% (15), 97% (20), 98% (13), 100% (4)</w:t>
            </w:r>
          </w:p>
        </w:tc>
      </w:tr>
      <w:tr>
        <w:tc>
          <w:tcPr/>
          <w:p>
            <w:pPr>
              <w:pStyle w:val="Compact"/>
              <w:jc w:val="left"/>
            </w:pPr>
            <w:r>
              <w:t xml:space="preserve">318</w:t>
            </w:r>
          </w:p>
        </w:tc>
        <w:tc>
          <w:tcPr/>
          <w:p>
            <w:pPr>
              <w:pStyle w:val="Compact"/>
              <w:jc w:val="right"/>
            </w:pPr>
            <w:r>
              <w:t xml:space="preserve">44</w:t>
            </w:r>
          </w:p>
        </w:tc>
        <w:tc>
          <w:tcPr/>
          <w:p>
            <w:pPr>
              <w:pStyle w:val="Compact"/>
              <w:jc w:val="left"/>
            </w:pPr>
            <w:r>
              <w:t xml:space="preserve">96% (1), 97% (24), 98% (6), 99% (10), 100% (4)</w:t>
            </w:r>
          </w:p>
        </w:tc>
      </w:tr>
      <w:tr>
        <w:tc>
          <w:tcPr/>
          <w:p>
            <w:pPr>
              <w:pStyle w:val="Compact"/>
              <w:jc w:val="left"/>
            </w:pPr>
            <w:r>
              <w:t xml:space="preserve">961</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1576</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1247</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2692</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1058</w:t>
            </w:r>
          </w:p>
        </w:tc>
        <w:tc>
          <w:tcPr/>
          <w:p>
            <w:pPr>
              <w:pStyle w:val="Compact"/>
              <w:jc w:val="right"/>
            </w:pPr>
            <w:r>
              <w:t xml:space="preserve">40</w:t>
            </w:r>
          </w:p>
        </w:tc>
        <w:tc>
          <w:tcPr/>
          <w:p>
            <w:pPr>
              <w:pStyle w:val="Compact"/>
              <w:jc w:val="left"/>
            </w:pPr>
            <w:r>
              <w:t xml:space="preserve">97% (1), 98% (17), 99% (15), 100% (7)</w:t>
            </w:r>
          </w:p>
        </w:tc>
      </w:tr>
      <w:tr>
        <w:tc>
          <w:tcPr/>
          <w:p>
            <w:pPr>
              <w:pStyle w:val="Compact"/>
              <w:jc w:val="left"/>
            </w:pPr>
            <w:r>
              <w:t xml:space="preserve">1328</w:t>
            </w:r>
          </w:p>
        </w:tc>
        <w:tc>
          <w:tcPr/>
          <w:p>
            <w:pPr>
              <w:pStyle w:val="Compact"/>
              <w:jc w:val="right"/>
            </w:pPr>
            <w:r>
              <w:t xml:space="preserve">40</w:t>
            </w:r>
          </w:p>
        </w:tc>
        <w:tc>
          <w:tcPr/>
          <w:p>
            <w:pPr>
              <w:pStyle w:val="Compact"/>
              <w:jc w:val="left"/>
            </w:pPr>
            <w:r>
              <w:t xml:space="preserve">98% (6), 99% (33), 100% (1)</w:t>
            </w:r>
          </w:p>
        </w:tc>
      </w:tr>
      <w:tr>
        <w:tc>
          <w:tcPr/>
          <w:p>
            <w:pPr>
              <w:pStyle w:val="Compact"/>
              <w:jc w:val="left"/>
            </w:pPr>
            <w:r>
              <w:t xml:space="preserve">1618</w:t>
            </w:r>
          </w:p>
        </w:tc>
        <w:tc>
          <w:tcPr/>
          <w:p>
            <w:pPr>
              <w:pStyle w:val="Compact"/>
              <w:jc w:val="right"/>
            </w:pPr>
            <w:r>
              <w:t xml:space="preserve">40</w:t>
            </w:r>
          </w:p>
        </w:tc>
        <w:tc>
          <w:tcPr/>
          <w:p>
            <w:pPr>
              <w:pStyle w:val="Compact"/>
              <w:jc w:val="left"/>
            </w:pPr>
            <w:r>
              <w:t xml:space="preserve">100% (wszystkie)</w:t>
            </w:r>
          </w:p>
        </w:tc>
      </w:tr>
      <w:tr>
        <w:tc>
          <w:tcPr/>
          <w:p>
            <w:pPr>
              <w:pStyle w:val="Compact"/>
              <w:jc w:val="left"/>
            </w:pPr>
            <w:r>
              <w:t xml:space="preserve">2714</w:t>
            </w:r>
          </w:p>
        </w:tc>
        <w:tc>
          <w:tcPr/>
          <w:p>
            <w:pPr>
              <w:pStyle w:val="Compact"/>
              <w:jc w:val="right"/>
            </w:pPr>
            <w:r>
              <w:t xml:space="preserve">40</w:t>
            </w:r>
          </w:p>
        </w:tc>
        <w:tc>
          <w:tcPr/>
          <w:p>
            <w:pPr>
              <w:pStyle w:val="Compact"/>
              <w:jc w:val="left"/>
            </w:pPr>
            <w:r>
              <w:t xml:space="preserve">98% (6), 99% (33), 100% (1)</w:t>
            </w:r>
          </w:p>
        </w:tc>
      </w:tr>
    </w:tbl>
    <w:p>
      <w:pPr>
        <w:pStyle w:val="BodyText"/>
      </w:pPr>
      <w:r>
        <w:t xml:space="preserve">Otóż 961, 1576, 1247, 2692, 1328, 1618 i 2714 wszystkie należą do Rodziny 35 (</w:t>
      </w:r>
      <w:r>
        <w:rPr>
          <w:bCs/>
          <w:b/>
        </w:rPr>
        <w:t xml:space="preserve">K</w:t>
      </w:r>
      <w:r>
        <w:rPr>
          <w:vertAlign w:val="superscript"/>
          <w:bCs/>
          <w:b/>
        </w:rPr>
        <w:t xml:space="preserve">r</w:t>
      </w:r>
      <w:r>
        <w:t xml:space="preserve">), co pozostawia jedynie 2103, 318 i 1058. Gdy patrzymy na kolumnę „spójność”, zauważamy, że grupy 961, 1576, 1247 i 2692 są takie same, a po sprawdzeniu potwierdzamy, że listy manuskryptów są niemal identyczne — możemy więc dodać 40 manuskryptów do 120 już oznaczonych jako</w:t>
      </w:r>
      <w:r>
        <w:t xml:space="preserve"> </w:t>
      </w:r>
      <w:r>
        <w:rPr>
          <w:bCs/>
          <w:b/>
        </w:rPr>
        <w:t xml:space="preserve">K</w:t>
      </w:r>
      <w:r>
        <w:rPr>
          <w:vertAlign w:val="superscript"/>
          <w:bCs/>
          <w:b/>
        </w:rPr>
        <w:t xml:space="preserve">r</w:t>
      </w:r>
      <w:r>
        <w:t xml:space="preserve">. Grupy 1618 i 2714 w dużym stopniu się pokrywają, a 1328 pokrywa się częściowo, możemy więc dodać co najmniej kolejnych 20. Przyjrzyjmy się teraz trzem pozostałym: 2103, 318 i 1058. Pamiętając, że próg dla</w:t>
      </w:r>
      <w:r>
        <w:t xml:space="preserve"> </w:t>
      </w:r>
      <w:r>
        <w:rPr>
          <w:bCs/>
          <w:b/>
        </w:rPr>
        <w:t xml:space="preserve">K</w:t>
      </w:r>
      <w:r>
        <w:rPr>
          <w:vertAlign w:val="superscript"/>
          <w:bCs/>
          <w:b/>
        </w:rPr>
        <w:t xml:space="preserve">r</w:t>
      </w:r>
      <w:r>
        <w:t xml:space="preserve"> </w:t>
      </w:r>
      <w:r>
        <w:t xml:space="preserve">wynosił 98%, zauważamy, że ponad połowa grup 2103 i 318 znajduje się poniżej tego progu, grupy te nie są więc stabilne. 1058 wypada lepiej, ale niemal połowa znajduje się poniżej 99% (wszystkie grupy</w:t>
      </w:r>
      <w:r>
        <w:t xml:space="preserve"> </w:t>
      </w:r>
      <w:r>
        <w:rPr>
          <w:bCs/>
          <w:b/>
        </w:rPr>
        <w:t xml:space="preserve">f</w:t>
      </w:r>
      <w:r>
        <w:rPr>
          <w:vertAlign w:val="superscript"/>
          <w:bCs/>
          <w:b/>
        </w:rPr>
        <w:t xml:space="preserve">35</w:t>
      </w:r>
      <w:r>
        <w:t xml:space="preserve"> </w:t>
      </w:r>
      <w:r>
        <w:t xml:space="preserve">mają przeważnie 99% lub 100%). Istotne może być spostrzeżenie, że manuskrypt 1058 należy prawdopodobnie do obrzeży</w:t>
      </w:r>
      <w:r>
        <w:t xml:space="preserve"> </w:t>
      </w:r>
      <w:r>
        <w:rPr>
          <w:bCs/>
          <w:b/>
        </w:rPr>
        <w:t xml:space="preserve">f</w:t>
      </w:r>
      <w:r>
        <w:rPr>
          <w:vertAlign w:val="superscript"/>
          <w:bCs/>
          <w:b/>
        </w:rPr>
        <w:t xml:space="preserve">35</w:t>
      </w:r>
      <w:r>
        <w:t xml:space="preserve">. Gdzie zatem jest</w:t>
      </w:r>
      <w:r>
        <w:t xml:space="preserve"> </w:t>
      </w:r>
      <w:r>
        <w:rPr>
          <w:bCs/>
          <w:b/>
        </w:rPr>
        <w:t xml:space="preserve">K</w:t>
      </w:r>
      <w:r>
        <w:rPr>
          <w:vertAlign w:val="superscript"/>
          <w:bCs/>
          <w:b/>
        </w:rPr>
        <w:t xml:space="preserve">x</w:t>
      </w:r>
      <w:r>
        <w:t xml:space="preserve">?</w:t>
      </w:r>
    </w:p>
    <w:p>
      <w:pPr>
        <w:pStyle w:val="BodyText"/>
      </w:pPr>
      <w:r>
        <w:t xml:space="preserve">Wymienię teraz grupy liczące od 25 do 39 manuskryptów, w kolejności malejącej: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1638</w:t>
            </w:r>
          </w:p>
        </w:tc>
        <w:tc>
          <w:tcPr/>
          <w:p>
            <w:pPr>
              <w:pStyle w:val="Compact"/>
              <w:jc w:val="right"/>
            </w:pPr>
            <w:r>
              <w:t xml:space="preserve">37</w:t>
            </w:r>
          </w:p>
        </w:tc>
        <w:tc>
          <w:tcPr/>
          <w:p>
            <w:pPr>
              <w:pStyle w:val="Compact"/>
              <w:jc w:val="left"/>
            </w:pPr>
            <w:r>
              <w:t xml:space="preserve">97% (2), 98% (2), 99% (29), 100% (4)</w:t>
            </w:r>
          </w:p>
        </w:tc>
      </w:tr>
      <w:tr>
        <w:tc>
          <w:tcPr/>
          <w:p>
            <w:pPr>
              <w:pStyle w:val="Compact"/>
              <w:jc w:val="left"/>
            </w:pPr>
            <w:r>
              <w:t xml:space="preserve">710</w:t>
            </w:r>
          </w:p>
        </w:tc>
        <w:tc>
          <w:tcPr/>
          <w:p>
            <w:pPr>
              <w:pStyle w:val="Compact"/>
              <w:jc w:val="right"/>
            </w:pPr>
            <w:r>
              <w:t xml:space="preserve">34</w:t>
            </w:r>
          </w:p>
        </w:tc>
        <w:tc>
          <w:tcPr/>
          <w:p>
            <w:pPr>
              <w:pStyle w:val="Compact"/>
              <w:jc w:val="left"/>
            </w:pPr>
            <w:r>
              <w:t xml:space="preserve">94% (18), 95% (1), 96% (13), 98% (2)</w:t>
            </w:r>
          </w:p>
        </w:tc>
      </w:tr>
      <w:tr>
        <w:tc>
          <w:tcPr/>
          <w:p>
            <w:pPr>
              <w:pStyle w:val="Compact"/>
              <w:jc w:val="left"/>
            </w:pPr>
            <w:r>
              <w:t xml:space="preserve">763</w:t>
            </w:r>
          </w:p>
        </w:tc>
        <w:tc>
          <w:tcPr/>
          <w:p>
            <w:pPr>
              <w:pStyle w:val="Compact"/>
              <w:jc w:val="right"/>
            </w:pPr>
            <w:r>
              <w:t xml:space="preserve">34</w:t>
            </w:r>
          </w:p>
        </w:tc>
        <w:tc>
          <w:tcPr/>
          <w:p>
            <w:pPr>
              <w:pStyle w:val="Compact"/>
              <w:jc w:val="left"/>
            </w:pPr>
            <w:r>
              <w:t xml:space="preserve">97% (1), 99% (33)</w:t>
            </w:r>
          </w:p>
        </w:tc>
      </w:tr>
      <w:tr>
        <w:tc>
          <w:tcPr/>
          <w:p>
            <w:pPr>
              <w:pStyle w:val="Compact"/>
              <w:jc w:val="left"/>
            </w:pPr>
            <w:r>
              <w:t xml:space="preserve">1621</w:t>
            </w:r>
          </w:p>
        </w:tc>
        <w:tc>
          <w:tcPr/>
          <w:p>
            <w:pPr>
              <w:pStyle w:val="Compact"/>
              <w:jc w:val="right"/>
            </w:pPr>
            <w:r>
              <w:t xml:space="preserve">32</w:t>
            </w:r>
          </w:p>
        </w:tc>
        <w:tc>
          <w:tcPr/>
          <w:p>
            <w:pPr>
              <w:pStyle w:val="Compact"/>
              <w:jc w:val="left"/>
            </w:pPr>
            <w:r>
              <w:t xml:space="preserve">98% (1), 99% (24), 100% (7)</w:t>
            </w:r>
          </w:p>
        </w:tc>
      </w:tr>
      <w:tr>
        <w:tc>
          <w:tcPr/>
          <w:p>
            <w:pPr>
              <w:pStyle w:val="Compact"/>
              <w:jc w:val="left"/>
            </w:pPr>
            <w:r>
              <w:t xml:space="preserve">1224</w:t>
            </w:r>
          </w:p>
        </w:tc>
        <w:tc>
          <w:tcPr/>
          <w:p>
            <w:pPr>
              <w:pStyle w:val="Compact"/>
              <w:jc w:val="right"/>
            </w:pPr>
            <w:r>
              <w:t xml:space="preserve">29</w:t>
            </w:r>
          </w:p>
        </w:tc>
        <w:tc>
          <w:tcPr/>
          <w:p>
            <w:pPr>
              <w:pStyle w:val="Compact"/>
              <w:jc w:val="left"/>
            </w:pPr>
            <w:r>
              <w:t xml:space="preserve">97% (1), 99% (28)</w:t>
            </w:r>
          </w:p>
        </w:tc>
      </w:tr>
      <w:tr>
        <w:tc>
          <w:tcPr/>
          <w:p>
            <w:pPr>
              <w:pStyle w:val="Compact"/>
              <w:jc w:val="left"/>
            </w:pPr>
            <w:r>
              <w:t xml:space="preserve">66</w:t>
            </w:r>
          </w:p>
        </w:tc>
        <w:tc>
          <w:tcPr/>
          <w:p>
            <w:pPr>
              <w:pStyle w:val="Compact"/>
              <w:jc w:val="right"/>
            </w:pPr>
            <w:r>
              <w:t xml:space="preserve">28</w:t>
            </w:r>
          </w:p>
        </w:tc>
        <w:tc>
          <w:tcPr/>
          <w:p>
            <w:pPr>
              <w:pStyle w:val="Compact"/>
              <w:jc w:val="left"/>
            </w:pPr>
            <w:r>
              <w:t xml:space="preserve">98% (1), 99% (26), 100% (1)</w:t>
            </w:r>
          </w:p>
        </w:tc>
      </w:tr>
      <w:tr>
        <w:tc>
          <w:tcPr/>
          <w:p>
            <w:pPr>
              <w:pStyle w:val="Compact"/>
              <w:jc w:val="left"/>
            </w:pPr>
            <w:r>
              <w:t xml:space="preserve">394</w:t>
            </w:r>
          </w:p>
        </w:tc>
        <w:tc>
          <w:tcPr/>
          <w:p>
            <w:pPr>
              <w:pStyle w:val="Compact"/>
              <w:jc w:val="right"/>
            </w:pPr>
            <w:r>
              <w:t xml:space="preserve">27</w:t>
            </w:r>
          </w:p>
        </w:tc>
        <w:tc>
          <w:tcPr/>
          <w:p>
            <w:pPr>
              <w:pStyle w:val="Compact"/>
              <w:jc w:val="left"/>
            </w:pPr>
            <w:r>
              <w:t xml:space="preserve">99% (wszystkie)</w:t>
            </w:r>
          </w:p>
        </w:tc>
      </w:tr>
      <w:tr>
        <w:tc>
          <w:tcPr/>
          <w:p>
            <w:pPr>
              <w:pStyle w:val="Compact"/>
              <w:jc w:val="left"/>
            </w:pPr>
            <w:r>
              <w:t xml:space="preserve">1551</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1657</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2249</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685</w:t>
            </w:r>
          </w:p>
        </w:tc>
        <w:tc>
          <w:tcPr/>
          <w:p>
            <w:pPr>
              <w:pStyle w:val="Compact"/>
              <w:jc w:val="right"/>
            </w:pPr>
            <w:r>
              <w:t xml:space="preserve">25</w:t>
            </w:r>
          </w:p>
        </w:tc>
        <w:tc>
          <w:tcPr/>
          <w:p>
            <w:pPr>
              <w:pStyle w:val="Compact"/>
              <w:jc w:val="left"/>
            </w:pPr>
            <w:r>
              <w:t xml:space="preserve">99% (wszystkie)</w:t>
            </w:r>
          </w:p>
        </w:tc>
      </w:tr>
      <w:tr>
        <w:tc>
          <w:tcPr/>
          <w:p>
            <w:pPr>
              <w:pStyle w:val="Compact"/>
              <w:jc w:val="left"/>
            </w:pPr>
            <w:r>
              <w:t xml:space="preserve">1158</w:t>
            </w:r>
          </w:p>
        </w:tc>
        <w:tc>
          <w:tcPr/>
          <w:p>
            <w:pPr>
              <w:pStyle w:val="Compact"/>
              <w:jc w:val="right"/>
            </w:pPr>
            <w:r>
              <w:t xml:space="preserve">25</w:t>
            </w:r>
          </w:p>
        </w:tc>
        <w:tc>
          <w:tcPr/>
          <w:p>
            <w:pPr>
              <w:pStyle w:val="Compact"/>
              <w:jc w:val="left"/>
            </w:pPr>
            <w:r>
              <w:t xml:space="preserve">99% (wszystkie)</w:t>
            </w:r>
          </w:p>
        </w:tc>
      </w:tr>
    </w:tbl>
    <w:p>
      <w:pPr>
        <w:pStyle w:val="BodyText"/>
      </w:pPr>
      <w:r>
        <w:t xml:space="preserve">Zgadnij co: wszystkie oprócz 710 należą do Rodziny 35, wskazówkę daje jedno spojrzenie na spójność. Jeśli 710 w ogóle jest prawdziwą grupą, jest dość „grząska”. Ostatnich sześć list jest niemal identycznych, a między pozostałymi występuje znaczne pokrywanie. Mimo to do listy Rodziny 35 można prawdopodobnie dodać jeszcze kilka manuskryptów, a zbadanie pozostałych 300+ grup/manuskryptów (zależnie od miejsca wyznaczenia punktu odcięcia) bez wątpienia doda jeszcze więcej. I tak dalej. Gdzie zatem jest</w:t>
      </w:r>
      <w:r>
        <w:t xml:space="preserve"> </w:t>
      </w:r>
      <w:r>
        <w:rPr>
          <w:bCs/>
          <w:b/>
        </w:rPr>
        <w:t xml:space="preserve">K</w:t>
      </w:r>
      <w:r>
        <w:rPr>
          <w:vertAlign w:val="superscript"/>
          <w:bCs/>
          <w:b/>
        </w:rPr>
        <w:t xml:space="preserve">x</w:t>
      </w:r>
      <w:r>
        <w:t xml:space="preserve">? Drogi czytelniku, pozwól, że szepnę ci do ucha:</w:t>
      </w:r>
      <w:r>
        <w:t xml:space="preserve"> </w:t>
      </w:r>
      <w:r>
        <w:rPr>
          <w:bCs/>
          <w:b/>
        </w:rPr>
        <w:t xml:space="preserve">K</w:t>
      </w:r>
      <w:r>
        <w:rPr>
          <w:vertAlign w:val="superscript"/>
          <w:bCs/>
          <w:b/>
        </w:rPr>
        <w:t xml:space="preserve">x</w:t>
      </w:r>
      <w:r>
        <w:t xml:space="preserve"> </w:t>
      </w:r>
      <w:r>
        <w:t xml:space="preserve">nie istnieje, istniał wyłącznie w wyobraźni von Sodena. Oczywiście</w:t>
      </w:r>
      <w:r>
        <w:t xml:space="preserve"> </w:t>
      </w:r>
      <w:r>
        <w:rPr>
          <w:bCs/>
          <w:b/>
        </w:rPr>
        <w:t xml:space="preserve">K</w:t>
      </w:r>
      <w:r>
        <w:rPr>
          <w:vertAlign w:val="superscript"/>
          <w:bCs/>
          <w:b/>
        </w:rPr>
        <w:t xml:space="preserve">r</w:t>
      </w:r>
      <w:r>
        <w:t xml:space="preserve"> </w:t>
      </w:r>
      <w:r>
        <w:t xml:space="preserve">nie może być rewizją czegoś, co nigdy nie istniało.</w:t>
      </w:r>
      <w:r>
        <w:rPr>
          <w:rStyle w:val="FootnoteReference"/>
        </w:rPr>
        <w:footnoteReference w:id="251"/>
      </w:r>
    </w:p>
    <w:p>
      <w:pPr>
        <w:pStyle w:val="BodyText"/>
      </w:pPr>
      <w:r>
        <w:t xml:space="preserve">Następnie pojawia się kwestia wykazanej niezależności. Z definicji rewizja/recenzja jest zależna od swojego źródła. Jeśli w zachowanych/dostępnych materiałach (które w przypadku Nowego Testamentu są naprawdę dość obfite) nigdzie nie ma możliwego do wykazania źródła, twierdzenie o rewizji/recenzji jest nieuczciwe, nieodpowiedzialne i naganne. Proszę zobaczyć „Czy</w:t>
      </w:r>
      <w:r>
        <w:t xml:space="preserve"> </w:t>
      </w:r>
      <w:r>
        <w:rPr>
          <w:bCs/>
          <w:b/>
        </w:rPr>
        <w:t xml:space="preserve">f</w:t>
      </w:r>
      <w:r>
        <w:rPr>
          <w:vertAlign w:val="superscript"/>
          <w:bCs/>
          <w:b/>
        </w:rPr>
        <w:t xml:space="preserve">35</w:t>
      </w:r>
      <w:r>
        <w:t xml:space="preserve"> </w:t>
      </w:r>
      <w:r>
        <w:t xml:space="preserve">jest starożytna?” w części III.</w:t>
      </w:r>
    </w:p>
    <w:p>
      <w:pPr>
        <w:pStyle w:val="BodyText"/>
      </w:pPr>
      <w:r>
        <w:t xml:space="preserve">Następnie pojawia się kwestia wykazanej starożytności. Kluczowym punktem jest tutaj brak wzorca, bez wzorca nie ma zależności. Zwracam uwagę na poniższe cztery akapity, które tworzą jeden cytat odtworzony z części „Wczesne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BlockText"/>
      </w:pPr>
      <w:r>
        <w:t xml:space="preserve">Każdy z tych dwunastu uncjałów jest wyraźnie niezależny od wszystkich pozostałych. 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lock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lock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lock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p>
      <w:pPr>
        <w:pStyle w:val="FirstParagraph"/>
      </w:pPr>
      <w:r>
        <w:t xml:space="preserve">Dlaczego zatem nie mamy manuskryptów</w:t>
      </w:r>
      <w:r>
        <w:t xml:space="preserve"> </w:t>
      </w:r>
      <w:r>
        <w:rPr>
          <w:bCs/>
          <w:b/>
        </w:rPr>
        <w:t xml:space="preserve">f</w:t>
      </w:r>
      <w:r>
        <w:rPr>
          <w:vertAlign w:val="superscript"/>
          <w:bCs/>
          <w:b/>
        </w:rPr>
        <w:t xml:space="preserve">35</w:t>
      </w:r>
      <w:r>
        <w:t xml:space="preserve"> </w:t>
      </w:r>
      <w:r>
        <w:t xml:space="preserve">sprzed XI wieku? Cóż, jak sądzisz, dlaczego — z nielicznymi wyjątkami — tylko manuskrypty</w:t>
      </w:r>
      <w:r>
        <w:t xml:space="preserve"> </w:t>
      </w:r>
      <w:r>
        <w:rPr>
          <w:bCs/>
          <w:b/>
        </w:rPr>
        <w:t xml:space="preserve">f</w:t>
      </w:r>
      <w:r>
        <w:rPr>
          <w:vertAlign w:val="superscript"/>
          <w:bCs/>
          <w:b/>
        </w:rPr>
        <w:t xml:space="preserve">35</w:t>
      </w:r>
      <w:r>
        <w:t xml:space="preserve"> </w:t>
      </w:r>
      <w:r>
        <w:t xml:space="preserve">mają lekcje zaznaczone na marginesach? Czy mogłoby tak być dlatego, że społeczności greckojęzyczne używały ich podczas nabożeństw i do czytania przy wspólnych posiłkach? A jaki wpływ ma stałe używanie na każdą książkę? Poddaję spokojnemu, chłodnemu i opanowanemu rozważeniu wszystkich zainteresowanych sugestię, że każdy wartościowy manuskrypt byłby stale używany, a zatem nie mógłby przetrwać przez stulecia. Kopie uznawane za niedopuszczalnie słabej jakości pozostawiano na półce, aby zbierały kurz, i to właśnie one przetrwały.</w:t>
      </w:r>
    </w:p>
    <w:p>
      <w:pPr>
        <w:pStyle w:val="BodyText"/>
      </w:pPr>
      <w:r>
        <w:t xml:space="preserve">Jakkolwiek by było, zwracam uwagę na poniższą listę manuskryptów</w:t>
      </w:r>
      <w:r>
        <w:t xml:space="preserve"> </w:t>
      </w:r>
      <w:r>
        <w:rPr>
          <w:bCs/>
          <w:b/>
        </w:rPr>
        <w:t xml:space="preserve">f</w:t>
      </w:r>
      <w:r>
        <w:rPr>
          <w:vertAlign w:val="superscript"/>
          <w:bCs/>
          <w:b/>
        </w:rPr>
        <w:t xml:space="preserve">35</w:t>
      </w:r>
      <w:r>
        <w:t xml:space="preserve"> </w:t>
      </w:r>
      <w:r>
        <w:t xml:space="preserve">z XI wieku:</w:t>
      </w:r>
    </w:p>
    <w:tbl>
      <w:tblPr>
        <w:tblStyle w:val="Table"/>
        <w:tblW w:type="pct" w:w="5000"/>
        <w:tblLook w:firstRow="1" w:lastRow="0" w:firstColumn="0" w:lastColumn="0" w:noHBand="0" w:noVBand="0" w:val="0020"/>
        <w:jc w:val="start"/>
      </w:tblPr>
      <w:tblGrid>
        <w:gridCol w:w="1863"/>
        <w:gridCol w:w="1863"/>
        <w:gridCol w:w="2329"/>
        <w:gridCol w:w="1863"/>
      </w:tblGrid>
      <w:tr>
        <w:trPr>
          <w:tblHeader w:val="true"/>
        </w:trPr>
        <w:tc>
          <w:tcPr/>
          <w:p>
            <w:pPr>
              <w:pStyle w:val="Compact"/>
              <w:jc w:val="right"/>
            </w:pPr>
            <w:r>
              <w:rPr>
                <w:bCs/>
                <w:b/>
              </w:rPr>
              <w:t xml:space="preserve">Manuskrypt</w:t>
            </w:r>
          </w:p>
        </w:tc>
        <w:tc>
          <w:tcPr/>
          <w:p>
            <w:pPr>
              <w:pStyle w:val="Compact"/>
              <w:jc w:val="left"/>
            </w:pPr>
            <w:r>
              <w:t xml:space="preserve">Miejsce</w:t>
            </w:r>
          </w:p>
        </w:tc>
        <w:tc>
          <w:tcPr/>
          <w:p>
            <w:pPr>
              <w:pStyle w:val="Compact"/>
              <w:jc w:val="center"/>
            </w:pPr>
            <w:r>
              <w:t xml:space="preserve">Zawartość</w:t>
            </w:r>
          </w:p>
        </w:tc>
        <w:tc>
          <w:tcPr/>
          <w:p>
            <w:pPr>
              <w:pStyle w:val="Compact"/>
            </w:pPr>
          </w:p>
        </w:tc>
      </w:tr>
      <w:tr>
        <w:tc>
          <w:tcPr/>
          <w:p>
            <w:pPr>
              <w:pStyle w:val="Compact"/>
              <w:jc w:val="right"/>
            </w:pPr>
            <w:r>
              <w:t xml:space="preserve">35</w:t>
            </w:r>
          </w:p>
        </w:tc>
        <w:tc>
          <w:tcPr/>
          <w:p>
            <w:pPr>
              <w:pStyle w:val="Compact"/>
              <w:jc w:val="left"/>
            </w:pPr>
            <w:r>
              <w:t xml:space="preserve">obszar egejski</w:t>
            </w:r>
          </w:p>
        </w:tc>
        <w:tc>
          <w:tcPr/>
          <w:p>
            <w:pPr>
              <w:pStyle w:val="Compact"/>
              <w:jc w:val="center"/>
            </w:pPr>
            <w:r>
              <w:t xml:space="preserve">eapr</w:t>
            </w:r>
          </w:p>
        </w:tc>
        <w:tc>
          <w:tcPr/>
          <w:p>
            <w:pPr>
              <w:pStyle w:val="Compact"/>
            </w:pPr>
          </w:p>
        </w:tc>
      </w:tr>
      <w:tr>
        <w:tc>
          <w:tcPr/>
          <w:p>
            <w:pPr>
              <w:pStyle w:val="Compact"/>
              <w:jc w:val="right"/>
            </w:pPr>
            <w:r>
              <w:t xml:space="preserve">83</w:t>
            </w:r>
          </w:p>
        </w:tc>
        <w:tc>
          <w:tcPr/>
          <w:p>
            <w:pPr>
              <w:pStyle w:val="Compact"/>
              <w:jc w:val="left"/>
            </w:pPr>
            <w:r>
              <w:t xml:space="preserve">Monachium</w:t>
            </w:r>
          </w:p>
        </w:tc>
        <w:tc>
          <w:tcPr/>
          <w:p>
            <w:pPr>
              <w:pStyle w:val="Compact"/>
              <w:jc w:val="center"/>
            </w:pPr>
            <w:r>
              <w:t xml:space="preserve">e</w:t>
            </w:r>
          </w:p>
        </w:tc>
        <w:tc>
          <w:tcPr/>
          <w:p>
            <w:pPr>
              <w:pStyle w:val="Compact"/>
            </w:pPr>
          </w:p>
        </w:tc>
      </w:tr>
      <w:tr>
        <w:tc>
          <w:tcPr/>
          <w:p>
            <w:pPr>
              <w:pStyle w:val="Compact"/>
              <w:jc w:val="right"/>
            </w:pPr>
            <w:r>
              <w:t xml:space="preserve">(125)</w:t>
            </w:r>
          </w:p>
        </w:tc>
        <w:tc>
          <w:tcPr/>
          <w:p>
            <w:pPr>
              <w:pStyle w:val="Compact"/>
              <w:jc w:val="left"/>
            </w:pPr>
            <w:r>
              <w:t xml:space="preserve">Wiedeń</w:t>
            </w:r>
          </w:p>
        </w:tc>
        <w:tc>
          <w:tcPr/>
          <w:p>
            <w:pPr>
              <w:pStyle w:val="Compact"/>
              <w:jc w:val="center"/>
            </w:pPr>
            <w:r>
              <w:t xml:space="preserve">e</w:t>
            </w:r>
          </w:p>
        </w:tc>
        <w:tc>
          <w:tcPr/>
          <w:p>
            <w:pPr>
              <w:pStyle w:val="Compact"/>
            </w:pPr>
          </w:p>
        </w:tc>
      </w:tr>
      <w:tr>
        <w:tc>
          <w:tcPr/>
          <w:p>
            <w:pPr>
              <w:pStyle w:val="Compact"/>
              <w:jc w:val="right"/>
            </w:pPr>
            <w:r>
              <w:t xml:space="preserve">(476)</w:t>
            </w:r>
          </w:p>
        </w:tc>
        <w:tc>
          <w:tcPr/>
          <w:p>
            <w:pPr>
              <w:pStyle w:val="Compact"/>
              <w:jc w:val="left"/>
            </w:pPr>
            <w:r>
              <w:t xml:space="preserve">Londyn</w:t>
            </w:r>
          </w:p>
        </w:tc>
        <w:tc>
          <w:tcPr/>
          <w:p>
            <w:pPr>
              <w:pStyle w:val="Compact"/>
              <w:jc w:val="center"/>
            </w:pPr>
            <w:r>
              <w:t xml:space="preserve">e</w:t>
            </w:r>
          </w:p>
        </w:tc>
        <w:tc>
          <w:tcPr/>
          <w:p>
            <w:pPr>
              <w:pStyle w:val="Compact"/>
              <w:jc w:val="left"/>
            </w:pPr>
            <w:r>
              <w:t xml:space="preserve">(</w:t>
            </w:r>
            <w:r>
              <w:rPr>
                <w:bCs/>
                <w:b/>
              </w:rPr>
              <w:t xml:space="preserve">f</w:t>
            </w:r>
            <w:r>
              <w:rPr>
                <w:vertAlign w:val="superscript"/>
                <w:bCs/>
                <w:b/>
              </w:rPr>
              <w:t xml:space="preserve">35</w:t>
            </w:r>
            <w:r>
              <w:t xml:space="preserve"> </w:t>
            </w:r>
            <w:r>
              <w:t xml:space="preserve">w Ewangelii Jana)</w:t>
            </w:r>
          </w:p>
        </w:tc>
      </w:tr>
      <w:tr>
        <w:tc>
          <w:tcPr/>
          <w:p>
            <w:pPr>
              <w:pStyle w:val="Compact"/>
              <w:jc w:val="right"/>
            </w:pPr>
            <w:r>
              <w:t xml:space="preserve">(516)</w:t>
            </w:r>
          </w:p>
        </w:tc>
        <w:tc>
          <w:tcPr/>
          <w:p>
            <w:pPr>
              <w:pStyle w:val="Compact"/>
              <w:jc w:val="left"/>
            </w:pPr>
            <w:r>
              <w:t xml:space="preserve">Oksford</w:t>
            </w:r>
          </w:p>
        </w:tc>
        <w:tc>
          <w:tcPr/>
          <w:p>
            <w:pPr>
              <w:pStyle w:val="Compact"/>
              <w:jc w:val="center"/>
            </w:pPr>
            <w:r>
              <w:t xml:space="preserve">e</w:t>
            </w:r>
          </w:p>
        </w:tc>
        <w:tc>
          <w:tcPr/>
          <w:p>
            <w:pPr>
              <w:pStyle w:val="Compact"/>
            </w:pPr>
          </w:p>
        </w:tc>
      </w:tr>
      <w:tr>
        <w:tc>
          <w:tcPr/>
          <w:p>
            <w:pPr>
              <w:pStyle w:val="Compact"/>
              <w:jc w:val="right"/>
            </w:pPr>
            <w:r>
              <w:t xml:space="preserve">547</w:t>
            </w:r>
          </w:p>
        </w:tc>
        <w:tc>
          <w:tcPr/>
          <w:p>
            <w:pPr>
              <w:pStyle w:val="Compact"/>
              <w:jc w:val="left"/>
            </w:pPr>
            <w:r>
              <w:t xml:space="preserve">Karakallu</w:t>
            </w:r>
          </w:p>
        </w:tc>
        <w:tc>
          <w:tcPr/>
          <w:p>
            <w:pPr>
              <w:pStyle w:val="Compact"/>
              <w:jc w:val="center"/>
            </w:pPr>
            <w:r>
              <w:t xml:space="preserve">eap</w:t>
            </w:r>
          </w:p>
        </w:tc>
        <w:tc>
          <w:tcPr/>
          <w:p>
            <w:pPr>
              <w:pStyle w:val="Compact"/>
            </w:pPr>
          </w:p>
        </w:tc>
      </w:tr>
      <w:tr>
        <w:tc>
          <w:tcPr/>
          <w:p>
            <w:pPr>
              <w:pStyle w:val="Compact"/>
              <w:jc w:val="right"/>
            </w:pPr>
            <w:r>
              <w:t xml:space="preserve">(585)</w:t>
            </w:r>
          </w:p>
        </w:tc>
        <w:tc>
          <w:tcPr/>
          <w:p>
            <w:pPr>
              <w:pStyle w:val="Compact"/>
              <w:jc w:val="left"/>
            </w:pPr>
            <w:r>
              <w:t xml:space="preserve">Modena</w:t>
            </w:r>
          </w:p>
        </w:tc>
        <w:tc>
          <w:tcPr/>
          <w:p>
            <w:pPr>
              <w:pStyle w:val="Compact"/>
              <w:jc w:val="center"/>
            </w:pPr>
            <w:r>
              <w:t xml:space="preserve">e</w:t>
            </w:r>
          </w:p>
        </w:tc>
        <w:tc>
          <w:tcPr/>
          <w:p>
            <w:pPr>
              <w:pStyle w:val="Compact"/>
            </w:pPr>
          </w:p>
        </w:tc>
      </w:tr>
      <w:tr>
        <w:tc>
          <w:tcPr/>
          <w:p>
            <w:pPr>
              <w:pStyle w:val="Compact"/>
              <w:jc w:val="right"/>
            </w:pPr>
            <w:r>
              <w:t xml:space="preserve">746</w:t>
            </w:r>
          </w:p>
        </w:tc>
        <w:tc>
          <w:tcPr/>
          <w:p>
            <w:pPr>
              <w:pStyle w:val="Compact"/>
              <w:jc w:val="left"/>
            </w:pPr>
            <w:r>
              <w:t xml:space="preserve">Paryż</w:t>
            </w:r>
          </w:p>
        </w:tc>
        <w:tc>
          <w:tcPr/>
          <w:p>
            <w:pPr>
              <w:pStyle w:val="Compact"/>
              <w:jc w:val="center"/>
            </w:pPr>
            <w:r>
              <w:t xml:space="preserve">e</w:t>
            </w:r>
          </w:p>
        </w:tc>
        <w:tc>
          <w:tcPr/>
          <w:p>
            <w:pPr>
              <w:pStyle w:val="Compact"/>
            </w:pPr>
          </w:p>
        </w:tc>
      </w:tr>
      <w:tr>
        <w:tc>
          <w:tcPr/>
          <w:p>
            <w:pPr>
              <w:pStyle w:val="Compact"/>
              <w:jc w:val="right"/>
            </w:pPr>
            <w:r>
              <w:t xml:space="preserve">(1164)</w:t>
            </w:r>
          </w:p>
        </w:tc>
        <w:tc>
          <w:tcPr/>
          <w:p>
            <w:pPr>
              <w:pStyle w:val="Compact"/>
              <w:jc w:val="left"/>
            </w:pPr>
            <w:r>
              <w:t xml:space="preserve">Patmos</w:t>
            </w:r>
          </w:p>
        </w:tc>
        <w:tc>
          <w:tcPr/>
          <w:p>
            <w:pPr>
              <w:pStyle w:val="Compact"/>
              <w:jc w:val="center"/>
            </w:pPr>
            <w:r>
              <w:t xml:space="preserve">e</w:t>
            </w:r>
          </w:p>
        </w:tc>
        <w:tc>
          <w:tcPr/>
          <w:p>
            <w:pPr>
              <w:pStyle w:val="Compact"/>
            </w:pPr>
          </w:p>
        </w:tc>
      </w:tr>
      <w:tr>
        <w:tc>
          <w:tcPr/>
          <w:p>
            <w:pPr>
              <w:pStyle w:val="Compact"/>
              <w:jc w:val="right"/>
            </w:pPr>
            <w:r>
              <w:t xml:space="preserve">1384</w:t>
            </w:r>
          </w:p>
        </w:tc>
        <w:tc>
          <w:tcPr/>
          <w:p>
            <w:pPr>
              <w:pStyle w:val="Compact"/>
              <w:jc w:val="left"/>
            </w:pPr>
            <w:r>
              <w:t xml:space="preserve">Andros</w:t>
            </w:r>
          </w:p>
        </w:tc>
        <w:tc>
          <w:tcPr/>
          <w:p>
            <w:pPr>
              <w:pStyle w:val="Compact"/>
              <w:jc w:val="center"/>
            </w:pPr>
            <w:r>
              <w:t xml:space="preserve">eapr</w:t>
            </w:r>
          </w:p>
        </w:tc>
        <w:tc>
          <w:tcPr/>
          <w:p>
            <w:pPr>
              <w:pStyle w:val="Compact"/>
            </w:pPr>
          </w:p>
        </w:tc>
      </w:tr>
      <w:tr>
        <w:tc>
          <w:tcPr/>
          <w:p>
            <w:pPr>
              <w:pStyle w:val="Compact"/>
              <w:jc w:val="right"/>
            </w:pPr>
            <w:r>
              <w:t xml:space="preserve">1435</w:t>
            </w:r>
          </w:p>
        </w:tc>
        <w:tc>
          <w:tcPr/>
          <w:p>
            <w:pPr>
              <w:pStyle w:val="Compact"/>
              <w:jc w:val="left"/>
            </w:pPr>
            <w:r>
              <w:t xml:space="preserve">Vatopediu</w:t>
            </w:r>
          </w:p>
        </w:tc>
        <w:tc>
          <w:tcPr/>
          <w:p>
            <w:pPr>
              <w:pStyle w:val="Compact"/>
              <w:jc w:val="center"/>
            </w:pPr>
            <w:r>
              <w:t xml:space="preserve">e</w:t>
            </w:r>
          </w:p>
        </w:tc>
        <w:tc>
          <w:tcPr/>
          <w:p>
            <w:pPr>
              <w:pStyle w:val="Compact"/>
            </w:pPr>
          </w:p>
        </w:tc>
      </w:tr>
      <w:tr>
        <w:tc>
          <w:tcPr/>
          <w:p>
            <w:pPr>
              <w:pStyle w:val="Compact"/>
              <w:jc w:val="right"/>
            </w:pPr>
            <w:r>
              <w:t xml:space="preserve">(1483)</w:t>
            </w:r>
          </w:p>
        </w:tc>
        <w:tc>
          <w:tcPr/>
          <w:p>
            <w:pPr>
              <w:pStyle w:val="Compact"/>
              <w:jc w:val="left"/>
            </w:pPr>
            <w:r>
              <w:t xml:space="preserve">M. Lavras</w:t>
            </w:r>
          </w:p>
        </w:tc>
        <w:tc>
          <w:tcPr/>
          <w:p>
            <w:pPr>
              <w:pStyle w:val="Compact"/>
              <w:jc w:val="center"/>
            </w:pPr>
            <w:r>
              <w:t xml:space="preserve">e</w:t>
            </w:r>
          </w:p>
        </w:tc>
        <w:tc>
          <w:tcPr/>
          <w:p>
            <w:pPr>
              <w:pStyle w:val="Compact"/>
            </w:pPr>
          </w:p>
        </w:tc>
      </w:tr>
      <w:tr>
        <w:tc>
          <w:tcPr/>
          <w:p>
            <w:pPr>
              <w:pStyle w:val="Compact"/>
              <w:jc w:val="right"/>
            </w:pPr>
            <w:r>
              <w:t xml:space="preserve">(1841)</w:t>
            </w:r>
          </w:p>
        </w:tc>
        <w:tc>
          <w:tcPr/>
          <w:p>
            <w:pPr>
              <w:pStyle w:val="Compact"/>
              <w:jc w:val="left"/>
            </w:pPr>
            <w:r>
              <w:t xml:space="preserve">Lesbos</w:t>
            </w:r>
          </w:p>
        </w:tc>
        <w:tc>
          <w:tcPr/>
          <w:p>
            <w:pPr>
              <w:pStyle w:val="Compact"/>
              <w:jc w:val="center"/>
            </w:pPr>
            <w:r>
              <w:t xml:space="preserve">apr</w:t>
            </w:r>
          </w:p>
        </w:tc>
        <w:tc>
          <w:tcPr/>
          <w:p>
            <w:pPr>
              <w:pStyle w:val="Compact"/>
              <w:jc w:val="left"/>
            </w:pPr>
            <w:r>
              <w:t xml:space="preserve">(IX/X wiek — być może</w:t>
            </w:r>
            <w:r>
              <w:t xml:space="preserve"> </w:t>
            </w:r>
            <w:r>
              <w:rPr>
                <w:bCs/>
                <w:b/>
              </w:rPr>
              <w:t xml:space="preserve">f</w:t>
            </w:r>
            <w:r>
              <w:rPr>
                <w:vertAlign w:val="superscript"/>
                <w:bCs/>
                <w:b/>
              </w:rPr>
              <w:t xml:space="preserve">35</w:t>
            </w:r>
            <w:r>
              <w:t xml:space="preserve"> </w:t>
            </w:r>
            <w:r>
              <w:t xml:space="preserve">u Pawła)</w:t>
            </w:r>
          </w:p>
        </w:tc>
      </w:tr>
      <w:tr>
        <w:tc>
          <w:tcPr/>
          <w:p>
            <w:pPr>
              <w:pStyle w:val="Compact"/>
              <w:jc w:val="right"/>
            </w:pPr>
            <w:r>
              <w:t xml:space="preserve">1897</w:t>
            </w:r>
          </w:p>
        </w:tc>
        <w:tc>
          <w:tcPr/>
          <w:p>
            <w:pPr>
              <w:pStyle w:val="Compact"/>
              <w:jc w:val="left"/>
            </w:pPr>
            <w:r>
              <w:t xml:space="preserve">Jerozolima</w:t>
            </w:r>
          </w:p>
        </w:tc>
        <w:tc>
          <w:tcPr/>
          <w:p>
            <w:pPr>
              <w:pStyle w:val="Compact"/>
              <w:jc w:val="center"/>
            </w:pPr>
            <w:r>
              <w:t xml:space="preserve">ap</w:t>
            </w:r>
          </w:p>
        </w:tc>
        <w:tc>
          <w:tcPr/>
          <w:p>
            <w:pPr>
              <w:pStyle w:val="Compact"/>
              <w:jc w:val="left"/>
            </w:pPr>
            <w:r>
              <w:t xml:space="preserve">(dokonałem pełnego kolacjonowania i wygląda równie staro)</w:t>
            </w:r>
          </w:p>
        </w:tc>
      </w:tr>
      <w:tr>
        <w:tc>
          <w:tcPr/>
          <w:p>
            <w:pPr>
              <w:pStyle w:val="Compact"/>
              <w:jc w:val="right"/>
            </w:pPr>
            <w:r>
              <w:t xml:space="preserve">2253</w:t>
            </w:r>
          </w:p>
        </w:tc>
        <w:tc>
          <w:tcPr/>
          <w:p>
            <w:pPr>
              <w:pStyle w:val="Compact"/>
              <w:jc w:val="left"/>
            </w:pPr>
            <w:r>
              <w:t xml:space="preserve">Tirana</w:t>
            </w:r>
          </w:p>
        </w:tc>
        <w:tc>
          <w:tcPr/>
          <w:p>
            <w:pPr>
              <w:pStyle w:val="Compact"/>
              <w:jc w:val="center"/>
            </w:pPr>
            <w:r>
              <w:t xml:space="preserve">e</w:t>
            </w:r>
          </w:p>
        </w:tc>
        <w:tc>
          <w:tcPr/>
          <w:p>
            <w:pPr>
              <w:pStyle w:val="Compact"/>
              <w:jc w:val="left"/>
            </w:pPr>
            <w:r>
              <w:t xml:space="preserve">(materiał wprowadzający wskazuje na datę z XI wieku)</w:t>
            </w:r>
          </w:p>
        </w:tc>
      </w:tr>
      <w:tr>
        <w:tc>
          <w:tcPr/>
          <w:p>
            <w:pPr>
              <w:pStyle w:val="Compact"/>
              <w:jc w:val="right"/>
            </w:pPr>
            <w:r>
              <w:t xml:space="preserve">2587</w:t>
            </w:r>
          </w:p>
        </w:tc>
        <w:tc>
          <w:tcPr/>
          <w:p>
            <w:pPr>
              <w:pStyle w:val="Compact"/>
              <w:jc w:val="left"/>
            </w:pPr>
            <w:r>
              <w:t xml:space="preserve">Watykan</w:t>
            </w:r>
          </w:p>
        </w:tc>
        <w:tc>
          <w:tcPr/>
          <w:p>
            <w:pPr>
              <w:pStyle w:val="Compact"/>
              <w:jc w:val="center"/>
            </w:pPr>
            <w:r>
              <w:t xml:space="preserve">ap</w:t>
            </w:r>
          </w:p>
        </w:tc>
        <w:tc>
          <w:tcPr/>
          <w:p>
            <w:pPr>
              <w:pStyle w:val="Compact"/>
            </w:pPr>
          </w:p>
        </w:tc>
      </w:tr>
      <w:tr>
        <w:tc>
          <w:tcPr/>
          <w:p>
            <w:pPr>
              <w:pStyle w:val="Compact"/>
              <w:jc w:val="right"/>
            </w:pPr>
            <w:r>
              <w:t xml:space="preserve">2723</w:t>
            </w:r>
          </w:p>
        </w:tc>
        <w:tc>
          <w:tcPr/>
          <w:p>
            <w:pPr>
              <w:pStyle w:val="Compact"/>
              <w:jc w:val="left"/>
            </w:pPr>
            <w:r>
              <w:t xml:space="preserve">Trikala</w:t>
            </w:r>
          </w:p>
        </w:tc>
        <w:tc>
          <w:tcPr/>
          <w:p>
            <w:pPr>
              <w:pStyle w:val="Compact"/>
              <w:jc w:val="center"/>
            </w:pPr>
            <w:r>
              <w:t xml:space="preserve">apr</w:t>
            </w:r>
          </w:p>
        </w:tc>
        <w:tc>
          <w:tcPr/>
          <w:p>
            <w:pPr>
              <w:pStyle w:val="Compact"/>
            </w:pPr>
          </w:p>
        </w:tc>
      </w:tr>
      <w:tr>
        <w:tc>
          <w:tcPr/>
          <w:p>
            <w:pPr>
              <w:pStyle w:val="Compact"/>
              <w:jc w:val="right"/>
            </w:pPr>
            <w:r>
              <w:t xml:space="preserve">(2817)</w:t>
            </w:r>
          </w:p>
        </w:tc>
        <w:tc>
          <w:tcPr/>
          <w:p>
            <w:pPr>
              <w:pStyle w:val="Compact"/>
              <w:jc w:val="left"/>
            </w:pPr>
            <w:r>
              <w:t xml:space="preserve">Bazylea</w:t>
            </w:r>
          </w:p>
        </w:tc>
        <w:tc>
          <w:tcPr/>
          <w:p>
            <w:pPr>
              <w:pStyle w:val="Compact"/>
              <w:jc w:val="center"/>
            </w:pPr>
            <w:r>
              <w:t xml:space="preserve">p</w:t>
            </w:r>
          </w:p>
        </w:tc>
        <w:tc>
          <w:tcPr/>
          <w:p>
            <w:pPr>
              <w:pStyle w:val="Compact"/>
            </w:pPr>
          </w:p>
        </w:tc>
      </w:tr>
    </w:tbl>
    <w:p>
      <w:pPr>
        <w:pStyle w:val="BodyText"/>
      </w:pPr>
      <w:r>
        <w:t xml:space="preserve">Manuskrypty w nawiasach wydają się marginalnymi członkami rodziny albo są mieszane. Na początek zauważamy, że wymieniono 18 manuskryptów i każdy znajduje się w innym miejscu (oczywiście niektóre z tych, które obecnie znajdują się w Europie Zachodniej, mogły zostać pozyskane z tego samego klasztoru). Co więcej, skoro różnią się wewnętrznie, reprezentują tyle samo egzemplarzy. Ponieważ egzemplarze z konieczności muszą istnieć przed sporządzeniem na ich podstawie jakichkolwiek kopii, a wiele/większość/(wszystkie?) z tych egzemplarzy musiało być z kolei oparte na odrębnych egzemplarzach, nawet gdyby ktoś twierdził, że dokonano recenzji, nie mogła ona powstać później niż w VIII wieku — to po prostu niemożliwe. Oczywiście dlatego, że trzeba uwzględnić rozmieszczenie geograficzne.</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całym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w:t>
      </w:r>
    </w:p>
    <w:p>
      <w:pPr>
        <w:pStyle w:val="BodyText"/>
      </w:pPr>
      <w:r>
        <w:t xml:space="preserve">Jednak masa bizantyjska (</w:t>
      </w:r>
      <w:r>
        <w:rPr>
          <w:bCs/>
          <w:b/>
        </w:rPr>
        <w:t xml:space="preserve">K</w:t>
      </w:r>
      <w:r>
        <w:rPr>
          <w:vertAlign w:val="superscript"/>
          <w:bCs/>
          <w:b/>
        </w:rPr>
        <w:t xml:space="preserve">x</w:t>
      </w:r>
      <w:r>
        <w:t xml:space="preserve">) kontrolowała co najmniej 60% strumienia przekazu (</w:t>
      </w:r>
      <w:r>
        <w:rPr>
          <w:bCs/>
          <w:b/>
        </w:rPr>
        <w:t xml:space="preserve">f</w:t>
      </w:r>
      <w:r>
        <w:rPr>
          <w:vertAlign w:val="superscript"/>
          <w:bCs/>
          <w:b/>
        </w:rPr>
        <w:t xml:space="preserve">35</w:t>
      </w:r>
      <w:r>
        <w:t xml:space="preserve"> </w:t>
      </w:r>
      <w:r>
        <w:t xml:space="preserve">= ok. 18%),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r>
        <w:rPr>
          <w:rStyle w:val="FootnoteReference"/>
        </w:rPr>
        <w:footnoteReference w:id="252"/>
      </w:r>
    </w:p>
    <w:p>
      <w:pPr>
        <w:pStyle w:val="BodyText"/>
      </w:pPr>
      <w:r>
        <w:t xml:space="preserve">Następnie pojawia się milczenie historii. Chociaż już o nim wspomniałem, zasługuje na szczególną uwagę. Pozwólcie, że zapożyczę fragment z mojego omówienia „Recenzji lucjańskiej”.</w:t>
      </w:r>
      <w:r>
        <w:rPr>
          <w:rStyle w:val="FootnoteReference"/>
        </w:rPr>
        <w:footnoteReference w:id="253"/>
      </w:r>
      <w:r>
        <w:t xml:space="preserve"> </w:t>
      </w:r>
      <w:r>
        <w:t xml:space="preserve">John William Burgon udzielił wystarczającej odpowiedzi na ten wymysł.</w:t>
      </w:r>
    </w:p>
    <w:p>
      <w:pPr>
        <w:pStyle w:val="BlockText"/>
      </w:pPr>
      <w:r>
        <w:t xml:space="preserve">Jednak poza rażącym wewnętrznym nieprawdopodobieństwem rzekomej Recenzji — całkowity brak choćby jednej cząstki dowodu, tradycyjnego czy jakiegokolwiek innego, że kiedykolwiek rzeczywiście miała miejsce, należy uznać za zabójczy dla hipotezy, że</w:t>
      </w:r>
      <w:r>
        <w:t xml:space="preserve"> </w:t>
      </w:r>
      <w:r>
        <w:rPr>
          <w:iCs/>
          <w:i/>
        </w:rPr>
        <w:t xml:space="preserve">miała</w:t>
      </w:r>
      <w:r>
        <w:t xml:space="preserve"> </w:t>
      </w:r>
      <w:r>
        <w:t xml:space="preserve">miejsce. Jest po prostu niewiarygodne, by wydarzenie o takiej wadze i znaczeniu nie pozostawiło po sobie żadnego śladu w historii.</w:t>
      </w:r>
      <w:r>
        <w:rPr>
          <w:rStyle w:val="FootnoteReference"/>
        </w:rPr>
        <w:footnoteReference w:id="254"/>
      </w:r>
    </w:p>
    <w:p>
      <w:pPr>
        <w:pStyle w:val="FirstParagraph"/>
      </w:pPr>
      <w:r>
        <w:t xml:space="preserve">Nie wystarczy, by ktoś powiedział, że argument z milczenia niczego nie dowodzi. W sprawie o takiej „wadze i znaczeniu” jest on rozstrzygający. Sir Frederick G. Kenyon również uznał tę część teorii Horta za bezpodstawną.</w:t>
      </w:r>
    </w:p>
    <w:p>
      <w:pPr>
        <w:pStyle w:val="BlockText"/>
      </w:pPr>
      <w:r>
        <w:t xml:space="preserve">Brak dowodów wskazuje w przeciwną stronę, byłoby bowiem bardzo dziwne, gdyby Lucjan rzeczywiście zredagował oba Testamenty, a w późniejszych czasach wspominano jedynie jego pracę nad Starym Testamentem.</w:t>
      </w:r>
      <w:r>
        <w:t xml:space="preserve"> </w:t>
      </w:r>
      <w:r>
        <w:rPr>
          <w:bCs/>
          <w:b/>
        </w:rPr>
        <w:t xml:space="preserve">Ten sam argument przemawia przeciwko każdej teorii celowej rewizji dokonanej w jakimkolwiek określonym momencie</w:t>
      </w:r>
      <w:r>
        <w:t xml:space="preserve"> </w:t>
      </w:r>
      <w:r>
        <w:t xml:space="preserve">(wyróżnienie dodane). Znamy imiona kilku rewizorów Septuaginty i Wulgaty i byłoby dziwne, gdyby wszyscy historycy i pisarze kościelni pominęli odnotowanie lub wspomnienie takiego wydarzenia jak celowa rewizja Nowego Testamentu w jego oryginalnej grece.</w:t>
      </w:r>
      <w:r>
        <w:rPr>
          <w:rStyle w:val="FootnoteReference"/>
        </w:rPr>
        <w:footnoteReference w:id="255"/>
      </w:r>
    </w:p>
    <w:p>
      <w:pPr>
        <w:pStyle w:val="FirstParagraph"/>
      </w:pPr>
      <w:r>
        <w:t xml:space="preserve">No proszę, czy w tym, co stwierdzili Burgon i Kenyon, jest coś tajemniczego? Czy nie jest to oczywiste? Proszę, zatrzymaj się i pomyśl o tym przez chwilę. Milczenie historii „należy uznać za zabójcze dla hipotezy”.</w:t>
      </w:r>
      <w:r>
        <w:t xml:space="preserve"> </w:t>
      </w:r>
      <w:r>
        <w:rPr>
          <w:iCs/>
          <w:i/>
        </w:rPr>
        <w:t xml:space="preserve">Selah</w:t>
      </w:r>
      <w:r>
        <w:t xml:space="preserve">.</w:t>
      </w:r>
    </w:p>
    <w:p>
      <w:pPr>
        <w:pStyle w:val="BodyText"/>
      </w:pPr>
      <w:r>
        <w:t xml:space="preserve">Następnie pojawia się kwestia „podaży i popytu”. 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p>
      <w:pPr>
        <w:pStyle w:val="BodyText"/>
      </w:pPr>
      <w:r>
        <w:t xml:space="preserve">Podsumowując, ufam, że czytelnik nie uzna mnie za nierozsądnego, jeśli poproszę, aby odtąd wszystkie dobrze poinformowane osoby zaprzestały nazywania Rodziny 35 (</w:t>
      </w:r>
      <w:r>
        <w:rPr>
          <w:bCs/>
          <w:b/>
        </w:rPr>
        <w:t xml:space="preserve">K</w:t>
      </w:r>
      <w:r>
        <w:rPr>
          <w:vertAlign w:val="superscript"/>
          <w:bCs/>
          <w:b/>
        </w:rPr>
        <w:t xml:space="preserve">r</w:t>
      </w:r>
      <w:r>
        <w:t xml:space="preserve">) rewizją dokonaną w jakimkolwiek czasie. Co za dużo, to niezdrowo!</w:t>
      </w:r>
      <w:r>
        <w:t xml:space="preserve"> </w:t>
      </w:r>
      <w:r>
        <w:rPr>
          <w:bCs/>
          <w:b/>
        </w:rPr>
        <w:t xml:space="preserve">Precz z kaczkami dziennikarskimi!</w:t>
      </w:r>
    </w:p>
    <w:bookmarkEnd w:id="256"/>
    <w:bookmarkStart w:id="268" w:name="sposób-traktowania-kr-przez-von-sodena"/>
    <w:p>
      <w:pPr>
        <w:pStyle w:val="Heading2"/>
      </w:pPr>
      <w:r>
        <w:t xml:space="preserve">Sposób traktowania</w:t>
      </w:r>
      <w:r>
        <w:t xml:space="preserve"> </w:t>
      </w:r>
      <w:r>
        <w:rPr>
          <w:bCs/>
          <w:b/>
        </w:rPr>
        <w:t xml:space="preserve">K</w:t>
      </w:r>
      <w:r>
        <w:rPr>
          <w:vertAlign w:val="superscript"/>
          <w:bCs/>
          <w:b/>
        </w:rPr>
        <w:t xml:space="preserve">r</w:t>
      </w:r>
      <w:r>
        <w:t xml:space="preserve"> </w:t>
      </w:r>
      <w:r>
        <w:t xml:space="preserve">przez von Sodena</w:t>
      </w:r>
    </w:p>
    <w:p>
      <w:pPr>
        <w:pStyle w:val="FirstParagraph"/>
      </w:pPr>
      <w:r>
        <w:t xml:space="preserve">Krytykowano mnie za to, że nigdy w uporządkowany sposób nie odpowiedziałem na „argumenty” von Sodena, za pomocą których uznał on swój</w:t>
      </w:r>
      <w:r>
        <w:t xml:space="preserve"> </w:t>
      </w:r>
      <w:r>
        <w:rPr>
          <w:bCs/>
          <w:b/>
        </w:rPr>
        <w:t xml:space="preserve">K</w:t>
      </w:r>
      <w:r>
        <w:rPr>
          <w:vertAlign w:val="superscript"/>
          <w:bCs/>
          <w:b/>
        </w:rPr>
        <w:t xml:space="preserve">r</w:t>
      </w:r>
      <w:r>
        <w:t xml:space="preserve"> </w:t>
      </w:r>
      <w:r>
        <w:t xml:space="preserve">za późną rewizję — nigdy nie zrobiłem dla niego tego, co zrobiłem dla Horta. Ponieważ są dziś ludzie, którzy nadal uważają jego „argumenty” za zasadne, przyznaję, że powinienem był to zrobić. Zwróciłem się do dr. Jakoba van Bruggena o pomoc w sprawie von Sodena. Rozpoczął swoją odpowiedź stwierdzeniem, że von Soden „wygłasza twierdzenia i podaje opisy, lecz nie przedstawia argumentów ani dowodów”. Jak zatem można obalić „argumenty”, które nie istnieją? Ponieważ jednak oczekuje się jakiejś odpowiedzi, ocenię te „twierdzenia”.</w:t>
      </w:r>
    </w:p>
    <w:p>
      <w:pPr>
        <w:numPr>
          <w:ilvl w:val="0"/>
          <w:numId w:val="1012"/>
        </w:numPr>
      </w:pPr>
      <w:r>
        <w:t xml:space="preserve">Von Soden zauważył, że w bibliotekach Europy Zachodniej znajdowało się stosunkowo niewiele manuskryptów</w:t>
      </w:r>
      <w:r>
        <w:t xml:space="preserve"> </w:t>
      </w:r>
      <w:r>
        <w:rPr>
          <w:bCs/>
          <w:b/>
        </w:rPr>
        <w:t xml:space="preserve">K</w:t>
      </w:r>
      <w:r>
        <w:rPr>
          <w:vertAlign w:val="superscript"/>
          <w:bCs/>
          <w:b/>
        </w:rPr>
        <w:t xml:space="preserve">r</w:t>
      </w:r>
      <w:r>
        <w:t xml:space="preserve">, co prawdopodobnie jest prawdą. Następnie jednak wyraził opinię, że była to okoliczność negatywna, przemawiająca przeciwko</w:t>
      </w:r>
      <w:r>
        <w:t xml:space="preserve"> </w:t>
      </w:r>
      <w:r>
        <w:rPr>
          <w:bCs/>
          <w:b/>
        </w:rPr>
        <w:t xml:space="preserve">K</w:t>
      </w:r>
      <w:r>
        <w:rPr>
          <w:vertAlign w:val="superscript"/>
          <w:bCs/>
          <w:b/>
        </w:rPr>
        <w:t xml:space="preserve">r</w:t>
      </w:r>
      <w:r>
        <w:t xml:space="preserve">.</w:t>
      </w:r>
      <w:r>
        <w:rPr>
          <w:rStyle w:val="FootnoteReference"/>
        </w:rPr>
        <w:footnoteReference w:id="257"/>
      </w:r>
      <w:r>
        <w:t xml:space="preserve"> </w:t>
      </w:r>
      <w:r>
        <w:t xml:space="preserve">Najwyraźniej zapomniał, że aż do reformacji protestanckiej Europę Zachodnią zdominował Kościół rzymski, a ten Kościół posługiwał się łaciną, nie greką. Co gorsza, tylko papież mógł interpretować Pismo, a jedynie duchowieństwu wolno było je w ogóle czytać. Zwykłym ludziom, laikatowi, było to zabronione. Kto zatem w całej Europie Zachodniej w XIV wieku miałby jakikolwiek pożytek z greckich manuskryptów? Były osobliwościami, eksponatami muzealnymi, które można było znaleźć wyłącznie w bibliotekach lub muzeach.</w:t>
      </w:r>
      <w:r>
        <w:t xml:space="preserve"> </w:t>
      </w:r>
      <w:r>
        <w:rPr>
          <w:u w:val="single"/>
        </w:rPr>
        <w:t xml:space="preserve">Wszystkie manuskrypty Nowego Testamentu znajdujące się w tych bibliotekach pochodziły ze Wschodu</w:t>
      </w:r>
      <w:r>
        <w:t xml:space="preserve">. Muzeum Brytyjskie (obecnie Biblioteka) ma pokaźną kolekcję, jak ją pozyskało? Zostały podarowane przez podróżników, którzy kupili je na Wschodzie. Po rozważeniu wszystkiego przedkładam czytelnikowi, że liczba manuskryptów</w:t>
      </w:r>
      <w:r>
        <w:t xml:space="preserve"> </w:t>
      </w:r>
      <w:r>
        <w:rPr>
          <w:bCs/>
          <w:b/>
        </w:rPr>
        <w:t xml:space="preserve">K</w:t>
      </w:r>
      <w:r>
        <w:rPr>
          <w:vertAlign w:val="superscript"/>
          <w:bCs/>
          <w:b/>
        </w:rPr>
        <w:t xml:space="preserve">r</w:t>
      </w:r>
      <w:r>
        <w:t xml:space="preserve"> </w:t>
      </w:r>
      <w:r>
        <w:t xml:space="preserve">na Zachodzie jest nieistotna dla wieku i natury tego typu tekstu i nie powinna być przywoływana jako argument.</w:t>
      </w:r>
    </w:p>
    <w:p>
      <w:pPr>
        <w:numPr>
          <w:ilvl w:val="0"/>
          <w:numId w:val="1012"/>
        </w:numPr>
      </w:pPr>
      <w:r>
        <w:t xml:space="preserve">Von Soden wielokrotnie wspominał dobrze znany fakt, że manuskrypty</w:t>
      </w:r>
      <w:r>
        <w:t xml:space="preserve"> </w:t>
      </w:r>
      <w:r>
        <w:rPr>
          <w:bCs/>
          <w:b/>
        </w:rPr>
        <w:t xml:space="preserve">K</w:t>
      </w:r>
      <w:r>
        <w:rPr>
          <w:vertAlign w:val="superscript"/>
          <w:bCs/>
          <w:b/>
        </w:rPr>
        <w:t xml:space="preserve">r</w:t>
      </w:r>
      <w:r>
        <w:t xml:space="preserve"> </w:t>
      </w:r>
      <w:r>
        <w:t xml:space="preserve">charakteryzuje rozbudowany aparat liturgiczny na marginesach, obejmujący również słowa „początek” i „koniec” wpisane w sam Tekst, lecz atramentem innego koloru, zazwyczaj czerwonym, aby czytelnik dokładnie wiedział, gdzie zacząć i gdzie skończyć. Chociaż niektóre manuskrypty nienależące do</w:t>
      </w:r>
      <w:r>
        <w:t xml:space="preserve"> </w:t>
      </w:r>
      <w:r>
        <w:rPr>
          <w:bCs/>
          <w:b/>
        </w:rPr>
        <w:t xml:space="preserve">K</w:t>
      </w:r>
      <w:r>
        <w:rPr>
          <w:vertAlign w:val="superscript"/>
          <w:bCs/>
          <w:b/>
        </w:rPr>
        <w:t xml:space="preserve">r</w:t>
      </w:r>
      <w:r>
        <w:t xml:space="preserve"> </w:t>
      </w:r>
      <w:r>
        <w:t xml:space="preserve">mają na marginesach pewne oznaczenia lekcji, żadne nie mają aparatu tak rozbudowanego jak</w:t>
      </w:r>
      <w:r>
        <w:t xml:space="preserve"> </w:t>
      </w:r>
      <w:r>
        <w:rPr>
          <w:bCs/>
          <w:b/>
        </w:rPr>
        <w:t xml:space="preserve">K</w:t>
      </w:r>
      <w:r>
        <w:rPr>
          <w:vertAlign w:val="superscript"/>
          <w:bCs/>
          <w:b/>
        </w:rPr>
        <w:t xml:space="preserve">r</w:t>
      </w:r>
      <w:r>
        <w:t xml:space="preserve">, z wyjątkiem tego, co Frederik Wisse</w:t>
      </w:r>
      <w:r>
        <w:rPr>
          <w:rStyle w:val="FootnoteReference"/>
        </w:rPr>
        <w:footnoteReference w:id="258"/>
      </w:r>
      <w:r>
        <w:t xml:space="preserve"> </w:t>
      </w:r>
      <w:r>
        <w:t xml:space="preserve">nazwał w Ewangelii Łukasza Zespołem 17, składającym się z mniej niż dziesięciu manuskryptów (</w:t>
      </w:r>
      <w:r>
        <w:rPr>
          <w:bCs/>
          <w:b/>
        </w:rPr>
        <w:t xml:space="preserve">K</w:t>
      </w:r>
      <w:r>
        <w:rPr>
          <w:vertAlign w:val="superscript"/>
          <w:bCs/>
          <w:b/>
        </w:rPr>
        <w:t xml:space="preserve">r</w:t>
      </w:r>
      <w:r>
        <w:t xml:space="preserve"> </w:t>
      </w:r>
      <w:r>
        <w:t xml:space="preserve">ma ich w Ewangeliach ponad 250). O ile mi wiadomo, są to jedyne dwie grupy mające tak rozbudowany aparat, obecność tego aparatu stanowi więc praktycznie cechę diagnostyczną jego</w:t>
      </w:r>
      <w:r>
        <w:t xml:space="preserve"> </w:t>
      </w:r>
      <w:r>
        <w:rPr>
          <w:bCs/>
          <w:b/>
        </w:rPr>
        <w:t xml:space="preserve">K</w:t>
      </w:r>
      <w:r>
        <w:rPr>
          <w:vertAlign w:val="superscript"/>
          <w:bCs/>
          <w:b/>
        </w:rPr>
        <w:t xml:space="preserve">r</w:t>
      </w:r>
      <w:r>
        <w:t xml:space="preserve"> </w:t>
      </w:r>
      <w:r>
        <w:t xml:space="preserve">(mojej Rodziny 35,</w:t>
      </w:r>
      <w:r>
        <w:t xml:space="preserve"> </w:t>
      </w:r>
      <w:r>
        <w:rPr>
          <w:bCs/>
          <w:b/>
        </w:rPr>
        <w:t xml:space="preserve">f</w:t>
      </w:r>
      <w:r>
        <w:rPr>
          <w:vertAlign w:val="superscript"/>
          <w:bCs/>
          <w:b/>
        </w:rPr>
        <w:t xml:space="preserve">35</w:t>
      </w:r>
      <w:r>
        <w:t xml:space="preserve">). Tyle jest faktem, lecz co to znaczy?</w:t>
      </w:r>
    </w:p>
    <w:p>
      <w:pPr>
        <w:pStyle w:val="FirstParagraph"/>
      </w:pPr>
      <w:r>
        <w:t xml:space="preserve">Von Soden wyraził opinię, że okoliczność ta wskazuje, iż jego</w:t>
      </w:r>
      <w:r>
        <w:t xml:space="preserve"> </w:t>
      </w:r>
      <w:r>
        <w:rPr>
          <w:bCs/>
          <w:b/>
        </w:rPr>
        <w:t xml:space="preserve">K</w:t>
      </w:r>
      <w:r>
        <w:rPr>
          <w:vertAlign w:val="superscript"/>
          <w:bCs/>
          <w:b/>
        </w:rPr>
        <w:t xml:space="preserve">r</w:t>
      </w:r>
      <w:r>
        <w:t xml:space="preserve"> </w:t>
      </w:r>
      <w:r>
        <w:t xml:space="preserve">był rewizją liturgiczną sporządzoną w Konstantynopolu w XII wieku, nie przedstawił jednak ani strzępka dowodu na poparcie swojej opinii. (Próbował bronić XII wieku, zmieniając datowanie trzech znanych mu manuskryptów</w:t>
      </w:r>
      <w:r>
        <w:t xml:space="preserve"> </w:t>
      </w:r>
      <w:r>
        <w:rPr>
          <w:bCs/>
          <w:b/>
        </w:rPr>
        <w:t xml:space="preserve">K</w:t>
      </w:r>
      <w:r>
        <w:rPr>
          <w:vertAlign w:val="superscript"/>
          <w:bCs/>
          <w:b/>
        </w:rPr>
        <w:t xml:space="preserve">r</w:t>
      </w:r>
      <w:r>
        <w:t xml:space="preserve"> </w:t>
      </w:r>
      <w:r>
        <w:t xml:space="preserve">z XI wieku). (Mam kopie co najmniej dziesięciu takich manuskryptów, a istnieją też inne, będę jednak argumentował, że kwestia ta jest nieistotna). Otóż dla każdego powinno być oczywiste, że sporządzenie kopii w dwóch kolorach, z rozbudowanym aparatem, wymaga więcej czasu i wysiłku niż sporządzenie kopii w jednym kolorze, bez takiego aparatu. Dlaczego więc ludzie to robili? Musiał istnieć popyt na takie kopie. Jaki jednak czynnik lub jakie czynniki mogły napędzać taki popyt?</w:t>
      </w:r>
    </w:p>
    <w:p>
      <w:pPr>
        <w:pStyle w:val="BodyText"/>
      </w:pPr>
      <w:r>
        <w:t xml:space="preserve">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Dlaczego więc</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rodziną w obrębie szerokiej tradycji bizantyjskiej? I dlaczego jej przedstawiciele są rozproszeni po całym świecie śródziemnomorskim? Ile osób potrafiło czytać grekę koine i ile z nich mogło sobie pozwolić na prywatny egzemplarz Nowego Testamentu? W końcu „podaż i popyt” działa zarówno w Kościele, jak i w świecie.</w:t>
      </w:r>
    </w:p>
    <w:p>
      <w:pPr>
        <w:pStyle w:val="BodyText"/>
      </w:pPr>
      <w:r>
        <w:t xml:space="preserve">W 2014 roku spędziłem dziewięć nocy na półwyspie góry Athos, gdzie znajduje się dwadzieścia niezależnych klasztorów. Odwiedziłem pięć z nich (w tym cztery najwyższe w hierarchii), spałem w trzech i jadłem posiłki w dwóch. Do dziś mnisi i goście jedzą w milczeniu, podczas gdy jeden mnich głośno czyta Pismo. Klasztory szczycą się tym, że kierują się tradycją, która — jak twierdzą — sięga najwcześniejszych wieków. Czy nie jest rozsądne wnioskować, że tradycja ta obejmuje czytanie Pisma podczas posiłków? Czy nie używaliby manuskryptów przygotowanych właśnie do publicznego czytania? Do jakiego typu tekstu należą te manuskrypty? I dlaczego używali właśnie tego typu tekstu?</w:t>
      </w:r>
    </w:p>
    <w:p>
      <w:pPr>
        <w:pStyle w:val="BodyText"/>
      </w:pPr>
      <w:r>
        <w:t xml:space="preserve">Zupełnie niezależnie od Talmudu wiemy z Nowego Testamentu, że w żydowskich synagogach istniał zwyczaj czytania pism Starego Testamentu podczas zgromadzeń szabatowych. Sam Pan Jezus tak uczynił, jak zapisano w Ewangelii Łukasza 4,16-19. Na „Soborze Jerozolimskim” Jakub zakończył swoją decyzję słowami: „Mojżesz bowiem od dawnych pokoleń ma w każdym mieście tych, którzy go głoszą, gdyż czytany jest w synagogach w każdy szabat” (Dzieje Apostolskie 15,21). Apostoł Paweł zawsze rozpoczynał swoją służbę w nowym mieście od żydowskiej synagogi, jeśli jakaś tam była. Zauważ, co mówi Dzieje Apostolskie 13,15: „Po odczytaniu Prawa i Proroków przełożeni synagogi posłali do nich…”. W synagodze Paweł zazwyczaj rozpoczynał swoją przemowę słowami: „Mężowie Izraelici i wy, którzy boicie się Boga”, przy czym „wy, którzy boicie się Boga” odnosiło się do obecnych tam pogan.</w:t>
      </w:r>
    </w:p>
    <w:p>
      <w:pPr>
        <w:pStyle w:val="BodyText"/>
      </w:pPr>
      <w:r>
        <w:t xml:space="preserve">Otóż na samym początku wspólnota chrześcijańska składała się głównie z Żydów i takich pogan, i w naturalny sposób kontynuowali oni praktykę czytania Pisma podczas swoich cotygodniowych zgromadzeń. Przypomnij sobie, co doprowadziło do ustanowienia urzędu diakona w Dziejach Apostolskich 6. „Nie jest rzeczą właściwą, żebyśmy zaniedbali Słowo Boże, aby usługiwać przy stołach” (werset 2). „My zaś oddamy się nieustannie modlitwie i posłudze Słowa” (werset 4). Oczywiście w tamtym czasie ich Biblią był Stary Testament, pierwsza Ewangelia, Ewangelia Mateusza, została bowiem opublikowana dopiero w roku 38/39. Ponieważ jednak pisma Nowego Testamentu od samego początku uznawano za Pismo, naturalne było, że dołączono je do Starego Testamentu, a z czasem prawdopodobnie zajęły pierwsze miejsce. Zauważ, co Justyn Męczennik napisał w swojej</w:t>
      </w:r>
      <w:r>
        <w:t xml:space="preserve"> </w:t>
      </w:r>
      <w:r>
        <w:rPr>
          <w:iCs/>
          <w:i/>
        </w:rPr>
        <w:t xml:space="preserve">Pierwszej Apologii</w:t>
      </w:r>
      <w:r>
        <w:t xml:space="preserve"> </w:t>
      </w:r>
      <w:r>
        <w:t xml:space="preserve">(około 150 roku po Chr.):</w:t>
      </w:r>
    </w:p>
    <w:p>
      <w:pPr>
        <w:pStyle w:val="BlockText"/>
      </w:pPr>
      <w:r>
        <w:t xml:space="preserve">W dniu zwanym niedzielą wszyscy, którzy mieszkają w miastach lub na wsi, gromadzą się w jednym miejscu, i czytane są pamiętniki Apostołów albo pisma proroków, tak długo, jak pozwala na to czas, następnie, gdy lektor skończy, przewodniczący (przewodniczący zgromadzeniu) ustnie poucza i zachęca do naśladowania tych dobrych rzeczy.</w:t>
      </w:r>
      <w:r>
        <w:rPr>
          <w:rStyle w:val="FootnoteReference"/>
        </w:rPr>
        <w:footnoteReference w:id="259"/>
      </w:r>
    </w:p>
    <w:p>
      <w:pPr>
        <w:pStyle w:val="FirstParagraph"/>
      </w:pPr>
      <w:r>
        <w:t xml:space="preserve">„Pamiętniki Apostołów” były Ewangeliami, jakie znamy (</w:t>
      </w:r>
      <w:r>
        <w:rPr>
          <w:iCs/>
          <w:i/>
        </w:rPr>
        <w:t xml:space="preserve">Pierwsza Apologia</w:t>
      </w:r>
      <w:r>
        <w:t xml:space="preserve"> </w:t>
      </w:r>
      <w:r>
        <w:t xml:space="preserve">66). Jeśli rozważy się sposób używania przez Justyna wyrażenia „pamiętniki Apostołów” we wszystkich jego pismach, można bezpiecznie dojść do wniosku, że trafnie odnosi je do dwóch apostołów (Mateusza i Jana) oraz dwóch towarzyszy apostołów (Marka i Łukasza), których wyodrębnił. Justyn używał wyrażenia „pamiętniki Apostołów” w odniesieniu do czterech Ewangelii, lecz nigdy nie używał go w odniesieniu do ewangelii gnostyckich lub apokryficznych.</w:t>
      </w:r>
      <w:r>
        <w:rPr>
          <w:rStyle w:val="FootnoteReference"/>
        </w:rPr>
        <w:footnoteReference w:id="260"/>
      </w:r>
    </w:p>
    <w:p>
      <w:pPr>
        <w:pStyle w:val="BodyText"/>
      </w:pPr>
      <w:r>
        <w:t xml:space="preserve">Zauważ, że Ewangelie wymieniono jako pierwsze, przed „pismami proroków”, co odnosiło się do Starego Testamentu. Justyn wyraźnie pokazuje, że chrześcijanie kontynuowali praktykę czytania Pisma podczas cotygodniowych zgromadzeń i, jak należało oczekiwać, pisma Nowego Testamentu zaczęto preferować. Nie mamy dowodów, że praktykę czytania Pisma podczas publicznych zgromadzeń kiedykolwiek zarzucono, przynajmniej na Wschodzie. W rzeczy samej, samo istnienie manuskryptów lekcjonarzowych byłoby dowodem, że praktyka ta trwała. Jeśli „Kanony Euzebiusza” rzeczywiście zostały sporządzone przez Euzebiusza z Cezarei (zm. 339), mamy dowód z początku IV wieku, a on z pewnością jedynie ujednolicił to, co już praktykowano w kościołach. Gdy więc mnisi z góry Athos twierdzą, że ich praktyka sięga najdawniejszych czasów, mają rację.</w:t>
      </w:r>
      <w:r>
        <w:t xml:space="preserve"> </w:t>
      </w:r>
      <w:r>
        <w:rPr>
          <w:bCs/>
          <w:b/>
        </w:rPr>
        <w:t xml:space="preserve">Żadne z powyższych nie mówi nam jednak, jakiego typu tekstu używano</w:t>
      </w:r>
      <w:r>
        <w:t xml:space="preserve">, a na mnie spoczywa obowiązek zajęcia się tą kwestią.</w:t>
      </w:r>
    </w:p>
    <w:p>
      <w:pPr>
        <w:pStyle w:val="BodyText"/>
      </w:pPr>
      <w:r>
        <w:t xml:space="preserve">Najpierw jednak dowody lekcjonarzowe wprost przeczą twierdzeniu von Sodena, że system powstał w Konstantynopolu w XII wieku. Według</w:t>
      </w:r>
      <w:r>
        <w:t xml:space="preserve"> </w:t>
      </w:r>
      <w:r>
        <w:rPr>
          <w:iCs/>
          <w:i/>
        </w:rPr>
        <w:t xml:space="preserve">Kurzgefasste Liste</w:t>
      </w:r>
      <w:r>
        <w:rPr>
          <w:rStyle w:val="FootnoteReference"/>
        </w:rPr>
        <w:footnoteReference w:id="261"/>
      </w:r>
      <w:r>
        <w:t xml:space="preserve"> </w:t>
      </w:r>
      <w:r>
        <w:t xml:space="preserve">(luty 2018) mamy jeden zachowany lekcjonarz z IV wieku, dwa z V, dwa z VI, dwa z VII, piętnaście z VIII, 113 z IX, 162 z X i 303 z XI. Nawet jeśli zmniejszymy wszystkie te liczby o połowę (aby zapobiec sporom), dowodzą one, że von Soden całkowicie się mylił. Tak się składa, że wśród zachowanych lekcjonarzy druga co do wielkości rodzina zawiera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jest jednak mała w porównaniu z rodziną dominującą, lecz proszę zauważyć: różnica dotyczy sformułowań, a nie wyboru lekcji. Von Soden twierdził również, że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został narzucony przez władzę kościelną. Jeśli tak było, dlaczego zdecydowana większość lekcjonarzy ma inny tekst? I jak coś stworzonego w XII wieku mogło wyprzeć starożytną praktykę? Von Soden ponownie całkowicie się mylił.</w:t>
      </w:r>
    </w:p>
    <w:p>
      <w:pPr>
        <w:pStyle w:val="BodyText"/>
      </w:pPr>
      <w:r>
        <w:t xml:space="preserve">Dla każdego powinno być oczywiste, że używane książki się zużywają, im częściej są używane, tym szybciej się zużywają. Najwcześniejsze manuskrypty przetrwały, ponieważ nikt nie chciał ich używać, nie były też kopiowane (po co marnować dobry pergamin?). Jeśli wspólnoty używały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do publicznego czytania, kopie te zostałyby zużyte i nie mogłyby fizycznie przetrwać. Brak wczesnych manuskryptów</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niekoniecznie stanowi więc argument przeciwko temu typowi tekstu.</w:t>
      </w:r>
    </w:p>
    <w:p>
      <w:pPr>
        <w:numPr>
          <w:ilvl w:val="0"/>
          <w:numId w:val="1013"/>
        </w:numPr>
        <w:pStyle w:val="Compact"/>
      </w:pPr>
      <w:r>
        <w:t xml:space="preserve">Von Soden zauważył, i słusznie, że manuskrypty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charakteryzuje znacznie mniej wariantów niż manuskrypty innych typów. Jego wyjaśnienie było takie, że jego</w:t>
      </w:r>
      <w:r>
        <w:t xml:space="preserve"> </w:t>
      </w:r>
      <w:r>
        <w:rPr>
          <w:bCs/>
          <w:b/>
        </w:rPr>
        <w:t xml:space="preserve">K</w:t>
      </w:r>
      <w:r>
        <w:rPr>
          <w:vertAlign w:val="superscript"/>
          <w:bCs/>
          <w:b/>
        </w:rPr>
        <w:t xml:space="preserve">r</w:t>
      </w:r>
      <w:r>
        <w:t xml:space="preserve"> </w:t>
      </w:r>
      <w:r>
        <w:t xml:space="preserve">stanowił rewizję narzuconą przez władzę kościelną, był tekstem kontrolowanym. W obrębie dyscypliny pojęcie tekstu kontrolowanego rozszerzono na cały tekst bizantyjski. Na przykład na stronie 11* angielskiego „Wprowadzenia” redaktorzy</w:t>
      </w:r>
      <w:r>
        <w:t xml:space="preserve"> </w:t>
      </w:r>
      <w:r>
        <w:rPr>
          <w:iCs/>
          <w:i/>
        </w:rPr>
        <w:t xml:space="preserve">Editio Critica Maior</w:t>
      </w:r>
      <w:r>
        <w:t xml:space="preserve"> </w:t>
      </w:r>
      <w:r>
        <w:t xml:space="preserve">Listu Jakuba</w:t>
      </w:r>
      <w:r>
        <w:rPr>
          <w:rStyle w:val="FootnoteReference"/>
        </w:rPr>
        <w:footnoteReference w:id="262"/>
      </w:r>
      <w:r>
        <w:t xml:space="preserve"> </w:t>
      </w:r>
      <w:r>
        <w:t xml:space="preserve">określają tekst bizantyjski (obejmujący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jako „starannie kontrolowany”.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i najbardziej spójną (wewnętrznie zgodną) linią przekazu w obrębie szerokiej rzeki bizantyjskiej, jeśli więc kontrolowana była masa bizantyjska,</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byłby kontrolowany w jeszcze większym stopniu.</w:t>
      </w:r>
    </w:p>
    <w:p>
      <w:pPr>
        <w:pStyle w:val="FirstParagraph"/>
      </w:pPr>
      <w:r>
        <w:t xml:space="preserve">Otóż jeśli tekst jest „kontrolowany”, ktoś musi dokonywać kontrolowania — jeśli nie ma</w:t>
      </w:r>
      <w:r>
        <w:t xml:space="preserve"> </w:t>
      </w:r>
      <w:r>
        <w:rPr>
          <w:u w:val="single"/>
        </w:rPr>
        <w:t xml:space="preserve">kontrolera</w:t>
      </w:r>
      <w:r>
        <w:t xml:space="preserve">, nie może być</w:t>
      </w:r>
      <w:r>
        <w:t xml:space="preserve"> </w:t>
      </w:r>
      <w:r>
        <w:rPr>
          <w:u w:val="single"/>
        </w:rPr>
        <w:t xml:space="preserve">kontrolowania</w:t>
      </w:r>
      <w:r>
        <w:t xml:space="preserve">. Kto zatem może nim być? Widzę trzy możliwości: ludzie, Szatan, Bóg. O ile mi wiadomo, wszyscy, którzy nazywają tekst bizantyjski „kontrolowanym”, wykluczają ze swojego modelu czynnik nadprzyrodzony, według nich kontrolowania dokonują więc ludzie, niezależnie od wpływu nadprzyrodzonego. Ponieważ rzekoma kontrola musiała działać przez ponad tysiąc lat, nie mogła być sprawowana przez jedną osobę. Kto jednak mógł kontrolować cały świat śródziemnomorski? Przez ponad tysiąc lat Kościół rzymski posługiwał się łaciną, nie greką. Czy w Kościołach prawosławnych kiedykolwiek istniała działająca władza centralna? Z pewnością nie przez tysiąc lat i nie w całym świecie śródziemnomorskim. Kto zatem dokonywał kontrolowania?</w:t>
      </w:r>
    </w:p>
    <w:p>
      <w:pPr>
        <w:pStyle w:val="BodyText"/>
      </w:pPr>
      <w:r>
        <w:t xml:space="preserve">Co więcej, rzekoma kontrola była najwyraźniej dość luźna, manuskrypty są bowiem pełne przypadkowych błędów, niezależnie od wspólnych zależności. Rozważ wniosek, do którego doszedł F. Wisse po skolacjonowaniu i przeanalizowaniu 1386 greckich manuskryptów zawierających rozdziały 1, 10 i 20 Ewangelii Łukasza (trzy pełne rozdziały). Opisał 37 linii przekazu oraz 89 „odszczepieńców”, manuskryptów tak indywidualnie odmiennych, że nie można ich było pogrupować. Spośród 37 grup 36 mieści się w szerokiej rzece bizantyjskiej, a w ich obrębie Wisse opisał 70 podgrup. Jaki rodzaj „kontroli” mógł więc dopuścić do takiej sytuacji? Ufam, że moi czytelnicy nie uznają mnie za nierozsądnego, gdy powiem, iż wobec tak konkretnych dowodów teza o „kontrolowanym” tekście bizantyjskim (z wyłączeniem czynnika nadprzyrodzonego) jest dla mnie mało przekonująca. Jak zatem mamy wyjaśnić występującą w nim względną jednolitość?</w:t>
      </w:r>
    </w:p>
    <w:p>
      <w:pPr>
        <w:pStyle w:val="BodyText"/>
      </w:pPr>
      <w:r>
        <w:t xml:space="preserve">Mam nadzieję, że moi czytelnicy wiedzą, iż osobiście nalegam, aby czynnik nadprzyrodzony uwzględniać w każdym modelu krytyki tekstu Nowego Testamentu. Zarówno Bóg, jak i Szatan z pewnością istnieją i obaj nieustannie interesują się losami Tekstu Nowego Testamentu. Od pewnego czasu bronię Boskiego zachowania Tekstu Nowego Testamentu w konkretnych kategoriach. Co ciekawe, osoby utrzymujące, że tekst bizantyjski był kontrolowany, zazwyczaj odrzucają wszelkie pojęcie Boskiego zachowania. Oczywiście jeśli nie wierzą w Boskie natchnienie, nie będą wierzyć w zachowanie. Ktoś, kto zaprzecza istnieniu Suwerennego Stwórcy, będzie logicznie utrzymywał, że nieistniejąca istota nie może niczego uczynić. Jak jednak taka osoba może wyjaśnić tekst bizantyjski? Przedkładam, że żadna hipoteza naturalistyczna nie jest w stanie wyjaśnić Rodziny 35 (</w:t>
      </w:r>
      <w:r>
        <w:rPr>
          <w:bCs/>
          <w:b/>
        </w:rPr>
        <w:t xml:space="preserve">K</w:t>
      </w:r>
      <w:r>
        <w:rPr>
          <w:vertAlign w:val="superscript"/>
          <w:bCs/>
          <w:b/>
        </w:rPr>
        <w:t xml:space="preserve">r</w:t>
      </w:r>
      <w:r>
        <w:t xml:space="preserve">).</w:t>
      </w:r>
    </w:p>
    <w:p>
      <w:pPr>
        <w:pStyle w:val="BodyText"/>
      </w:pPr>
      <w:r>
        <w:t xml:space="preserve">Szatan z pewnością nie uczyniłby niczego, by pomóc zachować Tekst Nowego Testamentu, każde jego zaangażowanie miałoby na celu wypaczenie tekstu, a tym samym podważenie jego autorytetu. (Powiedziałbym, że skoncentrował swoje wysiłki w Egipcie). W innym miejscu argumentowałem, że przekazywanie Tekstu Nowego Testamentu było przeważnie „normalne”, a normalność była określana przez Kościół chrześcijański. Dlaczego sporządzano kopie? Ponieważ zbory ich potrzebowały. Dlaczego zbory ich „potrzebowały”? Ponieważ rozumiały, że pisma Nowego Testamentu były natchnione przez Boga, i czytano je oraz omawiano podczas cotygodniowych zgromadzeń. Argumentowanie, że pierwsi chrześcijanie mylili się w tym rozumieniu, byłoby nie na temat. To rozumienie (błędne lub nie) determinowało ich stosunek do pism Nowego Testamentu, a ten kontrolował sporządzanie kopii. Jeśli większość osób sporządzających kopie stanowili szczerzy (mniej lub bardziej) chrześcijanie, wykonywali swoją pracę z należytą starannością (jedni większą, inni mniejszą). Ci, którzy mieli mocne przekonanie o natchnieniu, byliby szczególnie staranni.</w:t>
      </w:r>
    </w:p>
    <w:p>
      <w:pPr>
        <w:pStyle w:val="BodyText"/>
      </w:pPr>
      <w:r>
        <w:t xml:space="preserve">Przedkładam, że zachowane manuskrypty odzwierciedlają powyższy opis.</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zdecydowanie największa i najbardziej spójna grupa (być może jedyna grupa istniejąca we wszystkich 27 księgach), reprezentuje rdzeń przekazu, a jej przedstawiciele zostali sporządzeni przez kopistów mających wysokie przekonanie o natchnieniu (o czym świadczy nadzwyczajna staranność ich pracy). Poza tym rdzeniem istnieje wiele odnóg lub strumyków, które w różnym stopniu od niego odbiegają i które powstały w różnych czasach i miejscach. Mnich jedynie wypełniający religijny obowiązek sporządzał „przeciętną” kopię bizantyjską, wystarczająco dobrą do praktycznie wszystkich celów praktycznych, lecz niespełniającą standardu</w:t>
      </w:r>
      <w:r>
        <w:t xml:space="preserve"> </w:t>
      </w:r>
      <w:r>
        <w:rPr>
          <w:bCs/>
          <w:b/>
        </w:rPr>
        <w:t xml:space="preserve">f</w:t>
      </w:r>
      <w:r>
        <w:rPr>
          <w:vertAlign w:val="superscript"/>
          <w:bCs/>
          <w:b/>
        </w:rPr>
        <w:t xml:space="preserve">35</w:t>
      </w:r>
      <w:r>
        <w:t xml:space="preserve">.</w:t>
      </w:r>
    </w:p>
    <w:p>
      <w:pPr>
        <w:pStyle w:val="BodyText"/>
      </w:pPr>
      <w:r>
        <w:t xml:space="preserve">Czy tekst bizantyjski był zatem „kontrolowany”? Oczywiście nie w żadnym ścisłym sensie. Kontrolę sprawowało wspólne przekonanie (wewnątrz wspólnoty chrześcijańskiej), że Nowy Testament był natchniony przez Boga. To przekonanie podyktowało mnożenie kopii sporządzanych z należytą starannością. Ta należyta staranność znajduje odzwierciedlenie w podstawowej jednolitości masy bizantyjskiej. Wyjaśnienie niewiarygodnie starannego przekazu odzwierciedlonego w przedstawicielach</w:t>
      </w:r>
      <w:r>
        <w:t xml:space="preserve"> </w:t>
      </w:r>
      <w:r>
        <w:rPr>
          <w:bCs/>
          <w:b/>
        </w:rPr>
        <w:t xml:space="preserve">f</w:t>
      </w:r>
      <w:r>
        <w:rPr>
          <w:vertAlign w:val="superscript"/>
          <w:bCs/>
          <w:b/>
        </w:rPr>
        <w:t xml:space="preserve">35</w:t>
      </w:r>
      <w:r>
        <w:t xml:space="preserve"> </w:t>
      </w:r>
      <w:r>
        <w:t xml:space="preserve">wymaga jednak czegoś więcej.</w:t>
      </w:r>
    </w:p>
    <w:p>
      <w:pPr>
        <w:pStyle w:val="BodyText"/>
      </w:pPr>
      <w:r>
        <w:t xml:space="preserve">Spośród manuskryptów</w:t>
      </w:r>
      <w:r>
        <w:t xml:space="preserve"> </w:t>
      </w:r>
      <w:r>
        <w:rPr>
          <w:bCs/>
          <w:b/>
        </w:rPr>
        <w:t xml:space="preserve">f</w:t>
      </w:r>
      <w:r>
        <w:rPr>
          <w:vertAlign w:val="superscript"/>
          <w:bCs/>
          <w:b/>
        </w:rPr>
        <w:t xml:space="preserve">35</w:t>
      </w:r>
      <w:r>
        <w:t xml:space="preserve">, które sam skolacjonowałem, mam doskonałe kopie archetypu rodziny (ustalonego empirycznie) w następującej liczbie: 29 dla Listu do Filemona, 15 dla 2 Listu do Tesaloniczan, 9 dla Listu do Tytusa, 6 dla Listu do Galacjan, 4 dla Listu do Efezjan i co najmniej jedną dla 22 spośród 27 ksiąg Nowego Testamentu (a o wiele więcej różni się jedną literą!). Są to manuskrypty z całego świata śródziemnomorskiego, reprezentujące pięć stuleci. Jaki zatem rodzaj kontroli mógł wytworzyć tak niewiarygodny poziom doskonałości — kontroli sprawowanej w odizolowanych klasztorach rozsianych po świecie śródziemnomorskim i przez pięć stuleci? Nie znamy żadnego ludzkiego czynnika, który mógłby tego dokonać. Jeśli czynnik ten nie był ludzki, musiał być Boski. Ponieważ von Soden z pewnością nie myślał o kontroli nadprzyrodzonej, ponownie całkowicie się mylił.</w:t>
      </w:r>
    </w:p>
    <w:p>
      <w:pPr>
        <w:numPr>
          <w:ilvl w:val="0"/>
          <w:numId w:val="1014"/>
        </w:numPr>
        <w:pStyle w:val="Compact"/>
      </w:pPr>
      <w:r>
        <w:t xml:space="preserve">Von Soden miał obsesję na punkcie fragmentu o kobiecie cudzołożnej (Ewangelia Jana 7,53-8,11) (najwyraźniej sądził, że dostarczy on klucza do całego Nowego Testamentu). On i jego zespół skolacjonowali ponad 900 manuskryptów dla tych dwunastu wersetów (znacznie więcej niż dla jakiegokolwiek innego fragmentu Nowego Testamentu). Sprowadził te 900 manuskryptów do siedmiu rodzin lub linii przekazu, które nazwał</w:t>
      </w:r>
      <w:r>
        <w:t xml:space="preserve"> </w:t>
      </w:r>
      <w:r>
        <w:rPr>
          <w:bCs/>
          <w:b/>
        </w:rPr>
        <w:t xml:space="preserve">M</w:t>
      </w:r>
      <w:r>
        <w:rPr>
          <w:vertAlign w:val="superscript"/>
          <w:bCs/>
          <w:b/>
        </w:rPr>
        <w:t xml:space="preserve">1,2,3,4,5,6,7</w:t>
      </w:r>
      <w:r>
        <w:t xml:space="preserve"> </w:t>
      </w:r>
      <w:r>
        <w:t xml:space="preserve">(M jest pierwszą literą słowa „cudzołóstwo” po grecku). Na stronie 524 przedstawił stemma, w którym jego</w:t>
      </w:r>
      <w:r>
        <w:t xml:space="preserve"> </w:t>
      </w:r>
      <w:r>
        <w:rPr>
          <w:bCs/>
          <w:b/>
        </w:rPr>
        <w:t xml:space="preserve">M</w:t>
      </w:r>
      <w:r>
        <w:rPr>
          <w:vertAlign w:val="superscript"/>
          <w:bCs/>
          <w:b/>
        </w:rPr>
        <w:t xml:space="preserve">1</w:t>
      </w:r>
      <w:r>
        <w:t xml:space="preserve"> </w:t>
      </w:r>
      <w:r>
        <w:t xml:space="preserve">znajdowała się najbliżej Źródła, a</w:t>
      </w:r>
      <w:r>
        <w:t xml:space="preserve"> </w:t>
      </w:r>
      <w:r>
        <w:rPr>
          <w:bCs/>
          <w:b/>
        </w:rPr>
        <w:t xml:space="preserve">M</w:t>
      </w:r>
      <w:r>
        <w:rPr>
          <w:vertAlign w:val="superscript"/>
          <w:bCs/>
          <w:b/>
        </w:rPr>
        <w:t xml:space="preserve">7</w:t>
      </w:r>
      <w:r>
        <w:t xml:space="preserve"> </w:t>
      </w:r>
      <w:r>
        <w:t xml:space="preserve">najdalej od tego Źródła. Trzy ostatnie rodziny były zdecydowanie największe, każda z nich była większa niż pierwsze cztery razem wzięte, do tego stopnia, że dowolne dwie spośród tych trzech stanowiły większość całości. Von Soden argumentował, że jego</w:t>
      </w:r>
      <w:r>
        <w:t xml:space="preserve"> </w:t>
      </w:r>
      <w:r>
        <w:rPr>
          <w:bCs/>
          <w:b/>
        </w:rPr>
        <w:t xml:space="preserve">M</w:t>
      </w:r>
      <w:r>
        <w:rPr>
          <w:vertAlign w:val="superscript"/>
          <w:bCs/>
          <w:b/>
        </w:rPr>
        <w:t xml:space="preserve">7</w:t>
      </w:r>
      <w:r>
        <w:t xml:space="preserve"> </w:t>
      </w:r>
      <w:r>
        <w:t xml:space="preserve">była kompozycją opartą na jego</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zatem była od nich późniejsza i gorsza.</w:t>
      </w:r>
    </w:p>
    <w:p>
      <w:pPr>
        <w:pStyle w:val="FirstParagraph"/>
      </w:pPr>
      <w:r>
        <w:t xml:space="preserve">Przypomina to sposób traktowania przez Horta jego tekstu „syryjskiego”. Hort przedstawił jednak osiem rzekomych „konflacji” w obrębie swojego tekstu syryjskiego i na tej podstawie potępił go dla całego Nowego Testamentu. Otóż prawdziwa konflacja jest z definicji wtórna (jeśli można udowodnić, że dwa krótsze odczyty nie są niezależnymi uproszczeniami oryginalnego, dłuższego odczytu). W „Perykopie”</w:t>
      </w:r>
      <w:r>
        <w:t xml:space="preserve"> </w:t>
      </w:r>
      <w:r>
        <w:rPr>
          <w:bCs/>
          <w:b/>
        </w:rPr>
        <w:t xml:space="preserve">M</w:t>
      </w:r>
      <w:r>
        <w:rPr>
          <w:vertAlign w:val="superscript"/>
          <w:bCs/>
          <w:b/>
        </w:rPr>
        <w:t xml:space="preserve">7</w:t>
      </w:r>
      <w:r>
        <w:t xml:space="preserve"> </w:t>
      </w:r>
      <w:r>
        <w:t xml:space="preserve">nie zawiera jednak żadnych „konflacji”, na jakiej więc obiektywnej podstawie von Soden twierdził, że opierała się na</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 obrębie Perykopy istnieją 32 zestawy wariantów istotne dla tych trzech dużych grup, które teraz odtworzę. Proszę czytelnika, aby spróbował przeanalizować dowody bez uprzednich założeń.</w:t>
      </w:r>
    </w:p>
    <w:p>
      <w:pPr>
        <w:pStyle w:val="BodyText"/>
      </w:pPr>
      <w:r>
        <w:t xml:space="preserve">Poniższe informacje opierają się na pełnym kolacjonowaniu przez Maurice’a A. Robinsona 1389 manuskryptów zawierających Perykopę, Ewangelię Jana 7,53-8,11.</w:t>
      </w:r>
      <w:r>
        <w:rPr>
          <w:rStyle w:val="FootnoteReference"/>
        </w:rPr>
        <w:footnoteReference w:id="263"/>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Werset</w:t>
            </w:r>
          </w:p>
        </w:tc>
        <w:tc>
          <w:tcPr/>
          <w:p>
            <w:pPr>
              <w:pStyle w:val="Compact"/>
              <w:jc w:val="right"/>
            </w:pPr>
            <w:r>
              <w:t xml:space="preserve">Zestaw</w:t>
            </w:r>
          </w:p>
        </w:tc>
        <w:tc>
          <w:tcPr/>
          <w:p>
            <w:pPr>
              <w:pStyle w:val="Compact"/>
              <w:jc w:val="left"/>
            </w:pPr>
            <w:r>
              <w:rPr>
                <w:bCs/>
                <w:b/>
              </w:rPr>
              <w:t xml:space="preserve">M</w:t>
            </w:r>
            <w:r>
              <w:rPr>
                <w:vertAlign w:val="superscript"/>
                <w:bCs/>
                <w:b/>
              </w:rPr>
              <w:t xml:space="preserve">7</w:t>
            </w:r>
          </w:p>
        </w:tc>
        <w:tc>
          <w:tcPr/>
          <w:p>
            <w:pPr>
              <w:pStyle w:val="Compact"/>
              <w:jc w:val="left"/>
            </w:pPr>
            <w:r>
              <w:rPr>
                <w:bCs/>
                <w:b/>
              </w:rPr>
              <w:t xml:space="preserve">M</w:t>
            </w:r>
            <w:r>
              <w:rPr>
                <w:vertAlign w:val="superscript"/>
                <w:bCs/>
                <w:b/>
              </w:rPr>
              <w:t xml:space="preserve">6</w:t>
            </w:r>
          </w:p>
        </w:tc>
        <w:tc>
          <w:tcPr/>
          <w:p>
            <w:pPr>
              <w:pStyle w:val="Compact"/>
              <w:jc w:val="left"/>
            </w:pPr>
            <w:r>
              <w:rPr>
                <w:bCs/>
                <w:b/>
              </w:rPr>
              <w:t xml:space="preserve">M</w:t>
            </w:r>
            <w:r>
              <w:rPr>
                <w:vertAlign w:val="superscript"/>
                <w:bCs/>
                <w:b/>
              </w:rPr>
              <w:t xml:space="preserve">5</w:t>
            </w:r>
          </w:p>
        </w:tc>
      </w:tr>
      <w:tr>
        <w:tc>
          <w:tcPr/>
          <w:p>
            <w:pPr>
              <w:pStyle w:val="Compact"/>
              <w:jc w:val="left"/>
            </w:pPr>
            <w:r>
              <w:t xml:space="preserve">7,53</w:t>
            </w:r>
          </w:p>
        </w:tc>
        <w:tc>
          <w:tcPr/>
          <w:p>
            <w:pPr>
              <w:pStyle w:val="Compact"/>
              <w:jc w:val="right"/>
            </w:pPr>
            <w:r>
              <w:t xml:space="preserve">01</w:t>
            </w:r>
          </w:p>
        </w:tc>
        <w:tc>
          <w:tcPr/>
          <w:p>
            <w:pPr>
              <w:pStyle w:val="Compact"/>
              <w:jc w:val="left"/>
            </w:pPr>
            <w:r>
              <w:t xml:space="preserve">απηλθεν</w:t>
            </w:r>
          </w:p>
        </w:tc>
        <w:tc>
          <w:tcPr/>
          <w:p>
            <w:pPr>
              <w:pStyle w:val="Compact"/>
              <w:jc w:val="left"/>
            </w:pPr>
            <w:r>
              <w:t xml:space="preserve">απηλθεν / απηλθον</w:t>
            </w:r>
          </w:p>
        </w:tc>
        <w:tc>
          <w:tcPr/>
          <w:p>
            <w:pPr>
              <w:pStyle w:val="Compact"/>
              <w:jc w:val="left"/>
            </w:pPr>
            <w:r>
              <w:t xml:space="preserve">**επορευθη / επορευθησαν</w:t>
            </w:r>
          </w:p>
        </w:tc>
      </w:tr>
      <w:tr>
        <w:tc>
          <w:tcPr/>
          <w:p>
            <w:pPr>
              <w:pStyle w:val="Compact"/>
              <w:jc w:val="left"/>
            </w:pPr>
            <w:r>
              <w:t xml:space="preserve">8,1</w:t>
            </w:r>
          </w:p>
        </w:tc>
        <w:tc>
          <w:tcPr/>
          <w:p>
            <w:pPr>
              <w:pStyle w:val="Compact"/>
              <w:jc w:val="right"/>
            </w:pPr>
            <w:r>
              <w:t xml:space="preserve">02</w:t>
            </w:r>
          </w:p>
        </w:tc>
        <w:tc>
          <w:tcPr/>
          <w:p>
            <w:pPr>
              <w:pStyle w:val="Compact"/>
              <w:jc w:val="left"/>
            </w:pPr>
            <w:r>
              <w:t xml:space="preserve">Ιησους δε</w:t>
            </w:r>
          </w:p>
        </w:tc>
        <w:tc>
          <w:tcPr/>
          <w:p>
            <w:pPr>
              <w:pStyle w:val="Compact"/>
              <w:jc w:val="left"/>
            </w:pPr>
            <w:r>
              <w:t xml:space="preserve">**και ο Ιησους δε / και ο Ιησους</w:t>
            </w:r>
          </w:p>
        </w:tc>
        <w:tc>
          <w:tcPr/>
          <w:p>
            <w:pPr>
              <w:pStyle w:val="Compact"/>
              <w:jc w:val="left"/>
            </w:pPr>
            <w:r>
              <w:t xml:space="preserve">Ιησους δε</w:t>
            </w:r>
          </w:p>
        </w:tc>
      </w:tr>
      <w:tr>
        <w:tc>
          <w:tcPr/>
          <w:p>
            <w:pPr>
              <w:pStyle w:val="Compact"/>
              <w:jc w:val="left"/>
            </w:pPr>
            <w:r>
              <w:t xml:space="preserve">8,2</w:t>
            </w:r>
          </w:p>
        </w:tc>
        <w:tc>
          <w:tcPr/>
          <w:p>
            <w:pPr>
              <w:pStyle w:val="Compact"/>
              <w:jc w:val="right"/>
            </w:pPr>
            <w:r>
              <w:t xml:space="preserve">03</w:t>
            </w:r>
          </w:p>
        </w:tc>
        <w:tc>
          <w:tcPr/>
          <w:p>
            <w:pPr>
              <w:pStyle w:val="Compact"/>
              <w:jc w:val="left"/>
            </w:pPr>
            <w:r>
              <w:t xml:space="preserve">(βαθεως) = pominięcie</w:t>
            </w:r>
          </w:p>
        </w:tc>
        <w:tc>
          <w:tcPr/>
          <w:p>
            <w:pPr>
              <w:pStyle w:val="Compact"/>
              <w:jc w:val="left"/>
            </w:pPr>
            <w:r>
              <w:t xml:space="preserve">**βαθεως / βαθεος</w:t>
            </w:r>
          </w:p>
        </w:tc>
        <w:tc>
          <w:tcPr/>
          <w:p>
            <w:pPr>
              <w:pStyle w:val="Compact"/>
              <w:jc w:val="left"/>
            </w:pPr>
            <w:r>
              <w:t xml:space="preserve">(βαθεως)</w:t>
            </w:r>
          </w:p>
        </w:tc>
      </w:tr>
      <w:tr>
        <w:tc>
          <w:tcPr/>
          <w:p>
            <w:pPr>
              <w:pStyle w:val="Compact"/>
              <w:jc w:val="left"/>
            </w:pPr>
            <w:r>
              <w:t xml:space="preserve">8,2</w:t>
            </w:r>
          </w:p>
        </w:tc>
        <w:tc>
          <w:tcPr/>
          <w:p>
            <w:pPr>
              <w:pStyle w:val="Compact"/>
              <w:jc w:val="right"/>
            </w:pPr>
            <w:r>
              <w:t xml:space="preserve">04</w:t>
            </w:r>
          </w:p>
        </w:tc>
        <w:tc>
          <w:tcPr/>
          <w:p>
            <w:pPr>
              <w:pStyle w:val="Compact"/>
              <w:jc w:val="left"/>
            </w:pPr>
            <w:r>
              <w:t xml:space="preserve">παρεγενετο</w:t>
            </w:r>
          </w:p>
        </w:tc>
        <w:tc>
          <w:tcPr/>
          <w:p>
            <w:pPr>
              <w:pStyle w:val="Compact"/>
              <w:jc w:val="left"/>
            </w:pPr>
            <w:r>
              <w:t xml:space="preserve">**ηλθεν ο Ιησους</w:t>
            </w:r>
          </w:p>
        </w:tc>
        <w:tc>
          <w:tcPr/>
          <w:p>
            <w:pPr>
              <w:pStyle w:val="Compact"/>
              <w:jc w:val="left"/>
            </w:pPr>
            <w:r>
              <w:t xml:space="preserve">παρεγενετο</w:t>
            </w:r>
          </w:p>
        </w:tc>
      </w:tr>
      <w:tr>
        <w:tc>
          <w:tcPr/>
          <w:p>
            <w:pPr>
              <w:pStyle w:val="Compact"/>
              <w:jc w:val="left"/>
            </w:pPr>
            <w:r>
              <w:t xml:space="preserve">8,2</w:t>
            </w:r>
          </w:p>
        </w:tc>
        <w:tc>
          <w:tcPr/>
          <w:p>
            <w:pPr>
              <w:pStyle w:val="Compact"/>
              <w:jc w:val="right"/>
            </w:pPr>
            <w:r>
              <w:t xml:space="preserve">05</w:t>
            </w:r>
          </w:p>
        </w:tc>
        <w:tc>
          <w:tcPr/>
          <w:p>
            <w:pPr>
              <w:pStyle w:val="Compact"/>
              <w:jc w:val="left"/>
            </w:pPr>
            <w:r>
              <w:t xml:space="preserve">προς αυτον</w:t>
            </w:r>
          </w:p>
        </w:tc>
        <w:tc>
          <w:tcPr/>
          <w:p>
            <w:pPr>
              <w:pStyle w:val="Compact"/>
              <w:jc w:val="left"/>
            </w:pPr>
            <w:r>
              <w:t xml:space="preserve">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06</w:t>
            </w:r>
          </w:p>
        </w:tc>
        <w:tc>
          <w:tcPr/>
          <w:p>
            <w:pPr>
              <w:pStyle w:val="Compact"/>
              <w:jc w:val="left"/>
            </w:pPr>
            <w:r>
              <w:t xml:space="preserve">προς αυτον</w:t>
            </w:r>
          </w:p>
        </w:tc>
        <w:tc>
          <w:tcPr/>
          <w:p>
            <w:pPr>
              <w:pStyle w:val="Compact"/>
              <w:jc w:val="left"/>
            </w:pPr>
            <w:r>
              <w:t xml:space="preserve">(προς αυτον) / 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07</w:t>
            </w:r>
          </w:p>
        </w:tc>
        <w:tc>
          <w:tcPr/>
          <w:p>
            <w:pPr>
              <w:pStyle w:val="Compact"/>
              <w:jc w:val="left"/>
            </w:pPr>
            <w:r>
              <w:t xml:space="preserve">επι</w:t>
            </w:r>
          </w:p>
        </w:tc>
        <w:tc>
          <w:tcPr/>
          <w:p>
            <w:pPr>
              <w:pStyle w:val="Compact"/>
              <w:jc w:val="left"/>
            </w:pPr>
            <w:r>
              <w:t xml:space="preserve">επι</w:t>
            </w:r>
          </w:p>
        </w:tc>
        <w:tc>
          <w:tcPr/>
          <w:p>
            <w:pPr>
              <w:pStyle w:val="Compact"/>
              <w:jc w:val="left"/>
            </w:pPr>
            <w:r>
              <w:t xml:space="preserve">**εν</w:t>
            </w:r>
          </w:p>
        </w:tc>
      </w:tr>
      <w:tr>
        <w:tc>
          <w:tcPr/>
          <w:p>
            <w:pPr>
              <w:pStyle w:val="Compact"/>
              <w:jc w:val="left"/>
            </w:pPr>
            <w:r>
              <w:t xml:space="preserve">8,3</w:t>
            </w:r>
          </w:p>
        </w:tc>
        <w:tc>
          <w:tcPr/>
          <w:p>
            <w:pPr>
              <w:pStyle w:val="Compact"/>
              <w:jc w:val="right"/>
            </w:pPr>
            <w:r>
              <w:t xml:space="preserve">08</w:t>
            </w:r>
          </w:p>
        </w:tc>
        <w:tc>
          <w:tcPr/>
          <w:p>
            <w:pPr>
              <w:pStyle w:val="Compact"/>
              <w:jc w:val="left"/>
            </w:pPr>
            <w:r>
              <w:t xml:space="preserve">κατειλημμενην</w:t>
            </w:r>
          </w:p>
        </w:tc>
        <w:tc>
          <w:tcPr/>
          <w:p>
            <w:pPr>
              <w:pStyle w:val="Compact"/>
              <w:jc w:val="left"/>
            </w:pPr>
            <w:r>
              <w:t xml:space="preserve">κατειλημμενην</w:t>
            </w:r>
          </w:p>
        </w:tc>
        <w:tc>
          <w:tcPr/>
          <w:p>
            <w:pPr>
              <w:pStyle w:val="Compact"/>
              <w:jc w:val="left"/>
            </w:pPr>
            <w:r>
              <w:t xml:space="preserve">**καταληφθεισαν</w:t>
            </w:r>
          </w:p>
        </w:tc>
      </w:tr>
      <w:tr>
        <w:tc>
          <w:tcPr/>
          <w:p>
            <w:pPr>
              <w:pStyle w:val="Compact"/>
              <w:jc w:val="left"/>
            </w:pPr>
            <w:r>
              <w:t xml:space="preserve">8,3</w:t>
            </w:r>
          </w:p>
        </w:tc>
        <w:tc>
          <w:tcPr/>
          <w:p>
            <w:pPr>
              <w:pStyle w:val="Compact"/>
              <w:jc w:val="right"/>
            </w:pPr>
            <w:r>
              <w:t xml:space="preserve">09</w:t>
            </w:r>
          </w:p>
        </w:tc>
        <w:tc>
          <w:tcPr/>
          <w:p>
            <w:pPr>
              <w:pStyle w:val="Compact"/>
              <w:jc w:val="left"/>
            </w:pPr>
            <w:r>
              <w:t xml:space="preserve">εν μεσω</w:t>
            </w:r>
          </w:p>
        </w:tc>
        <w:tc>
          <w:tcPr/>
          <w:p>
            <w:pPr>
              <w:pStyle w:val="Compact"/>
              <w:jc w:val="left"/>
            </w:pPr>
            <w:r>
              <w:t xml:space="preserve">εν τω μεσω / εν μεσω</w:t>
            </w:r>
          </w:p>
        </w:tc>
        <w:tc>
          <w:tcPr/>
          <w:p>
            <w:pPr>
              <w:pStyle w:val="Compact"/>
              <w:jc w:val="left"/>
            </w:pPr>
            <w:r>
              <w:t xml:space="preserve">εν μεσω</w:t>
            </w:r>
          </w:p>
        </w:tc>
      </w:tr>
      <w:tr>
        <w:tc>
          <w:tcPr/>
          <w:p>
            <w:pPr>
              <w:pStyle w:val="Compact"/>
              <w:jc w:val="left"/>
            </w:pPr>
            <w:r>
              <w:t xml:space="preserve">8,4</w:t>
            </w:r>
          </w:p>
        </w:tc>
        <w:tc>
          <w:tcPr/>
          <w:p>
            <w:pPr>
              <w:pStyle w:val="Compact"/>
              <w:jc w:val="right"/>
            </w:pPr>
            <w:r>
              <w:t xml:space="preserve">10</w:t>
            </w:r>
          </w:p>
        </w:tc>
        <w:tc>
          <w:tcPr/>
          <w:p>
            <w:pPr>
              <w:pStyle w:val="Compact"/>
              <w:jc w:val="left"/>
            </w:pPr>
            <w:r>
              <w:t xml:space="preserve">λεγουσιν</w:t>
            </w:r>
          </w:p>
        </w:tc>
        <w:tc>
          <w:tcPr/>
          <w:p>
            <w:pPr>
              <w:pStyle w:val="Compact"/>
              <w:jc w:val="left"/>
            </w:pPr>
            <w:r>
              <w:t xml:space="preserve">**ειπον</w:t>
            </w:r>
          </w:p>
        </w:tc>
        <w:tc>
          <w:tcPr/>
          <w:p>
            <w:pPr>
              <w:pStyle w:val="Compact"/>
              <w:jc w:val="left"/>
            </w:pPr>
            <w:r>
              <w:t xml:space="preserve">λεγουσιν</w:t>
            </w:r>
          </w:p>
        </w:tc>
      </w:tr>
      <w:tr>
        <w:tc>
          <w:tcPr/>
          <w:p>
            <w:pPr>
              <w:pStyle w:val="Compact"/>
              <w:jc w:val="left"/>
            </w:pPr>
            <w:r>
              <w:t xml:space="preserve">8,4</w:t>
            </w:r>
          </w:p>
        </w:tc>
        <w:tc>
          <w:tcPr/>
          <w:p>
            <w:pPr>
              <w:pStyle w:val="Compact"/>
              <w:jc w:val="right"/>
            </w:pPr>
            <w:r>
              <w:t xml:space="preserve">11</w:t>
            </w:r>
          </w:p>
        </w:tc>
        <w:tc>
          <w:tcPr/>
          <w:p>
            <w:pPr>
              <w:pStyle w:val="Compact"/>
              <w:jc w:val="left"/>
            </w:pPr>
            <w:r>
              <w:t xml:space="preserve">(πειραζοντες)</w:t>
            </w:r>
          </w:p>
        </w:tc>
        <w:tc>
          <w:tcPr/>
          <w:p>
            <w:pPr>
              <w:pStyle w:val="Compact"/>
              <w:jc w:val="left"/>
            </w:pPr>
            <w:r>
              <w:t xml:space="preserve">(πειραζοντες)</w:t>
            </w:r>
          </w:p>
        </w:tc>
        <w:tc>
          <w:tcPr/>
          <w:p>
            <w:pPr>
              <w:pStyle w:val="Compact"/>
              <w:jc w:val="left"/>
            </w:pPr>
            <w:r>
              <w:t xml:space="preserve">**πειραζοντες</w:t>
            </w:r>
          </w:p>
        </w:tc>
      </w:tr>
      <w:tr>
        <w:tc>
          <w:tcPr/>
          <w:p>
            <w:pPr>
              <w:pStyle w:val="Compact"/>
              <w:jc w:val="left"/>
            </w:pPr>
            <w:r>
              <w:t xml:space="preserve">8,4</w:t>
            </w:r>
          </w:p>
        </w:tc>
        <w:tc>
          <w:tcPr/>
          <w:p>
            <w:pPr>
              <w:pStyle w:val="Compact"/>
              <w:jc w:val="right"/>
            </w:pPr>
            <w:r>
              <w:t xml:space="preserve">12</w:t>
            </w:r>
          </w:p>
        </w:tc>
        <w:tc>
          <w:tcPr/>
          <w:p>
            <w:pPr>
              <w:pStyle w:val="Compact"/>
              <w:jc w:val="left"/>
            </w:pPr>
            <w:r>
              <w:t xml:space="preserve">ταυτην ευρομεν</w:t>
            </w:r>
          </w:p>
        </w:tc>
        <w:tc>
          <w:tcPr/>
          <w:p>
            <w:pPr>
              <w:pStyle w:val="Compact"/>
              <w:jc w:val="left"/>
            </w:pPr>
            <w:r>
              <w:t xml:space="preserve">ταυτην ευρομεν</w:t>
            </w:r>
          </w:p>
        </w:tc>
        <w:tc>
          <w:tcPr/>
          <w:p>
            <w:pPr>
              <w:pStyle w:val="Compact"/>
              <w:jc w:val="left"/>
            </w:pPr>
            <w:r>
              <w:t xml:space="preserve">**αυτη η γυνη κατεληφθη / ειληπται / κατειληπται</w:t>
            </w:r>
          </w:p>
        </w:tc>
      </w:tr>
      <w:tr>
        <w:tc>
          <w:tcPr/>
          <w:p>
            <w:pPr>
              <w:pStyle w:val="Compact"/>
              <w:jc w:val="left"/>
            </w:pPr>
            <w:r>
              <w:t xml:space="preserve">8,4</w:t>
            </w:r>
          </w:p>
        </w:tc>
        <w:tc>
          <w:tcPr/>
          <w:p>
            <w:pPr>
              <w:pStyle w:val="Compact"/>
              <w:jc w:val="right"/>
            </w:pPr>
            <w:r>
              <w:t xml:space="preserve">13</w:t>
            </w:r>
          </w:p>
        </w:tc>
        <w:tc>
          <w:tcPr/>
          <w:p>
            <w:pPr>
              <w:pStyle w:val="Compact"/>
              <w:jc w:val="left"/>
            </w:pPr>
            <w:r>
              <w:t xml:space="preserve">επαυτοφωρω</w:t>
            </w:r>
          </w:p>
        </w:tc>
        <w:tc>
          <w:tcPr/>
          <w:p>
            <w:pPr>
              <w:pStyle w:val="Compact"/>
              <w:jc w:val="left"/>
            </w:pPr>
            <w:r>
              <w:t xml:space="preserve">επαυτοφωρω / -φορω / -φορως</w:t>
            </w:r>
          </w:p>
        </w:tc>
        <w:tc>
          <w:tcPr/>
          <w:p>
            <w:pPr>
              <w:pStyle w:val="Compact"/>
              <w:jc w:val="left"/>
            </w:pPr>
            <w:r>
              <w:t xml:space="preserve">επαυτοφωρω / -φορω</w:t>
            </w:r>
          </w:p>
        </w:tc>
      </w:tr>
      <w:tr>
        <w:tc>
          <w:tcPr/>
          <w:p>
            <w:pPr>
              <w:pStyle w:val="Compact"/>
              <w:jc w:val="left"/>
            </w:pPr>
            <w:r>
              <w:t xml:space="preserve">8,4</w:t>
            </w:r>
          </w:p>
        </w:tc>
        <w:tc>
          <w:tcPr/>
          <w:p>
            <w:pPr>
              <w:pStyle w:val="Compact"/>
              <w:jc w:val="right"/>
            </w:pPr>
            <w:r>
              <w:t xml:space="preserve">14</w:t>
            </w:r>
          </w:p>
        </w:tc>
        <w:tc>
          <w:tcPr/>
          <w:p>
            <w:pPr>
              <w:pStyle w:val="Compact"/>
              <w:jc w:val="left"/>
            </w:pPr>
            <w:r>
              <w:t xml:space="preserve">μοιχευομενην</w:t>
            </w:r>
          </w:p>
        </w:tc>
        <w:tc>
          <w:tcPr/>
          <w:p>
            <w:pPr>
              <w:pStyle w:val="Compact"/>
              <w:jc w:val="left"/>
            </w:pPr>
            <w:r>
              <w:t xml:space="preserve">μοιχευομενην / -νη</w:t>
            </w:r>
          </w:p>
        </w:tc>
        <w:tc>
          <w:tcPr/>
          <w:p>
            <w:pPr>
              <w:pStyle w:val="Compact"/>
              <w:jc w:val="left"/>
            </w:pPr>
            <w:r>
              <w:t xml:space="preserve">**μοιχευομενη</w:t>
            </w:r>
          </w:p>
        </w:tc>
      </w:tr>
      <w:tr>
        <w:tc>
          <w:tcPr/>
          <w:p>
            <w:pPr>
              <w:pStyle w:val="Compact"/>
              <w:jc w:val="left"/>
            </w:pPr>
            <w:r>
              <w:t xml:space="preserve">8,5</w:t>
            </w:r>
          </w:p>
        </w:tc>
        <w:tc>
          <w:tcPr/>
          <w:p>
            <w:pPr>
              <w:pStyle w:val="Compact"/>
              <w:jc w:val="right"/>
            </w:pPr>
            <w:r>
              <w:t xml:space="preserve">15</w:t>
            </w:r>
          </w:p>
        </w:tc>
        <w:tc>
          <w:tcPr/>
          <w:p>
            <w:pPr>
              <w:pStyle w:val="Compact"/>
              <w:jc w:val="left"/>
            </w:pPr>
            <w:r>
              <w:t xml:space="preserve">ημων Μωσης</w:t>
            </w:r>
          </w:p>
        </w:tc>
        <w:tc>
          <w:tcPr/>
          <w:p>
            <w:pPr>
              <w:pStyle w:val="Compact"/>
              <w:jc w:val="left"/>
            </w:pPr>
            <w:r>
              <w:t xml:space="preserve">ημων Μωσης / υμων Μωσης / Μ. ενετ. ημιν / Μωση</w:t>
            </w:r>
          </w:p>
        </w:tc>
        <w:tc>
          <w:tcPr/>
          <w:p>
            <w:pPr>
              <w:pStyle w:val="Compact"/>
              <w:jc w:val="left"/>
            </w:pPr>
            <w:r>
              <w:t xml:space="preserve">**Μωσης ημιν</w:t>
            </w:r>
          </w:p>
        </w:tc>
      </w:tr>
      <w:tr>
        <w:tc>
          <w:tcPr/>
          <w:p>
            <w:pPr>
              <w:pStyle w:val="Compact"/>
              <w:jc w:val="left"/>
            </w:pPr>
            <w:r>
              <w:t xml:space="preserve">8,5</w:t>
            </w:r>
          </w:p>
        </w:tc>
        <w:tc>
          <w:tcPr/>
          <w:p>
            <w:pPr>
              <w:pStyle w:val="Compact"/>
              <w:jc w:val="right"/>
            </w:pPr>
            <w:r>
              <w:t xml:space="preserve">16</w:t>
            </w:r>
          </w:p>
        </w:tc>
        <w:tc>
          <w:tcPr/>
          <w:p>
            <w:pPr>
              <w:pStyle w:val="Compact"/>
              <w:jc w:val="left"/>
            </w:pPr>
            <w:r>
              <w:t xml:space="preserve">λιθοβολεισθαι</w:t>
            </w:r>
          </w:p>
        </w:tc>
        <w:tc>
          <w:tcPr/>
          <w:p>
            <w:pPr>
              <w:pStyle w:val="Compact"/>
              <w:jc w:val="left"/>
            </w:pPr>
            <w:r>
              <w:t xml:space="preserve">**λιθαζειν</w:t>
            </w:r>
          </w:p>
        </w:tc>
        <w:tc>
          <w:tcPr/>
          <w:p>
            <w:pPr>
              <w:pStyle w:val="Compact"/>
              <w:jc w:val="left"/>
            </w:pPr>
            <w:r>
              <w:t xml:space="preserve">λιθοβολεισθαι</w:t>
            </w:r>
          </w:p>
        </w:tc>
      </w:tr>
      <w:tr>
        <w:tc>
          <w:tcPr/>
          <w:p>
            <w:pPr>
              <w:pStyle w:val="Compact"/>
              <w:jc w:val="left"/>
            </w:pPr>
            <w:r>
              <w:t xml:space="preserve">8,5</w:t>
            </w:r>
          </w:p>
        </w:tc>
        <w:tc>
          <w:tcPr/>
          <w:p>
            <w:pPr>
              <w:pStyle w:val="Compact"/>
              <w:jc w:val="right"/>
            </w:pPr>
            <w:r>
              <w:t xml:space="preserve">17</w:t>
            </w:r>
          </w:p>
        </w:tc>
        <w:tc>
          <w:tcPr/>
          <w:p>
            <w:pPr>
              <w:pStyle w:val="Compact"/>
              <w:jc w:val="left"/>
            </w:pPr>
            <w:r>
              <w:t xml:space="preserve">(περι αυτης)</w:t>
            </w:r>
          </w:p>
        </w:tc>
        <w:tc>
          <w:tcPr/>
          <w:p>
            <w:pPr>
              <w:pStyle w:val="Compact"/>
              <w:jc w:val="left"/>
            </w:pPr>
            <w:r>
              <w:t xml:space="preserve">(περι αυτης) / περι αυτης</w:t>
            </w:r>
          </w:p>
        </w:tc>
        <w:tc>
          <w:tcPr/>
          <w:p>
            <w:pPr>
              <w:pStyle w:val="Compact"/>
              <w:jc w:val="left"/>
            </w:pPr>
            <w:r>
              <w:t xml:space="preserve">(περι αυτης)</w:t>
            </w:r>
          </w:p>
        </w:tc>
      </w:tr>
      <w:tr>
        <w:tc>
          <w:tcPr/>
          <w:p>
            <w:pPr>
              <w:pStyle w:val="Compact"/>
              <w:jc w:val="left"/>
            </w:pPr>
            <w:r>
              <w:t xml:space="preserve">8,6</w:t>
            </w:r>
          </w:p>
        </w:tc>
        <w:tc>
          <w:tcPr/>
          <w:p>
            <w:pPr>
              <w:pStyle w:val="Compact"/>
              <w:jc w:val="right"/>
            </w:pPr>
            <w:r>
              <w:t xml:space="preserve">18</w:t>
            </w:r>
          </w:p>
        </w:tc>
        <w:tc>
          <w:tcPr/>
          <w:p>
            <w:pPr>
              <w:pStyle w:val="Compact"/>
              <w:jc w:val="left"/>
            </w:pPr>
            <w:r>
              <w:t xml:space="preserve">κατηγοριαν κατ</w:t>
            </w:r>
          </w:p>
        </w:tc>
        <w:tc>
          <w:tcPr/>
          <w:p>
            <w:pPr>
              <w:pStyle w:val="Compact"/>
              <w:jc w:val="left"/>
            </w:pPr>
            <w:r>
              <w:t xml:space="preserve">κατηγοριαν κατ</w:t>
            </w:r>
          </w:p>
        </w:tc>
        <w:tc>
          <w:tcPr/>
          <w:p>
            <w:pPr>
              <w:pStyle w:val="Compact"/>
              <w:jc w:val="left"/>
            </w:pPr>
            <w:r>
              <w:t xml:space="preserve">**κατηγορειν</w:t>
            </w:r>
          </w:p>
        </w:tc>
      </w:tr>
      <w:tr>
        <w:tc>
          <w:tcPr/>
          <w:p>
            <w:pPr>
              <w:pStyle w:val="Compact"/>
              <w:jc w:val="left"/>
            </w:pPr>
            <w:r>
              <w:t xml:space="preserve">8,6</w:t>
            </w:r>
          </w:p>
        </w:tc>
        <w:tc>
          <w:tcPr/>
          <w:p>
            <w:pPr>
              <w:pStyle w:val="Compact"/>
              <w:jc w:val="right"/>
            </w:pPr>
            <w:r>
              <w:t xml:space="preserve">19</w:t>
            </w:r>
          </w:p>
        </w:tc>
        <w:tc>
          <w:tcPr/>
          <w:p>
            <w:pPr>
              <w:pStyle w:val="Compact"/>
              <w:jc w:val="left"/>
            </w:pPr>
            <w:r>
              <w:t xml:space="preserve">μη προσποιουμενος</w:t>
            </w:r>
          </w:p>
        </w:tc>
        <w:tc>
          <w:tcPr/>
          <w:p>
            <w:pPr>
              <w:pStyle w:val="Compact"/>
              <w:jc w:val="left"/>
            </w:pPr>
            <w:r>
              <w:t xml:space="preserve">(μη προσποιουμενος) / μη προσποιουμενος</w:t>
            </w:r>
          </w:p>
        </w:tc>
        <w:tc>
          <w:tcPr/>
          <w:p>
            <w:pPr>
              <w:pStyle w:val="Compact"/>
              <w:jc w:val="left"/>
            </w:pPr>
            <w:r>
              <w:t xml:space="preserve">μη προσποιουμενος</w:t>
            </w:r>
          </w:p>
        </w:tc>
      </w:tr>
      <w:tr>
        <w:tc>
          <w:tcPr/>
          <w:p>
            <w:pPr>
              <w:pStyle w:val="Compact"/>
              <w:jc w:val="left"/>
            </w:pPr>
            <w:r>
              <w:t xml:space="preserve">8,7</w:t>
            </w:r>
          </w:p>
        </w:tc>
        <w:tc>
          <w:tcPr/>
          <w:p>
            <w:pPr>
              <w:pStyle w:val="Compact"/>
              <w:jc w:val="right"/>
            </w:pPr>
            <w:r>
              <w:t xml:space="preserve">20</w:t>
            </w:r>
          </w:p>
        </w:tc>
        <w:tc>
          <w:tcPr/>
          <w:p>
            <w:pPr>
              <w:pStyle w:val="Compact"/>
              <w:jc w:val="left"/>
            </w:pPr>
            <w:r>
              <w:t xml:space="preserve">ερωτωντες</w:t>
            </w:r>
          </w:p>
        </w:tc>
        <w:tc>
          <w:tcPr/>
          <w:p>
            <w:pPr>
              <w:pStyle w:val="Compact"/>
              <w:jc w:val="left"/>
            </w:pPr>
            <w:r>
              <w:t xml:space="preserve">ερωτωντες / επερωτωντες</w:t>
            </w:r>
          </w:p>
        </w:tc>
        <w:tc>
          <w:tcPr/>
          <w:p>
            <w:pPr>
              <w:pStyle w:val="Compact"/>
              <w:jc w:val="left"/>
            </w:pPr>
            <w:r>
              <w:t xml:space="preserve">ερωτωντες</w:t>
            </w:r>
          </w:p>
        </w:tc>
      </w:tr>
      <w:tr>
        <w:tc>
          <w:tcPr/>
          <w:p>
            <w:pPr>
              <w:pStyle w:val="Compact"/>
              <w:jc w:val="left"/>
            </w:pPr>
            <w:r>
              <w:t xml:space="preserve">8,7</w:t>
            </w:r>
          </w:p>
        </w:tc>
        <w:tc>
          <w:tcPr/>
          <w:p>
            <w:pPr>
              <w:pStyle w:val="Compact"/>
              <w:jc w:val="right"/>
            </w:pPr>
            <w:r>
              <w:t xml:space="preserve">21</w:t>
            </w:r>
          </w:p>
        </w:tc>
        <w:tc>
          <w:tcPr/>
          <w:p>
            <w:pPr>
              <w:pStyle w:val="Compact"/>
              <w:jc w:val="left"/>
            </w:pPr>
            <w:r>
              <w:t xml:space="preserve">ανακυψας</w:t>
            </w:r>
          </w:p>
        </w:tc>
        <w:tc>
          <w:tcPr/>
          <w:p>
            <w:pPr>
              <w:pStyle w:val="Compact"/>
              <w:jc w:val="left"/>
            </w:pPr>
            <w:r>
              <w:t xml:space="preserve">αναβλεψας / ανακυψας</w:t>
            </w:r>
          </w:p>
        </w:tc>
        <w:tc>
          <w:tcPr/>
          <w:p>
            <w:pPr>
              <w:pStyle w:val="Compact"/>
              <w:jc w:val="left"/>
            </w:pPr>
            <w:r>
              <w:t xml:space="preserve">ανακυψας</w:t>
            </w:r>
          </w:p>
        </w:tc>
      </w:tr>
      <w:tr>
        <w:tc>
          <w:tcPr/>
          <w:p>
            <w:pPr>
              <w:pStyle w:val="Compact"/>
              <w:jc w:val="left"/>
            </w:pPr>
            <w:r>
              <w:t xml:space="preserve">8,7</w:t>
            </w:r>
          </w:p>
        </w:tc>
        <w:tc>
          <w:tcPr/>
          <w:p>
            <w:pPr>
              <w:pStyle w:val="Compact"/>
              <w:jc w:val="right"/>
            </w:pPr>
            <w:r>
              <w:t xml:space="preserve">22</w:t>
            </w:r>
          </w:p>
        </w:tc>
        <w:tc>
          <w:tcPr/>
          <w:p>
            <w:pPr>
              <w:pStyle w:val="Compact"/>
              <w:jc w:val="left"/>
            </w:pPr>
            <w:r>
              <w:t xml:space="preserve">προς αυτους</w:t>
            </w:r>
          </w:p>
        </w:tc>
        <w:tc>
          <w:tcPr/>
          <w:p>
            <w:pPr>
              <w:pStyle w:val="Compact"/>
              <w:jc w:val="left"/>
            </w:pPr>
            <w:r>
              <w:t xml:space="preserve">**αυτοις</w:t>
            </w:r>
          </w:p>
        </w:tc>
        <w:tc>
          <w:tcPr/>
          <w:p>
            <w:pPr>
              <w:pStyle w:val="Compact"/>
              <w:jc w:val="left"/>
            </w:pPr>
            <w:r>
              <w:t xml:space="preserve">προς αυτους</w:t>
            </w:r>
          </w:p>
        </w:tc>
      </w:tr>
      <w:tr>
        <w:tc>
          <w:tcPr/>
          <w:p>
            <w:pPr>
              <w:pStyle w:val="Compact"/>
              <w:jc w:val="left"/>
            </w:pPr>
            <w:r>
              <w:t xml:space="preserve">8,7</w:t>
            </w:r>
          </w:p>
        </w:tc>
        <w:tc>
          <w:tcPr/>
          <w:p>
            <w:pPr>
              <w:pStyle w:val="Compact"/>
              <w:jc w:val="right"/>
            </w:pPr>
            <w:r>
              <w:t xml:space="preserve">23</w:t>
            </w:r>
          </w:p>
        </w:tc>
        <w:tc>
          <w:tcPr/>
          <w:p>
            <w:pPr>
              <w:pStyle w:val="Compact"/>
              <w:jc w:val="left"/>
            </w:pPr>
            <w:r>
              <w:t xml:space="preserve">**τον λιθον επ αυτη βαλετω</w:t>
            </w:r>
          </w:p>
        </w:tc>
        <w:tc>
          <w:tcPr/>
          <w:p>
            <w:pPr>
              <w:pStyle w:val="Compact"/>
              <w:jc w:val="left"/>
            </w:pPr>
            <w:r>
              <w:t xml:space="preserve">**λιθον βαλετω επ αυτην</w:t>
            </w:r>
          </w:p>
        </w:tc>
        <w:tc>
          <w:tcPr/>
          <w:p>
            <w:pPr>
              <w:pStyle w:val="Compact"/>
              <w:jc w:val="left"/>
            </w:pPr>
            <w:r>
              <w:t xml:space="preserve">**επ αυτην τον λιθον βαλετω</w:t>
            </w:r>
          </w:p>
        </w:tc>
      </w:tr>
      <w:tr>
        <w:tc>
          <w:tcPr/>
          <w:p>
            <w:pPr>
              <w:pStyle w:val="Compact"/>
              <w:jc w:val="left"/>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c>
          <w:tcPr/>
          <w:p>
            <w:pPr>
              <w:pStyle w:val="Compact"/>
              <w:jc w:val="left"/>
            </w:pPr>
            <w:r>
              <w:t xml:space="preserve">(και υπο της συνειδησεως ελεγχομενοι) / και υπο της συνειδησεως ελεγχομενοι</w:t>
            </w:r>
          </w:p>
        </w:tc>
        <w:tc>
          <w:tcPr/>
          <w:p>
            <w:pPr>
              <w:pStyle w:val="Compact"/>
              <w:jc w:val="left"/>
            </w:pPr>
            <w:r>
              <w:t xml:space="preserve">και υπο της συνειδησεως ελεγχομενοι</w:t>
            </w:r>
          </w:p>
        </w:tc>
      </w:tr>
      <w:tr>
        <w:tc>
          <w:tcPr/>
          <w:p>
            <w:pPr>
              <w:pStyle w:val="Compact"/>
              <w:jc w:val="left"/>
            </w:pPr>
            <w:r>
              <w:t xml:space="preserve">8,9</w:t>
            </w:r>
          </w:p>
        </w:tc>
        <w:tc>
          <w:tcPr/>
          <w:p>
            <w:pPr>
              <w:pStyle w:val="Compact"/>
              <w:jc w:val="right"/>
            </w:pPr>
            <w:r>
              <w:t xml:space="preserve">25</w:t>
            </w:r>
          </w:p>
        </w:tc>
        <w:tc>
          <w:tcPr/>
          <w:p>
            <w:pPr>
              <w:pStyle w:val="Compact"/>
              <w:jc w:val="left"/>
            </w:pPr>
            <w:r>
              <w:t xml:space="preserve">εως των εσχατων</w:t>
            </w:r>
          </w:p>
        </w:tc>
        <w:tc>
          <w:tcPr/>
          <w:p>
            <w:pPr>
              <w:pStyle w:val="Compact"/>
              <w:jc w:val="left"/>
            </w:pPr>
            <w:r>
              <w:t xml:space="preserve">εως των εσχατων</w:t>
            </w:r>
          </w:p>
        </w:tc>
        <w:tc>
          <w:tcPr/>
          <w:p>
            <w:pPr>
              <w:pStyle w:val="Compact"/>
              <w:jc w:val="left"/>
            </w:pPr>
            <w:r>
              <w:t xml:space="preserve">**(εως των εσχατων)</w:t>
            </w:r>
          </w:p>
        </w:tc>
      </w:tr>
      <w:tr>
        <w:tc>
          <w:tcPr/>
          <w:p>
            <w:pPr>
              <w:pStyle w:val="Compact"/>
              <w:jc w:val="left"/>
            </w:pPr>
            <w:r>
              <w:t xml:space="preserve">8,9</w:t>
            </w:r>
          </w:p>
        </w:tc>
        <w:tc>
          <w:tcPr/>
          <w:p>
            <w:pPr>
              <w:pStyle w:val="Compact"/>
              <w:jc w:val="right"/>
            </w:pPr>
            <w:r>
              <w:t xml:space="preserve">26</w:t>
            </w:r>
          </w:p>
        </w:tc>
        <w:tc>
          <w:tcPr/>
          <w:p>
            <w:pPr>
              <w:pStyle w:val="Compact"/>
              <w:jc w:val="left"/>
            </w:pPr>
            <w:r>
              <w:t xml:space="preserve">μονος ο Ιησους</w:t>
            </w:r>
          </w:p>
        </w:tc>
        <w:tc>
          <w:tcPr/>
          <w:p>
            <w:pPr>
              <w:pStyle w:val="Compact"/>
              <w:jc w:val="left"/>
            </w:pPr>
            <w:r>
              <w:t xml:space="preserve">ο Ιησους μονος / μονος</w:t>
            </w:r>
          </w:p>
        </w:tc>
        <w:tc>
          <w:tcPr/>
          <w:p>
            <w:pPr>
              <w:pStyle w:val="Compact"/>
              <w:jc w:val="left"/>
            </w:pPr>
            <w:r>
              <w:t xml:space="preserve">μονος ο Ιησους</w:t>
            </w:r>
          </w:p>
        </w:tc>
      </w:tr>
      <w:tr>
        <w:tc>
          <w:tcPr/>
          <w:p>
            <w:pPr>
              <w:pStyle w:val="Compact"/>
              <w:jc w:val="left"/>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c>
          <w:tcPr/>
          <w:p>
            <w:pPr>
              <w:pStyle w:val="Compact"/>
              <w:jc w:val="left"/>
            </w:pPr>
            <w:r>
              <w:t xml:space="preserve">**ειδεν αυτην και</w:t>
            </w:r>
          </w:p>
        </w:tc>
        <w:tc>
          <w:tcPr/>
          <w:p>
            <w:pPr>
              <w:pStyle w:val="Compact"/>
              <w:jc w:val="left"/>
            </w:pPr>
            <w:r>
              <w:t xml:space="preserve">και μηδενα θεασαμενος πλην της γυναικος</w:t>
            </w:r>
          </w:p>
        </w:tc>
      </w:tr>
      <w:tr>
        <w:tc>
          <w:tcPr/>
          <w:p>
            <w:pPr>
              <w:pStyle w:val="Compact"/>
              <w:jc w:val="left"/>
            </w:pPr>
            <w:r>
              <w:t xml:space="preserve">8,10</w:t>
            </w:r>
          </w:p>
        </w:tc>
        <w:tc>
          <w:tcPr/>
          <w:p>
            <w:pPr>
              <w:pStyle w:val="Compact"/>
              <w:jc w:val="right"/>
            </w:pPr>
            <w:r>
              <w:t xml:space="preserve">28</w:t>
            </w:r>
          </w:p>
        </w:tc>
        <w:tc>
          <w:tcPr/>
          <w:p>
            <w:pPr>
              <w:pStyle w:val="Compact"/>
              <w:jc w:val="left"/>
            </w:pPr>
            <w:r>
              <w:t xml:space="preserve">αυτη</w:t>
            </w:r>
          </w:p>
        </w:tc>
        <w:tc>
          <w:tcPr/>
          <w:p>
            <w:pPr>
              <w:pStyle w:val="Compact"/>
              <w:jc w:val="left"/>
            </w:pPr>
            <w:r>
              <w:t xml:space="preserve">**(αυτη) γυναι</w:t>
            </w:r>
          </w:p>
        </w:tc>
        <w:tc>
          <w:tcPr/>
          <w:p>
            <w:pPr>
              <w:pStyle w:val="Compact"/>
              <w:jc w:val="left"/>
            </w:pPr>
            <w:r>
              <w:t xml:space="preserve">αυτη / αυτη γυναι</w:t>
            </w:r>
          </w:p>
        </w:tc>
      </w:tr>
      <w:tr>
        <w:tc>
          <w:tcPr/>
          <w:p>
            <w:pPr>
              <w:pStyle w:val="Compact"/>
              <w:jc w:val="left"/>
            </w:pPr>
            <w:r>
              <w:t xml:space="preserve">8,10</w:t>
            </w:r>
          </w:p>
        </w:tc>
        <w:tc>
          <w:tcPr/>
          <w:p>
            <w:pPr>
              <w:pStyle w:val="Compact"/>
              <w:jc w:val="right"/>
            </w:pPr>
            <w:r>
              <w:t xml:space="preserve">29</w:t>
            </w:r>
          </w:p>
        </w:tc>
        <w:tc>
          <w:tcPr/>
          <w:p>
            <w:pPr>
              <w:pStyle w:val="Compact"/>
              <w:jc w:val="left"/>
            </w:pPr>
            <w:r>
              <w:t xml:space="preserve">εκεινοι οι κατηγοροι σου</w:t>
            </w:r>
          </w:p>
        </w:tc>
        <w:tc>
          <w:tcPr/>
          <w:p>
            <w:pPr>
              <w:pStyle w:val="Compact"/>
              <w:jc w:val="left"/>
            </w:pPr>
            <w:r>
              <w:t xml:space="preserve">εκεινοι οι κατηγοροι σου / οι κατηγοροισου</w:t>
            </w:r>
          </w:p>
        </w:tc>
        <w:tc>
          <w:tcPr/>
          <w:p>
            <w:pPr>
              <w:pStyle w:val="Compact"/>
              <w:jc w:val="left"/>
            </w:pPr>
            <w:r>
              <w:t xml:space="preserve">εκεινοι οι κατηγοροι σου</w:t>
            </w:r>
          </w:p>
        </w:tc>
      </w:tr>
      <w:tr>
        <w:tc>
          <w:tcPr/>
          <w:p>
            <w:pPr>
              <w:pStyle w:val="Compact"/>
              <w:jc w:val="left"/>
            </w:pPr>
            <w:r>
              <w:t xml:space="preserve">8,11</w:t>
            </w:r>
          </w:p>
        </w:tc>
        <w:tc>
          <w:tcPr/>
          <w:p>
            <w:pPr>
              <w:pStyle w:val="Compact"/>
              <w:jc w:val="right"/>
            </w:pPr>
            <w:r>
              <w:t xml:space="preserve">30</w:t>
            </w:r>
          </w:p>
        </w:tc>
        <w:tc>
          <w:tcPr/>
          <w:p>
            <w:pPr>
              <w:pStyle w:val="Compact"/>
              <w:jc w:val="left"/>
            </w:pPr>
            <w:r>
              <w:t xml:space="preserve">ειπεν δε αυτη ο Ιησους</w:t>
            </w:r>
          </w:p>
        </w:tc>
        <w:tc>
          <w:tcPr/>
          <w:p>
            <w:pPr>
              <w:pStyle w:val="Compact"/>
              <w:jc w:val="left"/>
            </w:pPr>
            <w:r>
              <w:t xml:space="preserve">ειπεν δε αυτη ο Ιησους</w:t>
            </w:r>
          </w:p>
        </w:tc>
        <w:tc>
          <w:tcPr/>
          <w:p>
            <w:pPr>
              <w:pStyle w:val="Compact"/>
              <w:jc w:val="left"/>
            </w:pPr>
            <w:r>
              <w:t xml:space="preserve">**ειπεν δε ο Ιησους</w:t>
            </w:r>
          </w:p>
        </w:tc>
      </w:tr>
      <w:tr>
        <w:tc>
          <w:tcPr/>
          <w:p>
            <w:pPr>
              <w:pStyle w:val="Compact"/>
              <w:jc w:val="left"/>
            </w:pPr>
            <w:r>
              <w:t xml:space="preserve">8,11</w:t>
            </w:r>
          </w:p>
        </w:tc>
        <w:tc>
          <w:tcPr/>
          <w:p>
            <w:pPr>
              <w:pStyle w:val="Compact"/>
              <w:jc w:val="right"/>
            </w:pPr>
            <w:r>
              <w:t xml:space="preserve">31</w:t>
            </w:r>
          </w:p>
        </w:tc>
        <w:tc>
          <w:tcPr/>
          <w:p>
            <w:pPr>
              <w:pStyle w:val="Compact"/>
              <w:jc w:val="left"/>
            </w:pPr>
            <w:r>
              <w:t xml:space="preserve">κατακρινω</w:t>
            </w:r>
          </w:p>
        </w:tc>
        <w:tc>
          <w:tcPr/>
          <w:p>
            <w:pPr>
              <w:pStyle w:val="Compact"/>
              <w:jc w:val="left"/>
            </w:pPr>
            <w:r>
              <w:t xml:space="preserve">κατακρινω</w:t>
            </w:r>
          </w:p>
        </w:tc>
        <w:tc>
          <w:tcPr/>
          <w:p>
            <w:pPr>
              <w:pStyle w:val="Compact"/>
              <w:jc w:val="left"/>
            </w:pPr>
            <w:r>
              <w:t xml:space="preserve">**κρινω / κατακρινω</w:t>
            </w:r>
          </w:p>
        </w:tc>
      </w:tr>
      <w:tr>
        <w:tc>
          <w:tcPr/>
          <w:p>
            <w:pPr>
              <w:pStyle w:val="Compact"/>
              <w:jc w:val="left"/>
            </w:pPr>
            <w:r>
              <w:t xml:space="preserve">8,11</w:t>
            </w:r>
          </w:p>
        </w:tc>
        <w:tc>
          <w:tcPr/>
          <w:p>
            <w:pPr>
              <w:pStyle w:val="Compact"/>
              <w:jc w:val="right"/>
            </w:pPr>
            <w:r>
              <w:t xml:space="preserve">32</w:t>
            </w:r>
          </w:p>
        </w:tc>
        <w:tc>
          <w:tcPr/>
          <w:p>
            <w:pPr>
              <w:pStyle w:val="Compact"/>
              <w:jc w:val="left"/>
            </w:pPr>
            <w:r>
              <w:t xml:space="preserve">και απο του νυν</w:t>
            </w:r>
          </w:p>
        </w:tc>
        <w:tc>
          <w:tcPr/>
          <w:p>
            <w:pPr>
              <w:pStyle w:val="Compact"/>
              <w:jc w:val="left"/>
            </w:pPr>
            <w:r>
              <w:t xml:space="preserve">και απο του νυν / απο του νυν και</w:t>
            </w:r>
          </w:p>
        </w:tc>
        <w:tc>
          <w:tcPr/>
          <w:p>
            <w:pPr>
              <w:pStyle w:val="Compact"/>
              <w:jc w:val="left"/>
            </w:pPr>
            <w:r>
              <w:t xml:space="preserve">**και</w:t>
            </w:r>
          </w:p>
        </w:tc>
      </w:tr>
    </w:tbl>
    <w:p>
      <w:pPr>
        <w:pStyle w:val="BodyText"/>
      </w:pPr>
      <w:r>
        <w:rPr>
          <w:bCs/>
          <w:b/>
        </w:rPr>
        <w:t xml:space="preserve">M</w:t>
      </w:r>
      <w:r>
        <w:rPr>
          <w:vertAlign w:val="superscript"/>
          <w:bCs/>
          <w:b/>
        </w:rPr>
        <w:t xml:space="preserve">7</w:t>
      </w:r>
      <w:r>
        <w:t xml:space="preserve"> </w:t>
      </w:r>
      <w:r>
        <w:t xml:space="preserve">ma jeden wyraźny, jednoznaczny i niebudzący wątpliwości profil/mozaikę, określony przez 127 manuskryptów — nie ma między nimi żadnego zróżnicowania wewnętrznego (wszystkie 127 są dokładnie takie same we wszystkich dwunastu wersetach).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Na potrzeby odróżnienia ich od siebie nawzajem oraz od</w:t>
      </w:r>
      <w:r>
        <w:t xml:space="preserve"> </w:t>
      </w:r>
      <w:r>
        <w:rPr>
          <w:bCs/>
          <w:b/>
        </w:rPr>
        <w:t xml:space="preserve">7</w:t>
      </w:r>
      <w:r>
        <w:t xml:space="preserve"> </w:t>
      </w:r>
      <w:r>
        <w:t xml:space="preserve">można uzyskać częściowy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rodziny. Użyłem **, aby wyróżnić warianty, które można by nazwać „kręgosłupem” rodziny, w celu odróżnienia jej od pozostałych. Jak czytelnik może sprawdzić,</w:t>
      </w:r>
      <w:r>
        <w:t xml:space="preserve"> </w:t>
      </w:r>
      <w:r>
        <w:rPr>
          <w:bCs/>
          <w:b/>
        </w:rPr>
        <w:t xml:space="preserve">6</w:t>
      </w:r>
      <w:r>
        <w:t xml:space="preserve"> </w:t>
      </w:r>
      <w:r>
        <w:t xml:space="preserve">ma podział wewnętrzny nie mniej niż 15 razy na 32, co nie podnosi jej współczynnika wiarygodności.</w:t>
      </w:r>
      <w:r>
        <w:t xml:space="preserve"> </w:t>
      </w:r>
      <w:r>
        <w:rPr>
          <w:bCs/>
          <w:b/>
        </w:rPr>
        <w:t xml:space="preserve">5</w:t>
      </w:r>
      <w:r>
        <w:t xml:space="preserve"> </w:t>
      </w:r>
      <w:r>
        <w:t xml:space="preserve">ma ich „tylko” cztery, jest więc znacznie mniej „grząska” niż</w:t>
      </w:r>
      <w:r>
        <w:t xml:space="preserve"> </w:t>
      </w:r>
      <w:r>
        <w:rPr>
          <w:bCs/>
          <w:b/>
        </w:rPr>
        <w:t xml:space="preserve">6</w:t>
      </w:r>
      <w:r>
        <w:t xml:space="preserve">, lecz natura tych czterech nie pozwala na ustalenie jednej formy archetypalnej. (Nie uwzględniłem wyżej zestawu 13 z powodu ogólnego pomieszania wśród manuskryptów).</w:t>
      </w:r>
    </w:p>
    <w:p>
      <w:pPr>
        <w:pStyle w:val="BodyText"/>
      </w:pPr>
      <w:r>
        <w:t xml:space="preserve">Otóż</w:t>
      </w:r>
      <w:r>
        <w:t xml:space="preserve"> </w:t>
      </w:r>
      <w:r>
        <w:rPr>
          <w:bCs/>
          <w:b/>
        </w:rPr>
        <w:t xml:space="preserve">7</w:t>
      </w:r>
      <w:r>
        <w:t xml:space="preserve"> </w:t>
      </w:r>
      <w:r>
        <w:t xml:space="preserve">i</w:t>
      </w:r>
      <w:r>
        <w:t xml:space="preserve"> </w:t>
      </w:r>
      <w:r>
        <w:rPr>
          <w:bCs/>
          <w:b/>
        </w:rPr>
        <w:t xml:space="preserve">6</w:t>
      </w:r>
      <w:r>
        <w:t xml:space="preserve"> </w:t>
      </w:r>
      <w:r>
        <w:t xml:space="preserve">łączą się przeciwko</w:t>
      </w:r>
      <w:r>
        <w:t xml:space="preserve"> </w:t>
      </w:r>
      <w:r>
        <w:rPr>
          <w:bCs/>
          <w:b/>
        </w:rPr>
        <w:t xml:space="preserve">5</w:t>
      </w:r>
      <w:r>
        <w:t xml:space="preserve"> </w:t>
      </w:r>
      <w:r>
        <w:t xml:space="preserve">czternaście razy,</w:t>
      </w:r>
      <w:r>
        <w:t xml:space="preserve"> </w:t>
      </w:r>
      <w:r>
        <w:rPr>
          <w:bCs/>
          <w:b/>
        </w:rPr>
        <w:t xml:space="preserve">7</w:t>
      </w:r>
      <w:r>
        <w:t xml:space="preserve"> </w:t>
      </w:r>
      <w:r>
        <w:t xml:space="preserve">i</w:t>
      </w:r>
      <w:r>
        <w:t xml:space="preserve"> </w:t>
      </w:r>
      <w:r>
        <w:rPr>
          <w:bCs/>
          <w:b/>
        </w:rPr>
        <w:t xml:space="preserve">5</w:t>
      </w:r>
      <w:r>
        <w:t xml:space="preserve"> </w:t>
      </w:r>
      <w:r>
        <w:t xml:space="preserve">łączą się przeciwko</w:t>
      </w:r>
      <w:r>
        <w:t xml:space="preserve"> </w:t>
      </w:r>
      <w:r>
        <w:rPr>
          <w:bCs/>
          <w:b/>
        </w:rPr>
        <w:t xml:space="preserve">6</w:t>
      </w:r>
      <w:r>
        <w:t xml:space="preserve"> </w:t>
      </w:r>
      <w:r>
        <w:t xml:space="preserve">dziewięć razy,</w:t>
      </w:r>
      <w:r>
        <w:t xml:space="preserve"> </w:t>
      </w:r>
      <w:r>
        <w:rPr>
          <w:bCs/>
          <w:b/>
        </w:rPr>
        <w:t xml:space="preserve">6</w:t>
      </w:r>
      <w:r>
        <w:t xml:space="preserve"> </w:t>
      </w:r>
      <w:r>
        <w:t xml:space="preserve">i</w:t>
      </w:r>
      <w:r>
        <w:t xml:space="preserve"> </w:t>
      </w:r>
      <w:r>
        <w:rPr>
          <w:bCs/>
          <w:b/>
        </w:rPr>
        <w:t xml:space="preserve">5</w:t>
      </w:r>
      <w:r>
        <w:t xml:space="preserve"> </w:t>
      </w:r>
      <w:r>
        <w:t xml:space="preserve">zaś</w:t>
      </w:r>
      <w:r>
        <w:t xml:space="preserve"> </w:t>
      </w:r>
      <w:r>
        <w:rPr>
          <w:u w:val="single"/>
        </w:rPr>
        <w:t xml:space="preserve">ani jeden jedyny raz nie łączą się przeciwko</w:t>
      </w:r>
      <w:r>
        <w:rPr>
          <w:u w:val="single"/>
        </w:rPr>
        <w:t xml:space="preserve"> </w:t>
      </w:r>
      <w:r>
        <w:rPr>
          <w:bCs/>
          <w:b/>
          <w:u w:val="single"/>
        </w:rPr>
        <w:t xml:space="preserve">7</w:t>
      </w:r>
      <w:r>
        <w:t xml:space="preserve">. Czy oznacza to, że</w:t>
      </w:r>
      <w:r>
        <w:t xml:space="preserve"> </w:t>
      </w:r>
      <w:r>
        <w:rPr>
          <w:bCs/>
          <w:b/>
        </w:rPr>
        <w:t xml:space="preserve">7</w:t>
      </w:r>
      <w:r>
        <w:t xml:space="preserve"> </w:t>
      </w:r>
      <w:r>
        <w:t xml:space="preserve">zależy od</w:t>
      </w:r>
      <w:r>
        <w:t xml:space="preserve"> </w:t>
      </w:r>
      <w:r>
        <w:rPr>
          <w:bCs/>
          <w:b/>
        </w:rPr>
        <w:t xml:space="preserve">5</w:t>
      </w:r>
      <w:r>
        <w:t xml:space="preserve"> </w:t>
      </w:r>
      <w:r>
        <w:t xml:space="preserve">i</w:t>
      </w:r>
      <w:r>
        <w:t xml:space="preserve"> </w:t>
      </w:r>
      <w:r>
        <w:rPr>
          <w:bCs/>
          <w:b/>
        </w:rPr>
        <w:t xml:space="preserve">6</w:t>
      </w:r>
      <w:r>
        <w:t xml:space="preserve"> </w:t>
      </w:r>
      <w:r>
        <w:t xml:space="preserve">(von Soden), czy że</w:t>
      </w:r>
      <w:r>
        <w:t xml:space="preserve"> </w:t>
      </w:r>
      <w:r>
        <w:rPr>
          <w:bCs/>
          <w:b/>
        </w:rPr>
        <w:t xml:space="preserve">5</w:t>
      </w:r>
      <w:r>
        <w:t xml:space="preserve"> </w:t>
      </w:r>
      <w:r>
        <w:t xml:space="preserve">i</w:t>
      </w:r>
      <w:r>
        <w:t xml:space="preserve"> </w:t>
      </w:r>
      <w:r>
        <w:rPr>
          <w:bCs/>
          <w:b/>
        </w:rPr>
        <w:t xml:space="preserve">6</w:t>
      </w:r>
      <w:r>
        <w:t xml:space="preserve"> </w:t>
      </w:r>
      <w:r>
        <w:t xml:space="preserve">stanowią niezależne odejścia od</w:t>
      </w:r>
      <w:r>
        <w:t xml:space="preserve"> </w:t>
      </w:r>
      <w:r>
        <w:rPr>
          <w:bCs/>
          <w:b/>
        </w:rPr>
        <w:t xml:space="preserve">7</w:t>
      </w:r>
      <w:r>
        <w:t xml:space="preserve"> </w:t>
      </w:r>
      <w:r>
        <w:t xml:space="preserve">(WNP)? Tylko w zestawie 23 wszystkie trzy grupy są całkowicie odmienne, lecz przynajmniej w tym zestawie</w:t>
      </w:r>
      <w:r>
        <w:t xml:space="preserve"> </w:t>
      </w:r>
      <w:r>
        <w:rPr>
          <w:bCs/>
          <w:b/>
        </w:rPr>
        <w:t xml:space="preserve">7</w:t>
      </w:r>
      <w:r>
        <w:t xml:space="preserve"> </w:t>
      </w:r>
      <w:r>
        <w:t xml:space="preserve">nie zależy od dwóch pozostałych. (Co ciekawe, manuskrypty przedstawiają nam co najmniej siedem różnych układów pięciu słów w zestawie 23, a główna grupa lekcjonarzowa opowiada się za czwartym odczytem, innym niż odczyty wielkiej trójki). Według mnie</w:t>
      </w:r>
      <w:r>
        <w:t xml:space="preserve"> </w:t>
      </w:r>
      <w:r>
        <w:rPr>
          <w:bCs/>
          <w:b/>
        </w:rPr>
        <w:t xml:space="preserve">7</w:t>
      </w:r>
      <w:r>
        <w:t xml:space="preserve"> </w:t>
      </w:r>
      <w:r>
        <w:t xml:space="preserve">stanowi najniższy wspólny mianownik, a zatem jest starsza i lepsza niż dwie pozostałe. Jaki jest więc sens tego wszystkiego? Chodzi o to, że</w:t>
      </w:r>
      <w:r>
        <w:t xml:space="preserve"> </w:t>
      </w:r>
      <w:r>
        <w:rPr>
          <w:bCs/>
          <w:b/>
        </w:rPr>
        <w:t xml:space="preserve">M</w:t>
      </w:r>
      <w:r>
        <w:rPr>
          <w:vertAlign w:val="superscript"/>
          <w:bCs/>
          <w:b/>
        </w:rPr>
        <w:t xml:space="preserve">7</w:t>
      </w:r>
      <w:r>
        <w:t xml:space="preserve"> </w:t>
      </w:r>
      <w:r>
        <w:t xml:space="preserve">równa się</w:t>
      </w:r>
      <w:r>
        <w:t xml:space="preserve"> </w:t>
      </w:r>
      <w:r>
        <w:rPr>
          <w:bCs/>
          <w:b/>
        </w:rPr>
        <w:t xml:space="preserve">K</w:t>
      </w:r>
      <w:r>
        <w:rPr>
          <w:vertAlign w:val="superscript"/>
          <w:bCs/>
          <w:b/>
        </w:rPr>
        <w:t xml:space="preserve">r</w:t>
      </w:r>
      <w:r>
        <w:t xml:space="preserve"> </w:t>
      </w:r>
      <w:r>
        <w:t xml:space="preserve">von Sodena (mojej</w:t>
      </w:r>
      <w:r>
        <w:t xml:space="preserve"> </w:t>
      </w:r>
      <w:r>
        <w:rPr>
          <w:bCs/>
          <w:b/>
        </w:rPr>
        <w:t xml:space="preserve">f</w:t>
      </w:r>
      <w:r>
        <w:rPr>
          <w:vertAlign w:val="superscript"/>
          <w:bCs/>
          <w:b/>
        </w:rPr>
        <w:t xml:space="preserve">35</w:t>
      </w:r>
      <w:r>
        <w:t xml:space="preserve">), a on wykorzystał swoją analizę</w:t>
      </w:r>
      <w:r>
        <w:t xml:space="preserve"> </w:t>
      </w:r>
      <w:r>
        <w:rPr>
          <w:bCs/>
          <w:b/>
        </w:rPr>
        <w:t xml:space="preserve">M</w:t>
      </w:r>
      <w:r>
        <w:rPr>
          <w:vertAlign w:val="superscript"/>
          <w:bCs/>
          <w:b/>
        </w:rPr>
        <w:t xml:space="preserve">7</w:t>
      </w:r>
      <w:r>
        <w:t xml:space="preserve">, aby scharakteryzować swój</w:t>
      </w:r>
      <w:r>
        <w:t xml:space="preserve"> </w:t>
      </w:r>
      <w:r>
        <w:rPr>
          <w:bCs/>
          <w:b/>
        </w:rPr>
        <w:t xml:space="preserve">K</w:t>
      </w:r>
      <w:r>
        <w:rPr>
          <w:vertAlign w:val="superscript"/>
          <w:bCs/>
          <w:b/>
        </w:rPr>
        <w:t xml:space="preserve">r</w:t>
      </w:r>
      <w:r>
        <w:t xml:space="preserve"> </w:t>
      </w:r>
      <w:r>
        <w:t xml:space="preserve">dla całego Nowego Testamentu! Wielokrotnie przedstawiał</w:t>
      </w:r>
      <w:r>
        <w:t xml:space="preserve"> </w:t>
      </w:r>
      <w:r>
        <w:rPr>
          <w:bCs/>
          <w:b/>
        </w:rPr>
        <w:t xml:space="preserve">M</w:t>
      </w:r>
      <w:r>
        <w:rPr>
          <w:vertAlign w:val="superscript"/>
          <w:bCs/>
          <w:b/>
        </w:rPr>
        <w:t xml:space="preserve">7</w:t>
      </w:r>
      <w:r>
        <w:t xml:space="preserve"> </w:t>
      </w:r>
      <w:r>
        <w:t xml:space="preserve">jako „dowód”, że</w:t>
      </w:r>
      <w:r>
        <w:t xml:space="preserve"> </w:t>
      </w:r>
      <w:r>
        <w:rPr>
          <w:bCs/>
          <w:b/>
        </w:rPr>
        <w:t xml:space="preserve">K</w:t>
      </w:r>
      <w:r>
        <w:rPr>
          <w:vertAlign w:val="superscript"/>
          <w:bCs/>
          <w:b/>
        </w:rPr>
        <w:t xml:space="preserve">r</w:t>
      </w:r>
      <w:r>
        <w:t xml:space="preserve"> </w:t>
      </w:r>
      <w:r>
        <w:t xml:space="preserve">był późny. Jak wie każdy choćby pobieżnie zaznajomiony z manuskryptami, charakteryzowanie nawet jednej księgi, nie mówiąc o całym Nowym Testamencie, na podstawie dwunastu wersetów jest po prostu błędne.</w:t>
      </w:r>
      <w:r>
        <w:rPr>
          <w:rStyle w:val="FootnoteReference"/>
        </w:rPr>
        <w:footnoteReference w:id="264"/>
      </w:r>
    </w:p>
    <w:p>
      <w:pPr>
        <w:numPr>
          <w:ilvl w:val="0"/>
          <w:numId w:val="1015"/>
        </w:numPr>
        <w:pStyle w:val="Compact"/>
      </w:pPr>
      <w:r>
        <w:t xml:space="preserve">Z jakiegoś tajemniczego powodu von Soden wydawał się zdeterminowany, by jego</w:t>
      </w:r>
      <w:r>
        <w:t xml:space="preserve"> </w:t>
      </w:r>
      <w:r>
        <w:rPr>
          <w:bCs/>
          <w:b/>
        </w:rPr>
        <w:t xml:space="preserve">K</w:t>
      </w:r>
      <w:r>
        <w:rPr>
          <w:vertAlign w:val="superscript"/>
          <w:bCs/>
          <w:b/>
        </w:rPr>
        <w:t xml:space="preserve">r</w:t>
      </w:r>
      <w:r>
        <w:t xml:space="preserve"> </w:t>
      </w:r>
      <w:r>
        <w:t xml:space="preserve">powstał w XII wieku, usilnie więc zmieniał datowanie trzech znanych mu manuskryptów</w:t>
      </w:r>
      <w:r>
        <w:t xml:space="preserve"> </w:t>
      </w:r>
      <w:r>
        <w:rPr>
          <w:bCs/>
          <w:b/>
        </w:rPr>
        <w:t xml:space="preserve">K</w:t>
      </w:r>
      <w:r>
        <w:rPr>
          <w:vertAlign w:val="superscript"/>
          <w:bCs/>
          <w:b/>
        </w:rPr>
        <w:t xml:space="preserve">r</w:t>
      </w:r>
      <w:r>
        <w:t xml:space="preserve"> </w:t>
      </w:r>
      <w:r>
        <w:t xml:space="preserve">z XI wieku. Skoro jednak te trzy są kopiami, nie zaś oryginalnymi tworami, ich egzemplarze z konieczności były starsze (podobnie jak egzemplarze tych egzemplarzy), czego więc von Soden — jak sądził — „dowodził”? Najwyraźniej według niego typ tekstu nie mógł istnieć przed swoim najwcześniejszym zachowanym przedstawicielem (!). Od wielu lat słyszę, jak ludzie powtarzają oczywistą głupotę, że ponieważ nie ma wczesnych manuskryptów bizantyjskich, tekst bizantyjski nie może być wczesny, i nadal to robią. Opiera się to na jawnie fałszywym założeniu, że zachowane manuskrypty z najwcześniejszych wieków są reprezentatywne dla całej ówczesnej sytuacji manuskryptowej.</w:t>
      </w:r>
    </w:p>
    <w:p>
      <w:pPr>
        <w:pStyle w:val="FirstParagraph"/>
      </w:pPr>
      <w:r>
        <w:t xml:space="preserve">Jedynymi zachowanymi w Egipcie „budowlami”, które mają 4000 lat, są piramidy. Czy ktoś będzie tak niedorzeczny, by twierdzić, że piramida była jedynym rodzajem budowli używanym wówczas w Egipcie? Ilu Egipcjan mieszkało w tamtym czasie w piramidach? Absolutnie nikt, ponieważ piramidy przeznaczone były wyłącznie dla zmarłych. Czy jednak zwykli ludzie otrzymywali piramidę jako grobowiec? Tylko faraon mógł sobie na nią pozwolić. Możemy z całkowitą pewnością stwierdzić, że piramidy nie są reprezentatywne dla ogółu budowli w Egipcie sprzed 4000 lat, chociaż są jedynymi, które przetrwały. Powiedziałbym, że równie pewne jest, iż najwcześniejsze manuskrypty nie są reprezentatywne dla ówczesnej sytuacji manuskryptowej. (Są miejscem spoczynku „martwych” form Tekstu Nowego Testamentu, podobnie jak piramidy).</w:t>
      </w:r>
    </w:p>
    <w:p>
      <w:pPr>
        <w:pStyle w:val="BodyText"/>
      </w:pPr>
      <w:r>
        <w:t xml:space="preserve">Nie znam nawet imienia żadnego z moich prapradziadków i nie mam żadnych używanych przez nich przedmiotów. Mogę jednak z całkowitą pewnością stwierdzić, że istnieli. Jak mogę to zrobić? Mogę to zrobić, ponieważ jestem tutaj, ponieważ istnieję. Nie mógłbym istnieć bez prapradziadków. Moje ciało zawiera część ich genów, ich DNA. To, że nie istniałem 400 lat temu, nie oznacza, że nie istniał żaden z moich przodków. Czy nie jest to zupełnie oczywiste?</w:t>
      </w:r>
    </w:p>
    <w:p>
      <w:pPr>
        <w:pStyle w:val="BodyText"/>
      </w:pPr>
      <w:r>
        <w:t xml:space="preserve">W 1976 roku dr Jakob van Bruggen opublikował</w:t>
      </w:r>
      <w:r>
        <w:t xml:space="preserve"> </w:t>
      </w:r>
      <w:r>
        <w:rPr>
          <w:iCs/>
          <w:i/>
        </w:rPr>
        <w:t xml:space="preserve">The Ancient Text of the New Testament</w:t>
      </w:r>
      <w:r>
        <w:t xml:space="preserve"> </w:t>
      </w:r>
      <w:r>
        <w:t xml:space="preserve">(Winnipeg: Premier Printing Ltd.). Książka zawiera rozdział „Wiek typu bizantyjskiego”, zajmujący strony 22-29. Przytacza on rozmaite argumenty pokazujące, że typ tekstu bizantyjskiego musi być starszy niż jego zachowani przedstawiciele. Ograniczę się do zacytowania tylko jednego akapitu (strona 25).</w:t>
      </w:r>
    </w:p>
    <w:p>
      <w:pPr>
        <w:pStyle w:val="BlockText"/>
      </w:pPr>
      <w:r>
        <w:t xml:space="preserve">Jakie warunki muszą zostać spełnione, jeśli chcemy przyznać pierwszeństwo starszym majuskułom? Zadając to pytanie, świadomie lub nieświadomie zakładaliśmy, że jesteśmy zdolni dokonać sprawiedliwego porównania między manuskryptami z wcześniejszego okresu a tymi z okresu późniejszego. W końcu tylko w takim przypadku możemy dojść do twierdzeń pozytywnych. Wyobraźmy sobie, że ktoś powiedział: w średniowieczu budowano głównie katedry, lecz w czasach nowożytnych buduje się wiele małych i skromniejszych kościołów. Gdy rozglądamy się dziś po miastach i wsiach, stwierdzenie to wydaje się całkowicie prawdziwe. A jednak się mylimy. Błąd jest zrozumiały: wiele małych średniowiecznych kościołów zniknęło, a zazwyczaj odnawiano tylko katedry. Powstaje w ten sposób wielkie historyczne zafałszowanie perspektywy w odniesieniu do historii budownictwa kościelnego. Na podstawie zachowanych materiałów nie jesteśmy w stanie sformułować ogólnego twierdzenia o budownictwie kościelnym w średniowieczu. Gdybyśmy mimo to odważyli się je sformułować, błędnie założylibyśmy, że zachowane materiały umożliwiają nam dokonanie sprawiedliwego porównania. Jak jednak wygląda sytuacja w dziedzinie manuskryptów Nowego Testamentu? Czy mamy</w:t>
      </w:r>
      <w:r>
        <w:t xml:space="preserve"> </w:t>
      </w:r>
      <w:r>
        <w:rPr>
          <w:iCs/>
          <w:i/>
        </w:rPr>
        <w:t xml:space="preserve">reprezentatywną</w:t>
      </w:r>
      <w:r>
        <w:t xml:space="preserve"> </w:t>
      </w:r>
      <w:r>
        <w:t xml:space="preserve">liczbę manuskryptów z pierwszych wieków? Tylko jeśli tak jest, mamy prawo wyciągać wnioski i formułować twierdzenia pozytywne. Trudności pojawiają się jednak właśnie w tym punkcie. Sytuacja jest wręcz taka, że wiemy z całą pewnością, iż</w:t>
      </w:r>
      <w:r>
        <w:t xml:space="preserve"> </w:t>
      </w:r>
      <w:r>
        <w:rPr>
          <w:iCs/>
          <w:i/>
        </w:rPr>
        <w:t xml:space="preserve">nie mamy</w:t>
      </w:r>
      <w:r>
        <w:t xml:space="preserve"> </w:t>
      </w:r>
      <w:r>
        <w:t xml:space="preserve">reprezentatywnej liczby manuskryptów z pierwszych wieków. Wynika to z trzech przyczyn, które teraz zasługują kolejno na naszą uwagę (wyróżnienie w oryginale).</w:t>
      </w:r>
    </w:p>
    <w:p>
      <w:pPr>
        <w:pStyle w:val="FirstParagraph"/>
      </w:pPr>
      <w:r>
        <w:t xml:space="preserve">Następnie omawia te trzy przyczyny. (Znam dr. van Bruggena osobiście i mogę powiedzieć, że jest autorytetem w dziedzinie katedr). Strony 137-154 mojego</w:t>
      </w:r>
      <w:r>
        <w:t xml:space="preserve"> </w:t>
      </w:r>
      <w:r>
        <w:rPr>
          <w:iCs/>
          <w:i/>
        </w:rPr>
        <w:t xml:space="preserve">The Identity of the New Testament Text IV</w:t>
      </w:r>
      <w:r>
        <w:t xml:space="preserve"> </w:t>
      </w:r>
      <w:r>
        <w:t xml:space="preserve">zawierają szczegółowe omówienie dowodów na rzecz wczesnego typu tekstu bizantyjskiego.</w:t>
      </w:r>
    </w:p>
    <w:p>
      <w:pPr>
        <w:pStyle w:val="BodyText"/>
      </w:pPr>
      <w:r>
        <w:t xml:space="preserve">Nadal utrzymuję, że większość wczesnych manuskryptów przetrwała, ponieważ były nieznośnie złe, używanie ich było psychologicznie niemożliwe, a poza tym kopiowanie ich stanowiłoby przestępcze marnotrawstwo dobrego pergaminu (czy uncjał 06 nie jest jedynym, który ma zachowane „dziecko”?). Jakiś czas temu skolacjonowałem rękopis kursywny GA 789 (Ateny: Biblioteka Narodowa) dla Ewangelii Jana, wcześniej uczyniwszy to już dla Ewangelii Łukasza. Chociaż kopista popełnił od czasu do czasu jakiś błąd, oceniam, że jego egzemplarz był niemal doskonałym przedstawicielem Rodziny 35. Obecnie w 789 brakuje jednak Ewangelii Jana 19,12 aż do końca. Późniejsza ręka, 789</w:t>
      </w:r>
      <w:r>
        <w:rPr>
          <w:vertAlign w:val="superscript"/>
        </w:rPr>
        <w:t xml:space="preserve">s</w:t>
      </w:r>
      <w:r>
        <w:t xml:space="preserve">, zawiera 19,26 aż do końca, lecz ten kopista fatalnie pisał, popełniając przeciętnie niemal jeden błąd na werset — przypominał P</w:t>
      </w:r>
      <w:r>
        <w:rPr>
          <w:vertAlign w:val="superscript"/>
        </w:rPr>
        <w:t xml:space="preserve">66</w:t>
      </w:r>
      <w:r>
        <w:t xml:space="preserve"> </w:t>
      </w:r>
      <w:r>
        <w:t xml:space="preserve">(chociaż P</w:t>
      </w:r>
      <w:r>
        <w:rPr>
          <w:vertAlign w:val="superscript"/>
        </w:rPr>
        <w:t xml:space="preserve">66</w:t>
      </w:r>
      <w:r>
        <w:t xml:space="preserve"> </w:t>
      </w:r>
      <w:r>
        <w:t xml:space="preserve">jest gorszy, ze średnią około dwóch błędów na werset). Zauważyłem, że zaczynam gniewać się na kopistę — byłem gotów ściągać na jego głowę przekleństwa! Zakładając, że przyczyną błędów była niewiedza, nie zaś przewrotność, kopista nie powinien był podejmować zadania, do którego był tak żałośnie nieprzygotowany. Używanie 789</w:t>
      </w:r>
      <w:r>
        <w:rPr>
          <w:vertAlign w:val="superscript"/>
        </w:rPr>
        <w:t xml:space="preserve">s</w:t>
      </w:r>
      <w:r>
        <w:t xml:space="preserve"> </w:t>
      </w:r>
      <w:r>
        <w:t xml:space="preserve">do rozważań duchowych lub studiowania byłoby dla mnie psychologicznie niemożliwe. Zbyt bym się gniewał, aby kontynuować. Zakładam, że szczerzy chrześcijanie w pierwszych wiekach reagowaliby w ten sam sposób.</w:t>
      </w:r>
    </w:p>
    <w:p>
      <w:pPr>
        <w:pStyle w:val="BodyText"/>
      </w:pPr>
      <w:r>
        <w:t xml:space="preserve">Co dziwne, ten sam INTF, który założył Kurt Aland — ten, który oświadczył, że manuskrypty bizantyjskie są nieistotne dla poszukiwania tekstu oryginalnego — opublikował obecnie następujące słowa:</w:t>
      </w:r>
    </w:p>
    <w:p>
      <w:pPr>
        <w:pStyle w:val="BlockText"/>
      </w:pPr>
      <w:r>
        <w:t xml:space="preserve">Odkąd Textus Receptus został przezwyciężony przez naukową krytykę tekstu XIX wieku, utrzymuje się uporczywe negatywne uprzedzenie wobec bizantyjskiego tekstu większościowego. Wszędzie tam, gdzie dobrze znani, starsi świadkowie tekstu, tacy jak Watykański i Synajski, a tym bardziej w połączeniu z papirusem, stoją przeciwko większości minuskułów, decyzję przeciwko tekstowi większościowemu często podejmowano łatwo, bez poważnego rozważenia jakości omawianych wariantów. Dlatego redaktorzy niniejszego wydania uznali dwa czynniki za najważniejsze.</w:t>
      </w:r>
    </w:p>
    <w:p>
      <w:pPr>
        <w:pStyle w:val="BlockText"/>
      </w:pPr>
      <w:r>
        <w:t xml:space="preserve">Po pierwsze, często przeocza się, że w zdecydowanej większości miejsc wariantowych tylko kilku świadków różni się od wszystkich pozostałych. Z reguły popularni świadkowie z IV/V wieku oraz, jeśli istnieją, z jeszcze wcześniejszych papirusów, zgadzają się z większością wszystkich świadków. Wynika z tego, że we wszystkich tych miejscach starożytność tekstu większościowego nie budzi wątpliwości.</w:t>
      </w:r>
    </w:p>
    <w:p>
      <w:pPr>
        <w:pStyle w:val="BlockText"/>
      </w:pPr>
      <w:r>
        <w:t xml:space="preserve">Po drugie, trzeba konsekwentnie rozróżniać manuskrypt od przekazywanego w nim tekstu. „</w:t>
      </w:r>
      <w:r>
        <w:rPr>
          <w:iCs/>
          <w:i/>
        </w:rPr>
        <w:t xml:space="preserve">Recentiores non deteriores</w:t>
      </w:r>
      <w:r>
        <w:t xml:space="preserve">” jest zasadą szeroko przyjętą w filologii edytorskiej, lecz w badaniach nad Nowym Testamentem stosowano ją jedynie do kilku młodszych manuskryptów wykazujących podobne osobliwości tekstowe jak Watykański i Synajski. Z podanej wyżej przyczyny niewątpliwie prawdą jest, że tradycja tekstowa jako całość sięga bardzo wczesnego okresu i że spójny przekaz większości wszystkich świadków tekstu stanowi mocny argument</w:t>
      </w:r>
      <w:r>
        <w:t xml:space="preserve"> </w:t>
      </w:r>
      <w:r>
        <w:rPr>
          <w:iCs/>
          <w:i/>
        </w:rPr>
        <w:t xml:space="preserve">za</w:t>
      </w:r>
      <w:r>
        <w:t xml:space="preserve">, nie</w:t>
      </w:r>
      <w:r>
        <w:t xml:space="preserve"> </w:t>
      </w:r>
      <w:r>
        <w:rPr>
          <w:iCs/>
          <w:i/>
        </w:rPr>
        <w:t xml:space="preserve">przeciwko</w:t>
      </w:r>
      <w:r>
        <w:t xml:space="preserve"> </w:t>
      </w:r>
      <w:r>
        <w:t xml:space="preserve">danemu wariantowi (wyróżnienie w oryginale). (Strona 30* niedawnej (2017)</w:t>
      </w:r>
      <w:r>
        <w:t xml:space="preserve"> </w:t>
      </w:r>
      <w:r>
        <w:rPr>
          <w:iCs/>
          <w:i/>
        </w:rPr>
        <w:t xml:space="preserve">Editio Critica Maior</w:t>
      </w:r>
      <w:r>
        <w:t xml:space="preserve"> </w:t>
      </w:r>
      <w:r>
        <w:t xml:space="preserve">Dziejów Apostolskich).</w:t>
      </w:r>
    </w:p>
    <w:p>
      <w:pPr>
        <w:pStyle w:val="FirstParagraph"/>
      </w:pPr>
      <w:r>
        <w:t xml:space="preserve">No, no, no, lepiej późno niż wcale! „Tradycja tekstowa jako całość” z konieczności obejmuje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Seria</w:t>
      </w:r>
      <w:r>
        <w:t xml:space="preserve"> </w:t>
      </w:r>
      <w:r>
        <w:rPr>
          <w:iCs/>
          <w:i/>
        </w:rPr>
        <w:t xml:space="preserve">Text und Textwert</w:t>
      </w:r>
      <w:r>
        <w:rPr>
          <w:rStyle w:val="FootnoteReference"/>
        </w:rPr>
        <w:footnoteReference w:id="265"/>
      </w:r>
      <w:r>
        <w:t xml:space="preserve"> </w:t>
      </w:r>
      <w:r>
        <w:t xml:space="preserve">jest obecnie kompletna dla całego Nowego Testamentu, z wyjątkiem Ewangelii Jana 11-21. Dostarczone przez nią obiektywne dowody jasno i empirycznie pokazują, że Rodzina 35 (</w:t>
      </w:r>
      <w:r>
        <w:rPr>
          <w:bCs/>
          <w:b/>
        </w:rPr>
        <w:t xml:space="preserve">K</w:t>
      </w:r>
      <w:r>
        <w:rPr>
          <w:vertAlign w:val="superscript"/>
          <w:bCs/>
          <w:b/>
        </w:rPr>
        <w:t xml:space="preserve">r</w:t>
      </w:r>
      <w:r>
        <w:t xml:space="preserve">) jest niezależna od masy bizantyjskiej (</w:t>
      </w:r>
      <w:r>
        <w:rPr>
          <w:bCs/>
          <w:b/>
        </w:rPr>
        <w:t xml:space="preserve">K</w:t>
      </w:r>
      <w:r>
        <w:rPr>
          <w:vertAlign w:val="superscript"/>
          <w:bCs/>
          <w:b/>
        </w:rPr>
        <w:t xml:space="preserve">x</w:t>
      </w:r>
      <w:r>
        <w:t xml:space="preserve"> </w:t>
      </w:r>
      <w:r>
        <w:t xml:space="preserve">Sodena) w całym Nowym Testamencie. Wynika z tego, że</w:t>
      </w:r>
      <w:r>
        <w:t xml:space="preserve"> </w:t>
      </w:r>
      <w:r>
        <w:rPr>
          <w:u w:val="single"/>
        </w:rPr>
        <w:t xml:space="preserve">nie może</w:t>
      </w:r>
      <w:r>
        <w:t xml:space="preserve"> </w:t>
      </w:r>
      <w:r>
        <w:t xml:space="preserve">być rewizją tej masy. Każdy, kto nadal twierdzi, że</w:t>
      </w:r>
      <w:r>
        <w:t xml:space="preserve"> </w:t>
      </w:r>
      <w:r>
        <w:rPr>
          <w:bCs/>
          <w:b/>
        </w:rPr>
        <w:t xml:space="preserve">K</w:t>
      </w:r>
      <w:r>
        <w:rPr>
          <w:vertAlign w:val="superscript"/>
          <w:bCs/>
          <w:b/>
        </w:rPr>
        <w:t xml:space="preserve">r</w:t>
      </w:r>
      <w:r>
        <w:t xml:space="preserve"> </w:t>
      </w:r>
      <w:r>
        <w:t xml:space="preserve">von Sodena był rewizją jego</w:t>
      </w:r>
      <w:r>
        <w:t xml:space="preserve"> </w:t>
      </w:r>
      <w:r>
        <w:rPr>
          <w:bCs/>
          <w:b/>
        </w:rPr>
        <w:t xml:space="preserve">K</w:t>
      </w:r>
      <w:r>
        <w:rPr>
          <w:vertAlign w:val="superscript"/>
          <w:bCs/>
          <w:b/>
        </w:rPr>
        <w:t xml:space="preserve">x</w:t>
      </w:r>
      <w:r>
        <w:t xml:space="preserve">, jest albo niedoinformowany, albo przewrotny.</w:t>
      </w:r>
      <w:r>
        <w:rPr>
          <w:rStyle w:val="FootnoteReference"/>
        </w:rPr>
        <w:footnoteReference w:id="266"/>
      </w:r>
    </w:p>
    <w:p>
      <w:pPr>
        <w:numPr>
          <w:ilvl w:val="0"/>
          <w:numId w:val="1016"/>
        </w:numPr>
        <w:pStyle w:val="Compact"/>
      </w:pPr>
      <w:r>
        <w:t xml:space="preserve">Pozostaje podjąć kwestię aparatu liturgicznego charakterystycznego dla</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Sporządzenie kopii lekcjonarzowej byłoby znacznie łatwiejsze i szybsze niż sporządzenie pełnej kopii tekstu ciągłego, zupełnie niezależnie od aparatu w innym kolorze. Skoro mamy zachowane lekcjonarze z IV wieku i ze wszystkich następnych stuleci, dlaczego ktokolwiek miałby podejmować dodatkowy wysiłek, aby dodać aparat liturgiczny do kopii tekstu ciągłego? I dlaczego aparat ten dodano tylko do jednego typu tekstu?</w:t>
      </w:r>
    </w:p>
    <w:p>
      <w:pPr>
        <w:pStyle w:val="FirstParagraph"/>
      </w:pPr>
      <w:r>
        <w:t xml:space="preserve">Najpierw jednak, dlaczego sporządzano lekcjonarze zamiast manuskryptów tekstu ciągłego? Gdy upowszechniła się praktyka czytania i objaśniania ustalonych fragmentów w określone niedziele, posługiwanie się manuskryptem pełnego tekstu stało się niewygodne, dlaczego nie sporządzić manuskryptów zawierających wyłącznie ustalone lekcje? Przypomnij sobie, że większość ludzi nie umiała czytać i była ograniczona do słuchania Pisma podczas cotygodniowych zgromadzeń. Bardzo niewielu potrafiło czytać i studiować Pismo w domu. Jeszcze mniej osób było w stanie sporządzać pisemne kopie czegokolwiek. Skryba był zawodem. Przedkładam jednak czytelnikowi do rozważenia, że sama mentalność, która uznawała lekcjonarz za coś dobrego, sama w sobie oznaczała rozluźnienie pobożnego przywiązania do precyzyjnej formy Świętego Tekstu.</w:t>
      </w:r>
    </w:p>
    <w:p>
      <w:pPr>
        <w:pStyle w:val="BodyText"/>
      </w:pPr>
      <w:r>
        <w:t xml:space="preserve">Od IV wieku, jeśli nie wcześniej, Kościół rzymski posługiwał się łaciną, nie greką. Kto zatem zachował grecki Nowy Testament w średniowieczu? W coraz większym stopniu byłyby to greckojęzyczne wspólnoty monastyczne. Z definicji klasztor jest wspólnotą religijną, jego codzienne życie i samo istnienie wywodzą się z religii i od niej zależą. Dla wspólnot chrześcijańskich pisma Nowego Testamentu zajmowałyby centralne miejsce w wierze. Z biegiem czasu tradycja przejęła jednak władzę i następowało rozluźnienie pobożnego przywiązania do precyzyjnej formy Świętego Tekstu. Znajdowałoby to odzwierciedlenie w poziomie kontroli jakości obowiązującym w każdym klasztorze przy kopiowaniu manuskryptów Nowego Testamentu. Znajdowałoby też odzwierciedlenie w zwiększonej produkcji lekcjonarzy w klasztorach.</w:t>
      </w:r>
    </w:p>
    <w:p>
      <w:pPr>
        <w:pStyle w:val="BodyText"/>
      </w:pPr>
      <w:r>
        <w:t xml:space="preserve">Rozluźnienie kontroli jakości przy kopiowaniu manuskryptów Nowego Testamentu znajduje odzwierciedlenie w różnorodności odczytów występujących w manuskryptach tworzących tradycję bizantyjską. Dla trzech rozdziałów Ewangelii Łukasza F. Wisse zidentyfikował w obrębie tej tradycji 36 linii przekazu. Przeciętny manuskrypt bizantyjski ma od 3 do 5 wariantów na stronę drukowanego Tekstu greckiego (w porównaniu z 15 do 20 w przypadku manuskryptu aleksandryjskiego). Mnich wykonywał religijny obowiązek, lecz bez osobistego przywiązania do Tekstu. Zupełnie „przeciętny” manuskrypt</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ma jeden wariant na dwie strony drukowanego Tekstu greckiego, lepsze mają natomiast tylko jeden wariant na cztery lub więcej stron drukowanego Tekstu greckiego (naprawdę dobre są doskonałe w krótszych księgach). Skolacjonowałem manuskrypt mający tylko jeden wariant w 21 rozdziałach Ewangelii Jana, ten sam manuskrypt (GA 586) ma tylko jeden wariant w 16 rozdziałach Ewangelii Marka. Co ten obraz mówi nam o mentalności kopistów? Jak możemy wyjaśnić nadzwyczajną staranność wykazaną przez kopistów</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Zachowane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pochodzą z odizolowanych klasztorów rozmieszczonych po świecie śródziemnomorskim i zostały sporządzone na przestrzeni pięciu stuleci (XI-XV). (Na razie pomijam pokolenia egzemplarzy, które reprezentują). Po prostu nie istniał żaden ludzki czynnik zdolny sprawować taką kontrolę. Najwyraźniej niektóre klasztory były bardziej konserwatywne w doktrynie i postawie niż inne, a w konserwatywnym klasztorze poszczególny kopista mógł być oddany Boskiemu autorytetowi kopiowanego egzemplarza. Niezależnie od nadprzyrodzonego udziału w tym procesie panująca postawa w pewnych klasztorach oraz osobiste przekonanie poszczególnych kopistów to jedyne wyjaśnienie, jakie widzę dla niewiarygodnej wewnętrznej zgodności wykazywanej przez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Dlaczego jednak ktokolwiek miałby podejmować dodatkowy wysiłek, aby dodać aparat liturgiczny do kopii tekstu ciągłego, skoro lekcjonarzy było pod dostatkiem? I dlaczego aparat ten dodano tylko do jednego typu tekstu, właśnie tego o największej wewnętrznej zgodności? Cóż, co zrobiłby konserwatywny klasztor, gdyby chciał używać ustalonych lekcji do głośnego czytania podczas wspólnych posiłków, lecz czynić to z manuskryptu tekstu ciągłego (z szacunku dla Tekstu)? Początek i koniec lekcji musiałyby zostać w jakiś sposób oznaczone. Szacunek dla Tekstu nakazuje jednak, aby takich oznaczeń lekcji nie można było pomylić z samym Tekstem — stąd atrament innego koloru (który pomagałby też czytelnikowi rozpoczynać i kończyć we właściwych miejscach).</w:t>
      </w:r>
    </w:p>
    <w:p>
      <w:pPr>
        <w:pStyle w:val="BodyText"/>
      </w:pPr>
      <w:r>
        <w:t xml:space="preserve">Dobrze, lecz dlaczego wybierać</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Cóż, jeśli szacunek dla Tekstu skłania cię do używania manuskryptów tekstu ciągłego zamiast lekcjonarzy, jakiego rodzaju tekstu będziesz używać? Jeśli wiesz, że różne manuskrypty wykazują pewne różnice w sformułowaniach, jak dokonasz wyboru? Sama ta świadomość będzie wynikać z panującego w klasztorze przekonania co do tego, która linia przekazu wśród manuskryptów ma najlepszy rodowód, i to właśnie ta linia będzie zasługiwać na największy szacunek. Tego rodzaju tekstu będziesz więc używać. Jak jednak odizolowane klasztory dokonały tego samego wyboru? W tym właśnie tkwi szkopuł, jak to się stało, że odizolowane klasztory dokonały tego samego wyboru? Von Soden wyraził opinię, że władza centralna zarządziła rewizję i narzuciła ją klasztorom. Skoro można wykazać, że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nie jest rewizją, na jakiej podstawie ta wyimaginowana władza dokonałaby wyboru tekstu, który miała narzucić? Jeśli władza ta była szczerym chrześcijaninem, czy nie wybrałaby tekstu, który uważała za najlepszy? Ponieważ żadna taka władza nie istniała, nadal pozostaje nam pytanie: jak to się stało, że odizolowane klasztory dokonały tego samego wyboru?</w:t>
      </w:r>
    </w:p>
    <w:p>
      <w:pPr>
        <w:pStyle w:val="BodyText"/>
      </w:pPr>
      <w:r>
        <w:t xml:space="preserve">Jedyna odpowiedź, jaką widzę, jest taka, że w całej ogólnoświatowej wspólnocie chrześcijańskiej istniało powszechne przekonanie co do tożsamości linii przekazu o najlepszym rodowodzie. Ponieważ przekazywanie Tekstu Nowego Testamentu przez stulecia było od samego początku zasadniczo normalne, przekonanie o rodowodzie opierałoby się na dowodach historycznych. Gdy spisywano Autografy, nie istniały lekcje Nowego Testamentu. Pomysł dodawania oznaczeń lekcji musiał pojawić się później, jak dużo później — nie mamy sposobu, by to ustalić. Gdzieś po drodze sporządzono pierwszy taki manuskrypt. Czy pomysł był tak znakomity, że rozprzestrzenił się lotem błyskawicy? Czy też rozprzestrzeniał się powoli? Nie mamy sposobu, by to ustalić.</w:t>
      </w:r>
    </w:p>
    <w:p>
      <w:pPr>
        <w:pStyle w:val="BodyText"/>
      </w:pPr>
      <w:r>
        <w:t xml:space="preserve">Dla każdego powinno być oczywiste, że sporządzenie kopii w dwóch kolorach, z rozbudowanym aparatem, wymaga więcej czasu i wysiłku niż sporządzenie kopii w jednym kolorze, bez takiego aparatu. Dlaczego więc ludzie to robili? Musiał istnieć popyt na takie kopie. 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W każdym razie używane książki się zużywają. Do tego stopnia, że klasztory, które używały określonego typu tekstu do publicznego czytania, z pewnością sporządzały i przechowywały pewną liczbę kopii zapasowych. W przypadku typów tekstu, których nie używano, nie istniała taka sama motywacja. Może właśnie dlatego</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jest zdecydowanie największą rodziną w obrębie tradycji bizantyjskiej i jedyną rodziną, której istnienie wykazano dotąd we wszystkich 27 księgach.</w:t>
      </w:r>
      <w:r>
        <w:rPr>
          <w:rStyle w:val="FootnoteReference"/>
        </w:rPr>
        <w:footnoteReference w:id="267"/>
      </w:r>
    </w:p>
    <w:p>
      <w:pPr>
        <w:pStyle w:val="BodyText"/>
      </w:pPr>
      <w:r>
        <w:t xml:space="preserve">WNIOSEK: Charakterystyka</w:t>
      </w:r>
      <w:r>
        <w:t xml:space="preserve"> </w:t>
      </w:r>
      <w:r>
        <w:rPr>
          <w:bCs/>
          <w:b/>
        </w:rPr>
        <w:t xml:space="preserve">K</w:t>
      </w:r>
      <w:r>
        <w:rPr>
          <w:vertAlign w:val="superscript"/>
          <w:bCs/>
          <w:b/>
        </w:rPr>
        <w:t xml:space="preserve">r</w:t>
      </w:r>
      <w:r>
        <w:t xml:space="preserve"> </w:t>
      </w:r>
      <w:r>
        <w:t xml:space="preserve">von Sodena jako późnej rewizji jest po prostu fałszywa. Wynika z tego, że wszystkie dobrze poinformowane osoby powinny przestać używać symbolu</w:t>
      </w:r>
      <w:r>
        <w:t xml:space="preserve"> </w:t>
      </w:r>
      <w:r>
        <w:rPr>
          <w:bCs/>
          <w:b/>
        </w:rPr>
        <w:t xml:space="preserve">K</w:t>
      </w:r>
      <w:r>
        <w:rPr>
          <w:vertAlign w:val="superscript"/>
          <w:bCs/>
          <w:b/>
        </w:rPr>
        <w:t xml:space="preserve">r</w:t>
      </w:r>
      <w:r>
        <w:t xml:space="preserve">.</w:t>
      </w:r>
    </w:p>
    <w:bookmarkEnd w:id="268"/>
    <w:bookmarkStart w:id="300" w:name="współczynnik-staranności-kopisty"/>
    <w:p>
      <w:pPr>
        <w:pStyle w:val="Heading2"/>
      </w:pPr>
      <w:r>
        <w:t xml:space="preserve">Współczynnik staranności kopisty</w:t>
      </w:r>
    </w:p>
    <w:p>
      <w:pPr>
        <w:pStyle w:val="FirstParagraph"/>
      </w:pPr>
      <w:r>
        <w:t xml:space="preserve">Od pewnego czasu jestem zdania, że kwestia mentalności, z jaką kopista przystępował do swojego zadania, zasługuje na znacznie więcej uwagi, niż dotąd jej poświęcano. Jeśli możemy się zgodzić, że zadaniem kopisty jest odtworzenie kopiowanego przez niego egzemplarza, powinno być możliwe ocenienie jego niepowodzeń w tym zakresie. Oczywiście taka ocena zależy od znanego istnienia jego egzemplarza albo archetypu rodziny, do której należy kopia (ustalonego na podstawie jej mozaiki lub profilu). Tam, gdzie istnieje linia przekazu wywodząca się z archetypu, dany wariant mógł oczywiście znajdować się w egzemplarzu, lecz obecnie nie widzę sposobu kontrolowania tej możliwości. „Wariant” definiuje się jako odejście od formy archetypalnej, ustalonej empirycznie na podstawie zgodności przedstawicieli rodziny.</w:t>
      </w:r>
      <w:r>
        <w:rPr>
          <w:rStyle w:val="FootnoteReference"/>
        </w:rPr>
        <w:footnoteReference w:id="269"/>
      </w:r>
      <w:r>
        <w:t xml:space="preserve"> </w:t>
      </w:r>
      <w:r>
        <w:t xml:space="preserve">Wariant można ocenić niezależnie od tego, kiedy został wprowadzony.</w:t>
      </w:r>
    </w:p>
    <w:p>
      <w:pPr>
        <w:pStyle w:val="BodyText"/>
      </w:pPr>
      <w:r>
        <w:t xml:space="preserve">Trzeba jednak zastanowić się nad dokładną definicją „wariantu”. Jestem zdania, że ostatecznie termin „wariant” powinien być zastrzeżony dla odczytów, które powodują różnicę w znaczeniu, a nawet wtedy tylko wówczas, gdy zostały wprowadzone celowo. Oczywiście ponieważ niezamierzona zmiana również może zmienić znaczenie, musimy postępować powoli, dlatego użyłem słowa „ostatecznie”. Tymczasem w poniższej tabeli pominąłem alternatywne pisownie tego samego słowa, zostały one jednak należycie odnotowane w moim pełnym aparacie</w:t>
      </w:r>
      <w:r>
        <w:t xml:space="preserve"> </w:t>
      </w:r>
      <w:r>
        <w:rPr>
          <w:bCs/>
          <w:b/>
        </w:rPr>
        <w:t xml:space="preserve">f</w:t>
      </w:r>
      <w:r>
        <w:rPr>
          <w:vertAlign w:val="superscript"/>
          <w:bCs/>
          <w:b/>
        </w:rPr>
        <w:t xml:space="preserve">35</w:t>
      </w:r>
      <w:r>
        <w:t xml:space="preserve"> </w:t>
      </w:r>
      <w:r>
        <w:t xml:space="preserve">dla Ewangelii Marka.</w:t>
      </w:r>
    </w:p>
    <w:bookmarkStart w:id="283" w:name="ewangelia-marka"/>
    <w:p>
      <w:pPr>
        <w:pStyle w:val="Heading3"/>
      </w:pPr>
      <w:r>
        <w:t xml:space="preserve">Ewangelia Marka</w:t>
      </w:r>
    </w:p>
    <w:p>
      <w:pPr>
        <w:pStyle w:val="FirstParagraph"/>
      </w:pPr>
      <w:r>
        <w:t xml:space="preserve">Zwracam uwagę na poniższe dowody z Ewangelii Marka. Posłużę się analizą trzynastu „aleksandryjskich” manuskryptów w pierwszym rozdziale, dokonaną przez E.C. Colwella, oraz własnym kolacjonowaniem pięćdziesięciu trzech manuskryptów Rodziny 35 w całej księdze.</w:t>
      </w:r>
      <w:r>
        <w:rPr>
          <w:rStyle w:val="FootnoteReference"/>
        </w:rPr>
        <w:footnoteReference w:id="270"/>
      </w:r>
      <w:r>
        <w:t xml:space="preserve"> </w:t>
      </w:r>
      <w:r>
        <w:t xml:space="preserve">Oto własne stwierdzenie Colwella:</w:t>
      </w:r>
    </w:p>
    <w:p>
      <w:pPr>
        <w:pStyle w:val="BlockText"/>
      </w:pPr>
      <w:r>
        <w:t xml:space="preserve">Po starannym zbadaniu wszystkich domniemanych świadków typu tekstu Beta w pierwszym rozdziale Ewangelii Marka jako główni świadkowie wyłonili się sześć greckich manuskryptów: ℵ, B, L, 33, 892, 2427. Dlatego słabsze manuskrypty Beta, C, D, 157, 517, 579, 1241 i 1342, odłożono na bok. Następnie na podstawie sześciu głównych świadków odtworzono „przeciętny”, czyli średni tekst, obejmujący wszystkie odczyty poświadczone przez większość głównych świadków.</w:t>
      </w:r>
      <w:r>
        <w:rPr>
          <w:rStyle w:val="FootnoteReference"/>
        </w:rPr>
        <w:footnoteReference w:id="271"/>
      </w:r>
      <w:r>
        <w:t xml:space="preserve"> </w:t>
      </w:r>
      <w:r>
        <w:t xml:space="preserve">Nawet na tej ograniczonej podstawie ilość zróżnicowania odnotowanego w aparacie była przygnębiająca. W tym pierwszym rozdziale każdy z sześciu świadków różnił się od „przeciętnego” typu tekstu Beta następującą liczbę razy: L — dziewiętnaście razy (Westcott i Hort — dwadzieścia jeden razy), Alef — dwadzieścia sześć razy, 2427 — trzydzieści dwa razy, 33 — trzydzieści trzy razy, B — trzydzieści cztery razy, a 892 — czterdzieści jeden razy. Wyniki te przekonująco pokazują, że każda próba odtworzenia archetypu typu tekstu Beta na podstawie ilościowej jest skazana na niepowodzenie. Tak odtworzony tekst nie jest odtworzony, lecz skonstruowany, jest sztucznym tworem, który nigdy nie istniał.</w:t>
      </w:r>
      <w:r>
        <w:rPr>
          <w:rStyle w:val="FootnoteReference"/>
        </w:rPr>
        <w:footnoteReference w:id="272"/>
      </w:r>
      <w:r>
        <w:t xml:space="preserve"> </w:t>
      </w:r>
      <w:r>
        <w:t xml:space="preserve">(Typ tekstu bez archetypu nie może reprezentować Oryginału).</w:t>
      </w:r>
    </w:p>
    <w:p>
      <w:pPr>
        <w:pStyle w:val="FirstParagraph"/>
      </w:pPr>
      <w:r>
        <w:t xml:space="preserve">Rozważmy uważnie, co zrobił Colwell, pamiętając, że był zwolennikiem „aleksandryjskiego” typu tekstu (jego „typu tekstu Beta”). Próbował dojść do archetypalnej formy tego typu tekstu dla jednego rozdziału, poprzez głosowanie większościowe jego znanych przedstawicieli, za których uważał wymienionych trzynaście.</w:t>
      </w:r>
      <w:r>
        <w:rPr>
          <w:rStyle w:val="FootnoteReference"/>
        </w:rPr>
        <w:footnoteReference w:id="273"/>
      </w:r>
      <w:r>
        <w:t xml:space="preserve"> </w:t>
      </w:r>
      <w:r>
        <w:t xml:space="preserve">Wynik był tak niemożliwie zły, że odrzucił siedmiu „słabszych” przedstawicieli i spróbował ponownie, używając tylko sześciu „głównych” świadków. Jego własnymi słowami: „Nawet na tej ograniczonej podstawie ilość zróżnicowania odnotowanego w aparacie była przygnębiająca”. Wielki Kodeks Watykański różnił się od swojej formy archetypalnej nie mniej niż trzydzieści cztery razy w jednym rozdziale. No proszę, czy manuskrypt, który różni się od swojego archetypu 34 razy w jednym rozdziale, można nazwać dobrą kopią? Na jakiej obiektywnej podstawie ktokolwiek mógłby tak uczynić? Dla porównania lub kontrastu zwracam uwagę na poniższe dowody z Rodziny 35, obejmujące wszystkie szesnaście rozdziałów Ewangelii Marka, łącznie z ostatnimi dwunastoma wersetami.</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 ponadto łatwe błędy przepisywania mogło popełnić niezależnie więcej niż jeden kopista)</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 lecz przez żadnego innego członka rodziny, co może wskazywać na domieszkę)</w:t>
            </w:r>
          </w:p>
        </w:tc>
      </w:tr>
      <w:tr>
        <w:tc>
          <w:tcPr/>
          <w:p>
            <w:pPr>
              <w:pStyle w:val="Compact"/>
              <w:jc w:val="center"/>
            </w:pPr>
            <w:r>
              <w:t xml:space="preserve">y</w:t>
            </w:r>
          </w:p>
        </w:tc>
        <w:tc>
          <w:tcPr/>
          <w:p>
            <w:pPr>
              <w:pStyle w:val="Compact"/>
              <w:jc w:val="left"/>
            </w:pPr>
            <w:r>
              <w:t xml:space="preserve">rodzina jest podzielona, lecz wariant jest także poświadczony przez manuskrypty spoza rodziny (może to być domieszka ze strony tego, kto wprowadził wariant)</w:t>
            </w:r>
          </w:p>
        </w:tc>
      </w:tr>
      <w:tr>
        <w:tc>
          <w:tcPr/>
          <w:p>
            <w:pPr>
              <w:pStyle w:val="Compact"/>
              <w:jc w:val="center"/>
            </w:pPr>
            <w:r>
              <w:t xml:space="preserve">/</w:t>
            </w:r>
          </w:p>
        </w:tc>
        <w:tc>
          <w:tcPr/>
          <w:p>
            <w:pPr>
              <w:pStyle w:val="Compact"/>
              <w:jc w:val="left"/>
            </w:pPr>
            <w:r>
              <w:t xml:space="preserve">rodzina jest podzielona, a wariant nie ma poświadczenia zewnętrznego (grupa odłamowa)</w:t>
            </w:r>
          </w:p>
        </w:tc>
      </w:tr>
      <w:tr>
        <w:tc>
          <w:tcPr/>
          <w:p>
            <w:pPr>
              <w:pStyle w:val="Compact"/>
              <w:jc w:val="center"/>
            </w:pPr>
            <w:r>
              <w:t xml:space="preserve">h</w:t>
            </w:r>
          </w:p>
        </w:tc>
        <w:tc>
          <w:tcPr/>
          <w:p>
            <w:pPr>
              <w:pStyle w:val="Compact"/>
              <w:jc w:val="left"/>
            </w:pPr>
            <w:r>
              <w:t xml:space="preserve">oczywisty przypadek homoioteleutonu (lub homoioarktonu) (nie uważam tego za właściwy „wariant”, lecz uwzględniam go poniżej)</w:t>
            </w:r>
          </w:p>
        </w:tc>
      </w:tr>
      <w:tr>
        <w:tc>
          <w:tcPr/>
          <w:p>
            <w:pPr>
              <w:pStyle w:val="Compact"/>
              <w:jc w:val="center"/>
            </w:pPr>
            <w:r>
              <w:t xml:space="preserve">i</w:t>
            </w:r>
          </w:p>
        </w:tc>
        <w:tc>
          <w:tcPr/>
          <w:p>
            <w:pPr>
              <w:pStyle w:val="Compact"/>
              <w:jc w:val="left"/>
            </w:pPr>
            <w:r>
              <w:t xml:space="preserve">zwykła nieuwaga (często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pPr>
        <w:pStyle w:val="BodyText"/>
      </w:pPr>
      <w:r>
        <w:t xml:space="preserve">Można zauważyć, że domniemanemu egzemplarzowi przypisuję mniejszą liczbę wariantów niż kopii — pomijam „c”, „s”, „h” i „i”, przypisując je kopiście, „c” mogło zostać wykonane przez kogoś innego, lecz rezultat jest poprawny. Oczywiście każdy z nich mógł znajdować się w egzemplarzu, a egzemplarz mógł mieć błąd poprawiony przez kopistę, liczby w kolumnie „egzemplarz” są więc jedynie przybliżeniem (prawdopodobnie jednak niezbyt odległym od rzeczywistości). Prawdą jest również, że wariant sklasyfikowany jako „x”, „y” lub „/” mógł być niezależnym błędem kopisty, którego nie było w egzemplarzu. Mimo wszystko uważam, że ogólny kształt poniższych dowodów jest zasadny i istotny.</w:t>
      </w:r>
    </w:p>
    <w:bookmarkStart w:id="276" w:name="f35-w-ewangelii-marka-dane-surowe"/>
    <w:p>
      <w:pPr>
        <w:pStyle w:val="Heading4"/>
      </w:pPr>
      <w:r>
        <w:rPr>
          <w:iCs/>
          <w:i/>
        </w:rPr>
        <w:t xml:space="preserve">f</w:t>
      </w:r>
      <w:r>
        <w:rPr>
          <w:vertAlign w:val="superscript"/>
          <w:iCs/>
          <w:i/>
        </w:rPr>
        <w:t xml:space="preserve">35</w:t>
      </w:r>
      <w:r>
        <w:rPr>
          <w:iCs/>
          <w:i/>
        </w:rPr>
        <w:t xml:space="preserve"> </w:t>
      </w:r>
      <w:r>
        <w:rPr>
          <w:iCs/>
          <w:i/>
        </w:rPr>
        <w:t xml:space="preserve">w Ewangelii Marka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74"/>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5y, 1/, 7s, 2i</w:t>
            </w:r>
          </w:p>
        </w:tc>
        <w:tc>
          <w:tcPr/>
          <w:p>
            <w:pPr>
              <w:pStyle w:val="Compact"/>
              <w:jc w:val="right"/>
            </w:pPr>
            <w:r>
              <w:t xml:space="preserve">15</w:t>
            </w:r>
          </w:p>
        </w:tc>
        <w:tc>
          <w:tcPr/>
          <w:p>
            <w:pPr>
              <w:pStyle w:val="Compact"/>
              <w:jc w:val="right"/>
            </w:pPr>
            <w:r>
              <w:t xml:space="preserve">6</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5c</w:t>
            </w:r>
          </w:p>
        </w:tc>
        <w:tc>
          <w:tcPr/>
          <w:p>
            <w:pPr>
              <w:pStyle w:val="Compact"/>
              <w:jc w:val="right"/>
            </w:pPr>
            <w:r>
              <w:t xml:space="preserve">5</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128</w:t>
            </w:r>
          </w:p>
        </w:tc>
        <w:tc>
          <w:tcPr/>
          <w:p>
            <w:pPr>
              <w:pStyle w:val="Compact"/>
              <w:jc w:val="left"/>
            </w:pPr>
            <w:r>
              <w:t xml:space="preserve">1y, 1/, 2s, 1h, 2i</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w:t>
            </w:r>
          </w:p>
        </w:tc>
      </w:tr>
      <w:tr>
        <w:tc>
          <w:tcPr/>
          <w:p>
            <w:pPr>
              <w:pStyle w:val="Compact"/>
              <w:jc w:val="right"/>
            </w:pPr>
            <w:r>
              <w:t xml:space="preserve">141</w:t>
            </w:r>
          </w:p>
        </w:tc>
        <w:tc>
          <w:tcPr/>
          <w:p>
            <w:pPr>
              <w:pStyle w:val="Compact"/>
              <w:jc w:val="left"/>
            </w:pPr>
            <w:r>
              <w:t xml:space="preserve">2x, 2y, 4/, 3c, 9s, 2h</w:t>
            </w:r>
          </w:p>
        </w:tc>
        <w:tc>
          <w:tcPr/>
          <w:p>
            <w:pPr>
              <w:pStyle w:val="Compact"/>
              <w:jc w:val="right"/>
            </w:pPr>
            <w:r>
              <w:t xml:space="preserve">22</w:t>
            </w:r>
          </w:p>
        </w:tc>
        <w:tc>
          <w:tcPr/>
          <w:p>
            <w:pPr>
              <w:pStyle w:val="Compact"/>
              <w:jc w:val="right"/>
            </w:pPr>
            <w:r>
              <w:t xml:space="preserve">8</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3y, 2/, 3s, 1i</w:t>
            </w:r>
          </w:p>
        </w:tc>
        <w:tc>
          <w:tcPr/>
          <w:p>
            <w:pPr>
              <w:pStyle w:val="Compact"/>
              <w:jc w:val="right"/>
            </w:pPr>
            <w:r>
              <w:t xml:space="preserve">9</w:t>
            </w:r>
          </w:p>
        </w:tc>
        <w:tc>
          <w:tcPr/>
          <w:p>
            <w:pPr>
              <w:pStyle w:val="Compact"/>
              <w:jc w:val="right"/>
            </w:pPr>
            <w:r>
              <w:t xml:space="preserve">5</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510</w:t>
            </w:r>
          </w:p>
        </w:tc>
        <w:tc>
          <w:tcPr/>
          <w:p>
            <w:pPr>
              <w:pStyle w:val="Compact"/>
              <w:jc w:val="left"/>
            </w:pPr>
            <w:r>
              <w:t xml:space="preserve">1x, 1y, 9s, 3i</w:t>
            </w:r>
          </w:p>
        </w:tc>
        <w:tc>
          <w:tcPr/>
          <w:p>
            <w:pPr>
              <w:pStyle w:val="Compact"/>
              <w:jc w:val="right"/>
            </w:pPr>
            <w:r>
              <w:t xml:space="preserve">14</w:t>
            </w:r>
          </w:p>
        </w:tc>
        <w:tc>
          <w:tcPr/>
          <w:p>
            <w:pPr>
              <w:pStyle w:val="Compact"/>
              <w:jc w:val="right"/>
            </w:pPr>
            <w:r>
              <w:t xml:space="preserve">2</w:t>
            </w:r>
          </w:p>
        </w:tc>
        <w:tc>
          <w:tcPr/>
          <w:p>
            <w:pPr>
              <w:pStyle w:val="Compact"/>
              <w:jc w:val="center"/>
            </w:pPr>
            <w:r>
              <w:t xml:space="preserve">XII</w:t>
            </w:r>
          </w:p>
        </w:tc>
        <w:tc>
          <w:tcPr/>
          <w:p>
            <w:pPr>
              <w:pStyle w:val="Compact"/>
              <w:jc w:val="left"/>
            </w:pPr>
            <w:r>
              <w:t xml:space="preserve">Oksford-cc</w:t>
            </w:r>
          </w:p>
        </w:tc>
        <w:tc>
          <w:tcPr/>
          <w:p>
            <w:pPr>
              <w:pStyle w:val="Compact"/>
              <w:jc w:val="center"/>
            </w:pPr>
            <w:r>
              <w:t xml:space="preserve">e</w:t>
            </w:r>
          </w:p>
        </w:tc>
      </w:tr>
      <w:tr>
        <w:tc>
          <w:tcPr/>
          <w:p>
            <w:pPr>
              <w:pStyle w:val="Compact"/>
              <w:jc w:val="right"/>
            </w:pPr>
            <w:r>
              <w:t xml:space="preserve">547</w:t>
            </w:r>
          </w:p>
        </w:tc>
        <w:tc>
          <w:tcPr/>
          <w:p>
            <w:pPr>
              <w:pStyle w:val="Compact"/>
              <w:jc w:val="left"/>
            </w:pPr>
            <w:r>
              <w:t xml:space="preserve">10y, 1/, 4s</w:t>
            </w:r>
          </w:p>
        </w:tc>
        <w:tc>
          <w:tcPr/>
          <w:p>
            <w:pPr>
              <w:pStyle w:val="Compact"/>
              <w:jc w:val="right"/>
            </w:pPr>
            <w:r>
              <w:t xml:space="preserve">15</w:t>
            </w:r>
          </w:p>
        </w:tc>
        <w:tc>
          <w:tcPr/>
          <w:p>
            <w:pPr>
              <w:pStyle w:val="Compact"/>
              <w:jc w:val="right"/>
            </w:pPr>
            <w:r>
              <w:t xml:space="preserve">11</w:t>
            </w:r>
          </w:p>
        </w:tc>
        <w:tc>
          <w:tcPr/>
          <w:p>
            <w:pPr>
              <w:pStyle w:val="Compact"/>
              <w:jc w:val="center"/>
            </w:pPr>
            <w:r>
              <w:t xml:space="preserve">XI</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553</w:t>
            </w:r>
          </w:p>
        </w:tc>
        <w:tc>
          <w:tcPr/>
          <w:p>
            <w:pPr>
              <w:pStyle w:val="Compact"/>
              <w:jc w:val="left"/>
            </w:pPr>
            <w:r>
              <w:t xml:space="preserve">2x, 9y, 2/, 1c, 4s, 3i</w:t>
            </w:r>
          </w:p>
        </w:tc>
        <w:tc>
          <w:tcPr/>
          <w:p>
            <w:pPr>
              <w:pStyle w:val="Compact"/>
              <w:jc w:val="right"/>
            </w:pPr>
            <w:r>
              <w:t xml:space="preserve">21</w:t>
            </w:r>
          </w:p>
        </w:tc>
        <w:tc>
          <w:tcPr/>
          <w:p>
            <w:pPr>
              <w:pStyle w:val="Compact"/>
              <w:jc w:val="right"/>
            </w:pPr>
            <w:r>
              <w:t xml:space="preserve">13</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586</w:t>
            </w:r>
          </w:p>
        </w:tc>
        <w:tc>
          <w:tcPr/>
          <w:p>
            <w:pPr>
              <w:pStyle w:val="Compact"/>
              <w:jc w:val="left"/>
            </w:pPr>
            <w:r>
              <w:t xml:space="preserve">1i</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XIV</w:t>
            </w:r>
          </w:p>
        </w:tc>
        <w:tc>
          <w:tcPr/>
          <w:p>
            <w:pPr>
              <w:pStyle w:val="Compact"/>
              <w:jc w:val="left"/>
            </w:pPr>
            <w:r>
              <w:t xml:space="preserve">Modena</w:t>
            </w:r>
          </w:p>
        </w:tc>
        <w:tc>
          <w:tcPr/>
          <w:p>
            <w:pPr>
              <w:pStyle w:val="Compact"/>
              <w:jc w:val="center"/>
            </w:pPr>
            <w:r>
              <w:t xml:space="preserve">e</w:t>
            </w:r>
          </w:p>
        </w:tc>
      </w:tr>
      <w:tr>
        <w:tc>
          <w:tcPr/>
          <w:p>
            <w:pPr>
              <w:pStyle w:val="Compact"/>
              <w:jc w:val="right"/>
            </w:pPr>
            <w:r>
              <w:t xml:space="preserve">645</w:t>
            </w:r>
          </w:p>
        </w:tc>
        <w:tc>
          <w:tcPr/>
          <w:p>
            <w:pPr>
              <w:pStyle w:val="Compact"/>
              <w:jc w:val="left"/>
            </w:pPr>
            <w:r>
              <w:t xml:space="preserve">2x, 8y, 4/, 3c, 16s, 2h, 13i</w:t>
            </w:r>
          </w:p>
        </w:tc>
        <w:tc>
          <w:tcPr/>
          <w:p>
            <w:pPr>
              <w:pStyle w:val="Compact"/>
              <w:jc w:val="right"/>
            </w:pPr>
            <w:r>
              <w:t xml:space="preserve">48</w:t>
            </w:r>
          </w:p>
        </w:tc>
        <w:tc>
          <w:tcPr/>
          <w:p>
            <w:pPr>
              <w:pStyle w:val="Compact"/>
              <w:jc w:val="right"/>
            </w:pPr>
            <w:r>
              <w:t xml:space="preserve">14</w:t>
            </w:r>
          </w:p>
        </w:tc>
        <w:tc>
          <w:tcPr/>
          <w:p>
            <w:pPr>
              <w:pStyle w:val="Compact"/>
              <w:jc w:val="center"/>
            </w:pPr>
            <w:r>
              <w:t xml:space="preserve">1304</w:t>
            </w:r>
          </w:p>
        </w:tc>
        <w:tc>
          <w:tcPr/>
          <w:p>
            <w:pPr>
              <w:pStyle w:val="Compact"/>
              <w:jc w:val="left"/>
            </w:pPr>
            <w:r>
              <w:t xml:space="preserve">Cypr</w:t>
            </w:r>
          </w:p>
        </w:tc>
        <w:tc>
          <w:tcPr/>
          <w:p>
            <w:pPr>
              <w:pStyle w:val="Compact"/>
              <w:jc w:val="center"/>
            </w:pPr>
            <w:r>
              <w:t xml:space="preserve">e</w:t>
            </w:r>
          </w:p>
        </w:tc>
      </w:tr>
      <w:tr>
        <w:tc>
          <w:tcPr/>
          <w:p>
            <w:pPr>
              <w:pStyle w:val="Compact"/>
              <w:jc w:val="right"/>
            </w:pPr>
            <w:r>
              <w:t xml:space="preserve">689</w:t>
            </w:r>
          </w:p>
        </w:tc>
        <w:tc>
          <w:tcPr/>
          <w:p>
            <w:pPr>
              <w:pStyle w:val="Compact"/>
              <w:jc w:val="left"/>
            </w:pPr>
            <w:r>
              <w:t xml:space="preserve">5x, 5y, 1/, 1c, 7s, 3i</w:t>
            </w:r>
          </w:p>
        </w:tc>
        <w:tc>
          <w:tcPr/>
          <w:p>
            <w:pPr>
              <w:pStyle w:val="Compact"/>
              <w:jc w:val="right"/>
            </w:pPr>
            <w:r>
              <w:t xml:space="preserve">22</w:t>
            </w:r>
          </w:p>
        </w:tc>
        <w:tc>
          <w:tcPr/>
          <w:p>
            <w:pPr>
              <w:pStyle w:val="Compact"/>
              <w:jc w:val="right"/>
            </w:pPr>
            <w:r>
              <w:t xml:space="preserve">11</w:t>
            </w:r>
          </w:p>
        </w:tc>
        <w:tc>
          <w:tcPr/>
          <w:p>
            <w:pPr>
              <w:pStyle w:val="Compact"/>
              <w:jc w:val="center"/>
            </w:pPr>
            <w:r>
              <w:t xml:space="preserve">XIII</w:t>
            </w:r>
          </w:p>
        </w:tc>
        <w:tc>
          <w:tcPr/>
          <w:p>
            <w:pPr>
              <w:pStyle w:val="Compact"/>
              <w:jc w:val="left"/>
            </w:pPr>
            <w:r>
              <w:t xml:space="preserve">Londyn</w:t>
            </w:r>
          </w:p>
        </w:tc>
        <w:tc>
          <w:tcPr/>
          <w:p>
            <w:pPr>
              <w:pStyle w:val="Compact"/>
              <w:jc w:val="center"/>
            </w:pPr>
            <w:r>
              <w:t xml:space="preserve">e</w:t>
            </w:r>
          </w:p>
        </w:tc>
      </w:tr>
      <w:tr>
        <w:tc>
          <w:tcPr/>
          <w:p>
            <w:pPr>
              <w:pStyle w:val="Compact"/>
              <w:jc w:val="right"/>
            </w:pPr>
            <w:r>
              <w:t xml:space="preserve">789</w:t>
            </w:r>
          </w:p>
        </w:tc>
        <w:tc>
          <w:tcPr/>
          <w:p>
            <w:pPr>
              <w:pStyle w:val="Compact"/>
              <w:jc w:val="left"/>
            </w:pPr>
            <w:r>
              <w:t xml:space="preserve">1y,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824</w:t>
            </w:r>
          </w:p>
        </w:tc>
        <w:tc>
          <w:tcPr/>
          <w:p>
            <w:pPr>
              <w:pStyle w:val="Compact"/>
              <w:jc w:val="left"/>
            </w:pPr>
            <w:r>
              <w:t xml:space="preserve">2x, 3y, 3s, 2i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3y, 1/, 1c, 1s</w:t>
            </w:r>
          </w:p>
        </w:tc>
        <w:tc>
          <w:tcPr/>
          <w:p>
            <w:pPr>
              <w:pStyle w:val="Compact"/>
              <w:jc w:val="right"/>
            </w:pPr>
            <w:r>
              <w:t xml:space="preserve">6</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1023</w:t>
            </w:r>
          </w:p>
        </w:tc>
        <w:tc>
          <w:tcPr/>
          <w:p>
            <w:pPr>
              <w:pStyle w:val="Compact"/>
              <w:jc w:val="left"/>
            </w:pPr>
            <w:r>
              <w:t xml:space="preserve">1x, 4y, 2/, 1c, 1s, 1i</w:t>
            </w:r>
          </w:p>
        </w:tc>
        <w:tc>
          <w:tcPr/>
          <w:p>
            <w:pPr>
              <w:pStyle w:val="Compact"/>
              <w:jc w:val="right"/>
            </w:pPr>
            <w:r>
              <w:t xml:space="preserve">10</w:t>
            </w:r>
          </w:p>
        </w:tc>
        <w:tc>
          <w:tcPr/>
          <w:p>
            <w:pPr>
              <w:pStyle w:val="Compact"/>
              <w:jc w:val="right"/>
            </w:pPr>
            <w:r>
              <w:t xml:space="preserve">7</w:t>
            </w:r>
          </w:p>
        </w:tc>
        <w:tc>
          <w:tcPr/>
          <w:p>
            <w:pPr>
              <w:pStyle w:val="Compact"/>
              <w:jc w:val="center"/>
            </w:pPr>
            <w:r>
              <w:t xml:space="preserve">1338</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1040</w:t>
            </w:r>
          </w:p>
        </w:tc>
        <w:tc>
          <w:tcPr/>
          <w:p>
            <w:pPr>
              <w:pStyle w:val="Compact"/>
              <w:jc w:val="left"/>
            </w:pPr>
            <w:r>
              <w:t xml:space="preserve">2x, 3y, 1/, 2s, 1h</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1y, 2i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4y, 2/, 1s, 2i</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1111</w:t>
            </w:r>
          </w:p>
        </w:tc>
        <w:tc>
          <w:tcPr/>
          <w:p>
            <w:pPr>
              <w:pStyle w:val="Compact"/>
              <w:jc w:val="left"/>
            </w:pPr>
            <w:r>
              <w:t xml:space="preserve">4y, 3/, 1c, 1s</w:t>
            </w:r>
          </w:p>
        </w:tc>
        <w:tc>
          <w:tcPr/>
          <w:p>
            <w:pPr>
              <w:pStyle w:val="Compact"/>
              <w:jc w:val="right"/>
            </w:pPr>
            <w:r>
              <w:t xml:space="preserve">9</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Stavronikita</w:t>
            </w:r>
          </w:p>
        </w:tc>
        <w:tc>
          <w:tcPr/>
          <w:p>
            <w:pPr>
              <w:pStyle w:val="Compact"/>
              <w:jc w:val="center"/>
            </w:pPr>
            <w:r>
              <w:t xml:space="preserve">e</w:t>
            </w:r>
          </w:p>
        </w:tc>
      </w:tr>
      <w:tr>
        <w:tc>
          <w:tcPr/>
          <w:p>
            <w:pPr>
              <w:pStyle w:val="Compact"/>
              <w:jc w:val="right"/>
            </w:pPr>
            <w:r>
              <w:t xml:space="preserve">1117</w:t>
            </w:r>
          </w:p>
        </w:tc>
        <w:tc>
          <w:tcPr/>
          <w:p>
            <w:pPr>
              <w:pStyle w:val="Compact"/>
              <w:jc w:val="left"/>
            </w:pPr>
            <w:r>
              <w:t xml:space="preserve">1x, 3y, 7s, 1i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1133</w:t>
            </w:r>
          </w:p>
        </w:tc>
        <w:tc>
          <w:tcPr/>
          <w:p>
            <w:pPr>
              <w:pStyle w:val="Compact"/>
              <w:jc w:val="left"/>
            </w:pPr>
            <w:r>
              <w:t xml:space="preserve">10y, 12/, 1c, 10s, 1h</w:t>
            </w:r>
          </w:p>
        </w:tc>
        <w:tc>
          <w:tcPr/>
          <w:p>
            <w:pPr>
              <w:pStyle w:val="Compact"/>
              <w:jc w:val="right"/>
            </w:pPr>
            <w:r>
              <w:t xml:space="preserve">34</w:t>
            </w:r>
          </w:p>
        </w:tc>
        <w:tc>
          <w:tcPr/>
          <w:p>
            <w:pPr>
              <w:pStyle w:val="Compact"/>
              <w:jc w:val="right"/>
            </w:pPr>
            <w:r>
              <w:t xml:space="preserve">22</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1145</w:t>
            </w:r>
          </w:p>
        </w:tc>
        <w:tc>
          <w:tcPr/>
          <w:p>
            <w:pPr>
              <w:pStyle w:val="Compact"/>
              <w:jc w:val="left"/>
            </w:pPr>
            <w:r>
              <w:t xml:space="preserve">1x, 9y, 3/, 5c, 2s, 2i</w:t>
            </w:r>
          </w:p>
        </w:tc>
        <w:tc>
          <w:tcPr/>
          <w:p>
            <w:pPr>
              <w:pStyle w:val="Compact"/>
              <w:jc w:val="right"/>
            </w:pPr>
            <w:r>
              <w:t xml:space="preserve">22</w:t>
            </w:r>
          </w:p>
        </w:tc>
        <w:tc>
          <w:tcPr/>
          <w:p>
            <w:pPr>
              <w:pStyle w:val="Compact"/>
              <w:jc w:val="right"/>
            </w:pPr>
            <w:r>
              <w:t xml:space="preserve">13</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1147</w:t>
            </w:r>
          </w:p>
        </w:tc>
        <w:tc>
          <w:tcPr/>
          <w:p>
            <w:pPr>
              <w:pStyle w:val="Compact"/>
              <w:jc w:val="left"/>
            </w:pPr>
            <w:r>
              <w:t xml:space="preserve">1y, 3/, 1c, 5s, 2h, 3i</w:t>
            </w:r>
          </w:p>
        </w:tc>
        <w:tc>
          <w:tcPr/>
          <w:p>
            <w:pPr>
              <w:pStyle w:val="Compact"/>
              <w:jc w:val="right"/>
            </w:pPr>
            <w:r>
              <w:t xml:space="preserve">15</w:t>
            </w:r>
          </w:p>
        </w:tc>
        <w:tc>
          <w:tcPr/>
          <w:p>
            <w:pPr>
              <w:pStyle w:val="Compact"/>
              <w:jc w:val="right"/>
            </w:pPr>
            <w:r>
              <w:t xml:space="preserve">4</w:t>
            </w:r>
          </w:p>
        </w:tc>
        <w:tc>
          <w:tcPr/>
          <w:p>
            <w:pPr>
              <w:pStyle w:val="Compact"/>
              <w:jc w:val="center"/>
            </w:pPr>
            <w:r>
              <w:t xml:space="preserve">1370</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1199</w:t>
            </w:r>
          </w:p>
        </w:tc>
        <w:tc>
          <w:tcPr/>
          <w:p>
            <w:pPr>
              <w:pStyle w:val="Compact"/>
              <w:jc w:val="left"/>
            </w:pPr>
            <w:r>
              <w:t xml:space="preserve">8x, 12y, 10/, 24s, 19i</w:t>
            </w:r>
          </w:p>
        </w:tc>
        <w:tc>
          <w:tcPr/>
          <w:p>
            <w:pPr>
              <w:pStyle w:val="Compact"/>
              <w:jc w:val="right"/>
            </w:pPr>
            <w:r>
              <w:t xml:space="preserve">73</w:t>
            </w:r>
          </w:p>
        </w:tc>
        <w:tc>
          <w:tcPr/>
          <w:p>
            <w:pPr>
              <w:pStyle w:val="Compact"/>
              <w:jc w:val="right"/>
            </w:pPr>
            <w:r>
              <w:t xml:space="preserve">30</w:t>
            </w:r>
          </w:p>
        </w:tc>
        <w:tc>
          <w:tcPr/>
          <w:p>
            <w:pPr>
              <w:pStyle w:val="Compact"/>
              <w:jc w:val="center"/>
            </w:pPr>
            <w:r>
              <w:t xml:space="preserve">XII</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1251</w:t>
            </w:r>
          </w:p>
        </w:tc>
        <w:tc>
          <w:tcPr/>
          <w:p>
            <w:pPr>
              <w:pStyle w:val="Compact"/>
              <w:jc w:val="left"/>
            </w:pPr>
            <w:r>
              <w:t xml:space="preserve">1x, 9y, 4/, 7s, 1h, 7i</w:t>
            </w:r>
          </w:p>
        </w:tc>
        <w:tc>
          <w:tcPr/>
          <w:p>
            <w:pPr>
              <w:pStyle w:val="Compact"/>
              <w:jc w:val="right"/>
            </w:pPr>
            <w:r>
              <w:t xml:space="preserve">29</w:t>
            </w:r>
          </w:p>
        </w:tc>
        <w:tc>
          <w:tcPr/>
          <w:p>
            <w:pPr>
              <w:pStyle w:val="Compact"/>
              <w:jc w:val="right"/>
            </w:pPr>
            <w:r>
              <w:t xml:space="preserve">14</w:t>
            </w:r>
          </w:p>
        </w:tc>
        <w:tc>
          <w:tcPr/>
          <w:p>
            <w:pPr>
              <w:pStyle w:val="Compact"/>
              <w:jc w:val="center"/>
            </w:pPr>
            <w:r>
              <w:t xml:space="preserve">XIII</w:t>
            </w:r>
          </w:p>
        </w:tc>
        <w:tc>
          <w:tcPr/>
          <w:p>
            <w:pPr>
              <w:pStyle w:val="Compact"/>
              <w:jc w:val="left"/>
            </w:pPr>
            <w:r>
              <w:t xml:space="preserve">Synaj</w:t>
            </w:r>
          </w:p>
        </w:tc>
        <w:tc>
          <w:tcPr/>
          <w:p>
            <w:pPr>
              <w:pStyle w:val="Compact"/>
              <w:jc w:val="center"/>
            </w:pPr>
            <w:r>
              <w:t xml:space="preserve">eap</w:t>
            </w:r>
          </w:p>
        </w:tc>
      </w:tr>
      <w:tr>
        <w:tc>
          <w:tcPr/>
          <w:p>
            <w:pPr>
              <w:pStyle w:val="Compact"/>
              <w:jc w:val="right"/>
            </w:pPr>
            <w:r>
              <w:t xml:space="preserve">1339</w:t>
            </w:r>
          </w:p>
        </w:tc>
        <w:tc>
          <w:tcPr/>
          <w:p>
            <w:pPr>
              <w:pStyle w:val="Compact"/>
              <w:jc w:val="left"/>
            </w:pPr>
            <w:r>
              <w:t xml:space="preserve">2x, 1y, 1/, 1s, 1i</w:t>
            </w:r>
          </w:p>
        </w:tc>
        <w:tc>
          <w:tcPr/>
          <w:p>
            <w:pPr>
              <w:pStyle w:val="Compact"/>
              <w:jc w:val="right"/>
            </w:pPr>
            <w:r>
              <w:t xml:space="preserve">6</w:t>
            </w:r>
          </w:p>
        </w:tc>
        <w:tc>
          <w:tcPr/>
          <w:p>
            <w:pPr>
              <w:pStyle w:val="Compact"/>
              <w:jc w:val="right"/>
            </w:pPr>
            <w:r>
              <w:t xml:space="preserve">4</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1384</w:t>
            </w:r>
          </w:p>
        </w:tc>
        <w:tc>
          <w:tcPr/>
          <w:p>
            <w:pPr>
              <w:pStyle w:val="Compact"/>
              <w:jc w:val="left"/>
            </w:pPr>
            <w:r>
              <w:t xml:space="preserve">1x, 8y, 1/, 1c, 7s, 1h, 4i</w:t>
            </w:r>
          </w:p>
        </w:tc>
        <w:tc>
          <w:tcPr/>
          <w:p>
            <w:pPr>
              <w:pStyle w:val="Compact"/>
              <w:jc w:val="right"/>
            </w:pPr>
            <w:r>
              <w:t xml:space="preserve">23</w:t>
            </w:r>
          </w:p>
        </w:tc>
        <w:tc>
          <w:tcPr/>
          <w:p>
            <w:pPr>
              <w:pStyle w:val="Compact"/>
              <w:jc w:val="right"/>
            </w:pPr>
            <w:r>
              <w:t xml:space="preserve">10</w:t>
            </w:r>
          </w:p>
        </w:tc>
        <w:tc>
          <w:tcPr/>
          <w:p>
            <w:pPr>
              <w:pStyle w:val="Compact"/>
              <w:jc w:val="center"/>
            </w:pPr>
            <w:r>
              <w:t xml:space="preserve">XI</w:t>
            </w:r>
          </w:p>
        </w:tc>
        <w:tc>
          <w:tcPr/>
          <w:p>
            <w:pPr>
              <w:pStyle w:val="Compact"/>
              <w:jc w:val="left"/>
            </w:pPr>
            <w:r>
              <w:t xml:space="preserve">Andros</w:t>
            </w:r>
          </w:p>
        </w:tc>
        <w:tc>
          <w:tcPr/>
          <w:p>
            <w:pPr>
              <w:pStyle w:val="Compact"/>
              <w:jc w:val="center"/>
            </w:pPr>
            <w:r>
              <w:t xml:space="preserve">eapr</w:t>
            </w:r>
          </w:p>
        </w:tc>
      </w:tr>
      <w:tr>
        <w:tc>
          <w:tcPr/>
          <w:p>
            <w:pPr>
              <w:pStyle w:val="Compact"/>
              <w:jc w:val="right"/>
            </w:pPr>
            <w:r>
              <w:t xml:space="preserve">1435</w:t>
            </w:r>
          </w:p>
        </w:tc>
        <w:tc>
          <w:tcPr/>
          <w:p>
            <w:pPr>
              <w:pStyle w:val="Compact"/>
              <w:jc w:val="left"/>
            </w:pPr>
            <w:r>
              <w:t xml:space="preserve">4y, 1/, 10s</w:t>
            </w:r>
          </w:p>
        </w:tc>
        <w:tc>
          <w:tcPr/>
          <w:p>
            <w:pPr>
              <w:pStyle w:val="Compact"/>
              <w:jc w:val="right"/>
            </w:pPr>
            <w:r>
              <w:t xml:space="preserve">15</w:t>
            </w:r>
          </w:p>
        </w:tc>
        <w:tc>
          <w:tcPr/>
          <w:p>
            <w:pPr>
              <w:pStyle w:val="Compact"/>
              <w:jc w:val="right"/>
            </w:pPr>
            <w:r>
              <w:t xml:space="preserve">5</w:t>
            </w:r>
          </w:p>
        </w:tc>
        <w:tc>
          <w:tcPr/>
          <w:p>
            <w:pPr>
              <w:pStyle w:val="Compact"/>
              <w:jc w:val="center"/>
            </w:pPr>
            <w:r>
              <w:t xml:space="preserve">XI</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1461</w:t>
            </w:r>
          </w:p>
        </w:tc>
        <w:tc>
          <w:tcPr/>
          <w:p>
            <w:pPr>
              <w:pStyle w:val="Compact"/>
              <w:jc w:val="left"/>
            </w:pPr>
            <w:r>
              <w:t xml:space="preserve">1y, 3s</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1496</w:t>
            </w:r>
          </w:p>
        </w:tc>
        <w:tc>
          <w:tcPr/>
          <w:p>
            <w:pPr>
              <w:pStyle w:val="Compact"/>
              <w:jc w:val="left"/>
            </w:pPr>
            <w:r>
              <w:t xml:space="preserve">1y, 2s, 1i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1503</w:t>
            </w:r>
          </w:p>
        </w:tc>
        <w:tc>
          <w:tcPr/>
          <w:p>
            <w:pPr>
              <w:pStyle w:val="Compact"/>
              <w:jc w:val="left"/>
            </w:pPr>
            <w:r>
              <w:t xml:space="preserve">2/, 1c, 2s, 1i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1572</w:t>
            </w:r>
          </w:p>
        </w:tc>
        <w:tc>
          <w:tcPr/>
          <w:p>
            <w:pPr>
              <w:pStyle w:val="Compact"/>
              <w:jc w:val="left"/>
            </w:pPr>
            <w:r>
              <w:t xml:space="preserve">3y, 1/, 3s</w:t>
            </w:r>
          </w:p>
        </w:tc>
        <w:tc>
          <w:tcPr/>
          <w:p>
            <w:pPr>
              <w:pStyle w:val="Compact"/>
              <w:jc w:val="right"/>
            </w:pPr>
            <w:r>
              <w:t xml:space="preserve">7</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1628</w:t>
            </w:r>
          </w:p>
        </w:tc>
        <w:tc>
          <w:tcPr/>
          <w:p>
            <w:pPr>
              <w:pStyle w:val="Compact"/>
              <w:jc w:val="left"/>
            </w:pPr>
            <w:r>
              <w:t xml:space="preserve">1y, 5s, 1h, 2i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1400</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2y, 2s, 2i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1s, 2i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XVI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1667</w:t>
            </w:r>
          </w:p>
        </w:tc>
        <w:tc>
          <w:tcPr/>
          <w:p>
            <w:pPr>
              <w:pStyle w:val="Compact"/>
              <w:jc w:val="left"/>
            </w:pPr>
            <w:r>
              <w:t xml:space="preserve">5y, 2/, 1c, 8s</w:t>
            </w:r>
          </w:p>
        </w:tc>
        <w:tc>
          <w:tcPr/>
          <w:p>
            <w:pPr>
              <w:pStyle w:val="Compact"/>
              <w:jc w:val="right"/>
            </w:pPr>
            <w:r>
              <w:t xml:space="preserve">16</w:t>
            </w:r>
          </w:p>
        </w:tc>
        <w:tc>
          <w:tcPr/>
          <w:p>
            <w:pPr>
              <w:pStyle w:val="Compact"/>
              <w:jc w:val="right"/>
            </w:pPr>
            <w:r>
              <w:t xml:space="preserve">7</w:t>
            </w:r>
          </w:p>
        </w:tc>
        <w:tc>
          <w:tcPr/>
          <w:p>
            <w:pPr>
              <w:pStyle w:val="Compact"/>
              <w:jc w:val="center"/>
            </w:pPr>
            <w:r>
              <w:t xml:space="preserve">1309</w:t>
            </w:r>
          </w:p>
        </w:tc>
        <w:tc>
          <w:tcPr/>
          <w:p>
            <w:pPr>
              <w:pStyle w:val="Compact"/>
              <w:jc w:val="left"/>
            </w:pPr>
            <w:r>
              <w:t xml:space="preserve">Panteleimonos</w:t>
            </w:r>
          </w:p>
        </w:tc>
        <w:tc>
          <w:tcPr/>
          <w:p>
            <w:pPr>
              <w:pStyle w:val="Compact"/>
              <w:jc w:val="center"/>
            </w:pPr>
            <w:r>
              <w:t xml:space="preserve">e</w:t>
            </w:r>
          </w:p>
        </w:tc>
      </w:tr>
      <w:tr>
        <w:tc>
          <w:tcPr/>
          <w:p>
            <w:pPr>
              <w:pStyle w:val="Compact"/>
              <w:jc w:val="right"/>
            </w:pPr>
            <w:r>
              <w:t xml:space="preserve">1705</w:t>
            </w:r>
          </w:p>
        </w:tc>
        <w:tc>
          <w:tcPr/>
          <w:p>
            <w:pPr>
              <w:pStyle w:val="Compact"/>
              <w:jc w:val="left"/>
            </w:pPr>
            <w:r>
              <w:t xml:space="preserve">1x, 15y, 4/, 13s, 1h, 4i</w:t>
            </w:r>
          </w:p>
        </w:tc>
        <w:tc>
          <w:tcPr/>
          <w:p>
            <w:pPr>
              <w:pStyle w:val="Compact"/>
              <w:jc w:val="right"/>
            </w:pPr>
            <w:r>
              <w:t xml:space="preserve">38</w:t>
            </w:r>
          </w:p>
        </w:tc>
        <w:tc>
          <w:tcPr/>
          <w:p>
            <w:pPr>
              <w:pStyle w:val="Compact"/>
              <w:jc w:val="right"/>
            </w:pPr>
            <w:r>
              <w:t xml:space="preserve">20</w:t>
            </w:r>
          </w:p>
        </w:tc>
        <w:tc>
          <w:tcPr/>
          <w:p>
            <w:pPr>
              <w:pStyle w:val="Compact"/>
              <w:jc w:val="center"/>
            </w:pPr>
            <w:r>
              <w:t xml:space="preserve">XIV</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1713</w:t>
            </w:r>
          </w:p>
        </w:tc>
        <w:tc>
          <w:tcPr/>
          <w:p>
            <w:pPr>
              <w:pStyle w:val="Compact"/>
              <w:jc w:val="left"/>
            </w:pPr>
            <w:r>
              <w:t xml:space="preserve">1y, 2c, 2s</w:t>
            </w:r>
          </w:p>
        </w:tc>
        <w:tc>
          <w:tcPr/>
          <w:p>
            <w:pPr>
              <w:pStyle w:val="Compact"/>
              <w:jc w:val="right"/>
            </w:pPr>
            <w:r>
              <w:t xml:space="preserve">5</w:t>
            </w:r>
          </w:p>
        </w:tc>
        <w:tc>
          <w:tcPr/>
          <w:p>
            <w:pPr>
              <w:pStyle w:val="Compact"/>
              <w:jc w:val="right"/>
            </w:pPr>
            <w:r>
              <w:t xml:space="preserve">1</w:t>
            </w:r>
          </w:p>
        </w:tc>
        <w:tc>
          <w:tcPr/>
          <w:p>
            <w:pPr>
              <w:pStyle w:val="Compact"/>
              <w:jc w:val="center"/>
            </w:pPr>
            <w:r>
              <w:t xml:space="preserve">XV</w:t>
            </w:r>
          </w:p>
        </w:tc>
        <w:tc>
          <w:tcPr/>
          <w:p>
            <w:pPr>
              <w:pStyle w:val="Compact"/>
              <w:jc w:val="left"/>
            </w:pPr>
            <w:r>
              <w:t xml:space="preserve">Lesbos</w:t>
            </w:r>
          </w:p>
        </w:tc>
        <w:tc>
          <w:tcPr/>
          <w:p>
            <w:pPr>
              <w:pStyle w:val="Compact"/>
              <w:jc w:val="center"/>
            </w:pPr>
            <w:r>
              <w:t xml:space="preserve">e</w:t>
            </w:r>
          </w:p>
        </w:tc>
      </w:tr>
      <w:tr>
        <w:tc>
          <w:tcPr/>
          <w:p>
            <w:pPr>
              <w:pStyle w:val="Compact"/>
              <w:jc w:val="right"/>
            </w:pPr>
            <w:r>
              <w:t xml:space="preserve">2122</w:t>
            </w:r>
          </w:p>
        </w:tc>
        <w:tc>
          <w:tcPr/>
          <w:p>
            <w:pPr>
              <w:pStyle w:val="Compact"/>
              <w:jc w:val="left"/>
            </w:pPr>
            <w:r>
              <w:t xml:space="preserve">5y, 5s</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XII</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2221</w:t>
            </w:r>
          </w:p>
        </w:tc>
        <w:tc>
          <w:tcPr/>
          <w:p>
            <w:pPr>
              <w:pStyle w:val="Compact"/>
              <w:jc w:val="left"/>
            </w:pPr>
            <w:r>
              <w:t xml:space="preserve">6x, 15y, 1/, 2s, 1h</w:t>
            </w:r>
          </w:p>
        </w:tc>
        <w:tc>
          <w:tcPr/>
          <w:p>
            <w:pPr>
              <w:pStyle w:val="Compact"/>
              <w:jc w:val="right"/>
            </w:pPr>
            <w:r>
              <w:t xml:space="preserve">25</w:t>
            </w:r>
          </w:p>
        </w:tc>
        <w:tc>
          <w:tcPr/>
          <w:p>
            <w:pPr>
              <w:pStyle w:val="Compact"/>
              <w:jc w:val="right"/>
            </w:pPr>
            <w:r>
              <w:t xml:space="preserve">22</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eap</w:t>
            </w:r>
          </w:p>
        </w:tc>
      </w:tr>
      <w:tr>
        <w:tc>
          <w:tcPr/>
          <w:p>
            <w:pPr>
              <w:pStyle w:val="Compact"/>
              <w:jc w:val="right"/>
            </w:pPr>
            <w:r>
              <w:t xml:space="preserve">2253</w:t>
            </w:r>
          </w:p>
        </w:tc>
        <w:tc>
          <w:tcPr/>
          <w:p>
            <w:pPr>
              <w:pStyle w:val="Compact"/>
              <w:jc w:val="left"/>
            </w:pPr>
            <w:r>
              <w:t xml:space="preserve">1y, 1s,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2261</w:t>
            </w:r>
          </w:p>
        </w:tc>
        <w:tc>
          <w:tcPr/>
          <w:p>
            <w:pPr>
              <w:pStyle w:val="Compact"/>
              <w:jc w:val="left"/>
            </w:pPr>
            <w:r>
              <w:t xml:space="preserve">10y, 9/, 3c, 1s, 3i</w:t>
            </w:r>
          </w:p>
        </w:tc>
        <w:tc>
          <w:tcPr/>
          <w:p>
            <w:pPr>
              <w:pStyle w:val="Compact"/>
              <w:jc w:val="right"/>
            </w:pPr>
            <w:r>
              <w:t xml:space="preserve">26</w:t>
            </w:r>
          </w:p>
        </w:tc>
        <w:tc>
          <w:tcPr/>
          <w:p>
            <w:pPr>
              <w:pStyle w:val="Compact"/>
              <w:jc w:val="right"/>
            </w:pPr>
            <w:r>
              <w:t xml:space="preserve">19</w:t>
            </w:r>
          </w:p>
        </w:tc>
        <w:tc>
          <w:tcPr/>
          <w:p>
            <w:pPr>
              <w:pStyle w:val="Compact"/>
              <w:jc w:val="center"/>
            </w:pPr>
            <w:r>
              <w:t xml:space="preserve">XIV</w:t>
            </w:r>
          </w:p>
        </w:tc>
        <w:tc>
          <w:tcPr/>
          <w:p>
            <w:pPr>
              <w:pStyle w:val="Compact"/>
              <w:jc w:val="left"/>
            </w:pPr>
            <w:r>
              <w:t xml:space="preserve">Kalawrita</w:t>
            </w:r>
          </w:p>
        </w:tc>
        <w:tc>
          <w:tcPr/>
          <w:p>
            <w:pPr>
              <w:pStyle w:val="Compact"/>
              <w:jc w:val="center"/>
            </w:pPr>
            <w:r>
              <w:t xml:space="preserve">eap</w:t>
            </w:r>
          </w:p>
        </w:tc>
      </w:tr>
      <w:tr>
        <w:tc>
          <w:tcPr/>
          <w:p>
            <w:pPr>
              <w:pStyle w:val="Compact"/>
              <w:jc w:val="right"/>
            </w:pPr>
            <w:r>
              <w:t xml:space="preserve">2323</w:t>
            </w:r>
          </w:p>
        </w:tc>
        <w:tc>
          <w:tcPr/>
          <w:p>
            <w:pPr>
              <w:pStyle w:val="Compact"/>
              <w:jc w:val="left"/>
            </w:pPr>
            <w:r>
              <w:t xml:space="preserve">10y, 2/, 4c, 4s</w:t>
            </w:r>
          </w:p>
        </w:tc>
        <w:tc>
          <w:tcPr/>
          <w:p>
            <w:pPr>
              <w:pStyle w:val="Compact"/>
              <w:jc w:val="right"/>
            </w:pPr>
            <w:r>
              <w:t xml:space="preserve">20</w:t>
            </w:r>
          </w:p>
        </w:tc>
        <w:tc>
          <w:tcPr/>
          <w:p>
            <w:pPr>
              <w:pStyle w:val="Compact"/>
              <w:jc w:val="right"/>
            </w:pPr>
            <w:r>
              <w:t xml:space="preserve">12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er</w:t>
            </w:r>
          </w:p>
        </w:tc>
      </w:tr>
      <w:tr>
        <w:tc>
          <w:tcPr/>
          <w:p>
            <w:pPr>
              <w:pStyle w:val="Compact"/>
              <w:jc w:val="right"/>
            </w:pPr>
            <w:r>
              <w:t xml:space="preserve">2352</w:t>
            </w:r>
          </w:p>
        </w:tc>
        <w:tc>
          <w:tcPr/>
          <w:p>
            <w:pPr>
              <w:pStyle w:val="Compact"/>
              <w:jc w:val="left"/>
            </w:pPr>
            <w:r>
              <w:t xml:space="preserve">2y, 2/, 4c, 4i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eapr</w:t>
            </w:r>
          </w:p>
        </w:tc>
      </w:tr>
      <w:tr>
        <w:tc>
          <w:tcPr/>
          <w:p>
            <w:pPr>
              <w:pStyle w:val="Compact"/>
              <w:jc w:val="right"/>
            </w:pPr>
            <w:r>
              <w:t xml:space="preserve">2382</w:t>
            </w:r>
          </w:p>
        </w:tc>
        <w:tc>
          <w:tcPr/>
          <w:p>
            <w:pPr>
              <w:pStyle w:val="Compact"/>
              <w:jc w:val="left"/>
            </w:pPr>
            <w:r>
              <w:t xml:space="preserve">1/</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2466</w:t>
            </w:r>
          </w:p>
        </w:tc>
        <w:tc>
          <w:tcPr/>
          <w:p>
            <w:pPr>
              <w:pStyle w:val="Compact"/>
              <w:jc w:val="left"/>
            </w:pPr>
            <w:r>
              <w:t xml:space="preserve">3y, 1/, 3c, 12s, 4i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2503</w:t>
            </w:r>
          </w:p>
        </w:tc>
        <w:tc>
          <w:tcPr/>
          <w:p>
            <w:pPr>
              <w:pStyle w:val="Compact"/>
              <w:jc w:val="left"/>
            </w:pPr>
            <w:r>
              <w:t xml:space="preserve">3y, 1/, 5s, 1i</w:t>
            </w:r>
          </w:p>
        </w:tc>
        <w:tc>
          <w:tcPr/>
          <w:p>
            <w:pPr>
              <w:pStyle w:val="Compact"/>
              <w:jc w:val="right"/>
            </w:pPr>
            <w:r>
              <w:t xml:space="preserve">10</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2554</w:t>
            </w:r>
          </w:p>
        </w:tc>
        <w:tc>
          <w:tcPr/>
          <w:p>
            <w:pPr>
              <w:pStyle w:val="Compact"/>
              <w:jc w:val="left"/>
            </w:pPr>
            <w:r>
              <w:t xml:space="preserve">1/, 1c</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2765</w:t>
            </w:r>
          </w:p>
        </w:tc>
        <w:tc>
          <w:tcPr/>
          <w:p>
            <w:pPr>
              <w:pStyle w:val="Compact"/>
              <w:jc w:val="left"/>
            </w:pPr>
            <w:r>
              <w:t xml:space="preserve">4y, 1/, 1i</w:t>
            </w:r>
          </w:p>
        </w:tc>
        <w:tc>
          <w:tcPr/>
          <w:p>
            <w:pPr>
              <w:pStyle w:val="Compact"/>
              <w:jc w:val="right"/>
            </w:pPr>
            <w:r>
              <w:t xml:space="preserve">6</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Korynt? (Oksford)</w:t>
            </w:r>
          </w:p>
        </w:tc>
        <w:tc>
          <w:tcPr/>
          <w:p>
            <w:pPr>
              <w:pStyle w:val="Compact"/>
              <w:jc w:val="center"/>
            </w:pPr>
            <w:r>
              <w:t xml:space="preserve">e</w:t>
            </w:r>
          </w:p>
        </w:tc>
      </w:tr>
      <w:tr>
        <w:tc>
          <w:tcPr/>
          <w:p>
            <w:pPr>
              <w:pStyle w:val="Compact"/>
              <w:jc w:val="right"/>
            </w:pPr>
            <w:r>
              <w:t xml:space="preserve">2875</w:t>
            </w:r>
          </w:p>
        </w:tc>
        <w:tc>
          <w:tcPr/>
          <w:p>
            <w:pPr>
              <w:pStyle w:val="Compact"/>
              <w:jc w:val="left"/>
            </w:pPr>
            <w:r>
              <w:t xml:space="preserve">1x, 3y, 2/, 1c, 5s, 1i</w:t>
            </w:r>
          </w:p>
        </w:tc>
        <w:tc>
          <w:tcPr/>
          <w:p>
            <w:pPr>
              <w:pStyle w:val="Compact"/>
              <w:jc w:val="right"/>
            </w:pPr>
            <w:r>
              <w:t xml:space="preserve">13</w:t>
            </w:r>
          </w:p>
        </w:tc>
        <w:tc>
          <w:tcPr/>
          <w:p>
            <w:pPr>
              <w:pStyle w:val="Compact"/>
              <w:jc w:val="right"/>
            </w:pPr>
            <w:r>
              <w:t xml:space="preserve">6</w:t>
            </w:r>
          </w:p>
        </w:tc>
        <w:tc>
          <w:tcPr/>
          <w:p>
            <w:pPr>
              <w:pStyle w:val="Compact"/>
              <w:jc w:val="center"/>
            </w:pPr>
            <w:r>
              <w:t xml:space="preserve">1314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2876</w:t>
            </w:r>
          </w:p>
        </w:tc>
        <w:tc>
          <w:tcPr/>
          <w:p>
            <w:pPr>
              <w:pStyle w:val="Compact"/>
              <w:jc w:val="left"/>
            </w:pPr>
            <w:r>
              <w:t xml:space="preserve">2x, 2y, 3/, 13s</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I.2110</w:t>
            </w:r>
          </w:p>
        </w:tc>
        <w:tc>
          <w:tcPr/>
          <w:p>
            <w:pPr>
              <w:pStyle w:val="Compact"/>
              <w:jc w:val="left"/>
            </w:pPr>
            <w:r>
              <w:t xml:space="preserve">2y, 2/, 2c, 1s, 1i</w:t>
            </w:r>
          </w:p>
        </w:tc>
        <w:tc>
          <w:tcPr/>
          <w:p>
            <w:pPr>
              <w:pStyle w:val="Compact"/>
              <w:jc w:val="right"/>
            </w:pPr>
            <w:r>
              <w:t xml:space="preserve">8</w:t>
            </w:r>
          </w:p>
        </w:tc>
        <w:tc>
          <w:tcPr/>
          <w:p>
            <w:pPr>
              <w:pStyle w:val="Compact"/>
              <w:jc w:val="right"/>
            </w:pPr>
            <w:r>
              <w:t xml:space="preserve">4</w:t>
            </w:r>
          </w:p>
        </w:tc>
        <w:tc>
          <w:tcPr/>
          <w:p>
            <w:pPr>
              <w:pStyle w:val="Compact"/>
              <w:jc w:val="center"/>
            </w:pPr>
            <w:r>
              <w:t xml:space="preserve">1322</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L.65</w:t>
            </w:r>
          </w:p>
        </w:tc>
        <w:tc>
          <w:tcPr/>
          <w:p>
            <w:pPr>
              <w:pStyle w:val="Compact"/>
              <w:jc w:val="left"/>
            </w:pPr>
            <w:r>
              <w:t xml:space="preserve">2x, 3y, 2/, 2c, 9s, 2i</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Leukosia</w:t>
            </w:r>
          </w:p>
        </w:tc>
        <w:tc>
          <w:tcPr/>
          <w:p>
            <w:pPr>
              <w:pStyle w:val="Compact"/>
              <w:jc w:val="center"/>
            </w:pPr>
            <w:r>
              <w:t xml:space="preserve">e</w:t>
            </w:r>
          </w:p>
        </w:tc>
      </w:tr>
    </w:tbl>
    <w:p>
      <w:pPr>
        <w:pStyle w:val="BodyText"/>
      </w:pPr>
      <w:r>
        <w:t xml:space="preserve">Jak wybrałem manuskrypty do skolacjonowania? Posłużyłem się tomami</w:t>
      </w:r>
      <w:r>
        <w:t xml:space="preserve"> </w:t>
      </w:r>
      <w:r>
        <w:rPr>
          <w:iCs/>
          <w:i/>
        </w:rPr>
        <w:t xml:space="preserve">TuT</w:t>
      </w:r>
      <w:r>
        <w:t xml:space="preserve"> </w:t>
      </w:r>
      <w:r>
        <w:t xml:space="preserve">dla Ewangelii Marka.</w:t>
      </w:r>
      <w:r>
        <w:t xml:space="preserve"> </w:t>
      </w:r>
      <w:r>
        <w:rPr>
          <w:iCs/>
          <w:i/>
        </w:rPr>
        <w:t xml:space="preserve">INTF</w:t>
      </w:r>
      <w:r>
        <w:t xml:space="preserve"> </w:t>
      </w:r>
      <w:r>
        <w:t xml:space="preserve">skolacjonował około 1700 manuskryptów dla 196 zestawów wariantów (nie wszystkie manuskrypty zachowały się dla wszystkich zestawów). Wyróżniający profil</w:t>
      </w:r>
      <w:r>
        <w:t xml:space="preserve"> </w:t>
      </w:r>
      <w:r>
        <w:rPr>
          <w:bCs/>
          <w:b/>
        </w:rPr>
        <w:t xml:space="preserve">f</w:t>
      </w:r>
      <w:r>
        <w:rPr>
          <w:vertAlign w:val="superscript"/>
          <w:bCs/>
          <w:b/>
        </w:rPr>
        <w:t xml:space="preserve">35</w:t>
      </w:r>
      <w:r>
        <w:t xml:space="preserve"> </w:t>
      </w:r>
      <w:r>
        <w:t xml:space="preserve">tworzą zaledwie cztery spośród tych 196 zestawów, lecz wystarcza to do zidentyfikowania każdego skolacjonowanego przez nich manuskryptu</w:t>
      </w:r>
      <w:r>
        <w:t xml:space="preserve"> </w:t>
      </w:r>
      <w:r>
        <w:rPr>
          <w:bCs/>
          <w:b/>
        </w:rPr>
        <w:t xml:space="preserve">f</w:t>
      </w:r>
      <w:r>
        <w:rPr>
          <w:vertAlign w:val="superscript"/>
          <w:bCs/>
          <w:b/>
        </w:rPr>
        <w:t xml:space="preserve">35</w:t>
      </w:r>
      <w:r>
        <w:t xml:space="preserve">. Z listy manuskryptów przypuszczalnie należących do</w:t>
      </w:r>
      <w:r>
        <w:t xml:space="preserve"> </w:t>
      </w:r>
      <w:r>
        <w:rPr>
          <w:bCs/>
          <w:b/>
        </w:rPr>
        <w:t xml:space="preserve">f</w:t>
      </w:r>
      <w:r>
        <w:rPr>
          <w:vertAlign w:val="superscript"/>
          <w:bCs/>
          <w:b/>
        </w:rPr>
        <w:t xml:space="preserve">35</w:t>
      </w:r>
      <w:r>
        <w:t xml:space="preserve"> </w:t>
      </w:r>
      <w:r>
        <w:t xml:space="preserve">najpierw wybrałem te, które zapewniały najszersze rozmieszczenie geograficzne. Następnie skoncentrowałem się na manuskryptach o „doskonałym” profilu. Oczywiście ograniczała mnie dostępność manuskryptów w formacie PDF. Dzięki mojemu profilowi rodziny dla całego Nowego Testamentu mogę szybko zidentyfikować każdy manuskrypt</w:t>
      </w:r>
      <w:r>
        <w:t xml:space="preserve"> </w:t>
      </w:r>
      <w:r>
        <w:rPr>
          <w:bCs/>
          <w:b/>
        </w:rPr>
        <w:t xml:space="preserve">f</w:t>
      </w:r>
      <w:r>
        <w:rPr>
          <w:vertAlign w:val="superscript"/>
          <w:bCs/>
          <w:b/>
        </w:rPr>
        <w:t xml:space="preserve">35</w:t>
      </w:r>
      <w:r>
        <w:t xml:space="preserve">, który nie został jeszcze zbadany. W taki sposób na liście znalazły się Iviron 2110 i Leukosia 65 (w chwili pisania tych słów</w:t>
      </w:r>
      <w:r>
        <w:t xml:space="preserve"> </w:t>
      </w:r>
      <w:r>
        <w:rPr>
          <w:iCs/>
          <w:i/>
        </w:rPr>
        <w:t xml:space="preserve">INTF</w:t>
      </w:r>
      <w:r>
        <w:t xml:space="preserve"> </w:t>
      </w:r>
      <w:r>
        <w:t xml:space="preserve">nie nadał im jeszcze numerów).</w:t>
      </w:r>
    </w:p>
    <w:p>
      <w:pPr>
        <w:pStyle w:val="BodyText"/>
      </w:pPr>
      <w:r>
        <w:t xml:space="preserve">Patrząc na tabelę, jedenaście manuskryptów ma średnio tylko jeden wariant na trzy lub więcej rozdziałów — wyjątkowe! (Manuskrypt 586 jest w obecnym stanie niemal doskonały). Kolejnych dziewięć manuskryptów ma tylko jeden wariant na dwa rozdziały — znakomite. Praktycznie 40% jest znakomitych lub lepszych. Kolejnych siedemnaście ma tylko jeden wariant na rozdział — dobre. Kolejnych dwanaście ma dwa warianty na rozdział — dostateczne. Kolejne trzy mają trzy warianty na rozdział — słabe. Jeden manuskrypt ma pięć wariantów na rozdział — marginalny. Zauważ, że zdecydowanie najgorszy spośród pięćdziesięciu trzech przedstawicieli</w:t>
      </w:r>
      <w:r>
        <w:t xml:space="preserve"> </w:t>
      </w:r>
      <w:r>
        <w:rPr>
          <w:bCs/>
          <w:b/>
        </w:rPr>
        <w:t xml:space="preserve">f</w:t>
      </w:r>
      <w:r>
        <w:rPr>
          <w:vertAlign w:val="superscript"/>
          <w:bCs/>
          <w:b/>
        </w:rPr>
        <w:t xml:space="preserve">35</w:t>
      </w:r>
      <w:r>
        <w:t xml:space="preserve"> </w:t>
      </w:r>
      <w:r>
        <w:t xml:space="preserve">(1199, e, XII, Synaj) jest cztery razy „lepszy” od najlepszego aleksandryjskiego przedstawiciela Colwella, Kodeksu L. Zatrzymaj się na chwilę i pomyśl o konsekwencjach. Jak jakakolwiek rozsądna osoba może bronić twierdzenia, że aleksandryjski typ tekstu reprezentuje najlepszą linię przekazu?</w:t>
      </w:r>
      <w:r>
        <w:rPr>
          <w:rStyle w:val="FootnoteReference"/>
        </w:rPr>
        <w:footnoteReference w:id="275"/>
      </w:r>
    </w:p>
    <w:bookmarkEnd w:id="276"/>
    <w:bookmarkStart w:id="278" w:name="przypadek-reprezentatywny"/>
    <w:p>
      <w:pPr>
        <w:pStyle w:val="Heading4"/>
      </w:pPr>
      <w:r>
        <w:rPr>
          <w:iCs/>
          <w:i/>
        </w:rPr>
        <w:t xml:space="preserve">Przypadek reprezentatywny</w:t>
      </w:r>
    </w:p>
    <w:p>
      <w:pPr>
        <w:pStyle w:val="FirstParagraph"/>
      </w:pPr>
      <w:r>
        <w:t xml:space="preserve">W akapicie otwierającym stwierdziłem, że warianty można oceniać. Wezmę teraz jednego z zaledwie „dostatecznych” przedstawicieli</w:t>
      </w:r>
      <w:r>
        <w:t xml:space="preserve"> </w:t>
      </w:r>
      <w:r>
        <w:rPr>
          <w:bCs/>
          <w:b/>
        </w:rPr>
        <w:t xml:space="preserve">f</w:t>
      </w:r>
      <w:r>
        <w:rPr>
          <w:vertAlign w:val="superscript"/>
          <w:bCs/>
          <w:b/>
        </w:rPr>
        <w:t xml:space="preserve">35</w:t>
      </w:r>
      <w:r>
        <w:t xml:space="preserve"> </w:t>
      </w:r>
      <w:r>
        <w:t xml:space="preserve">— manuskrypt 1384, eapr, XI, Andros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1,17</w:t>
            </w:r>
          </w:p>
        </w:tc>
        <w:tc>
          <w:tcPr/>
          <w:p>
            <w:pPr>
              <w:pStyle w:val="Compact"/>
              <w:jc w:val="left"/>
            </w:pPr>
            <w:r>
              <w:t xml:space="preserve">γενεσθαι || --- 1384 (czasownik i tak trzeba domyślnie uzupełnić, znaczenie nie zostaje zmienione)</w:t>
            </w:r>
          </w:p>
        </w:tc>
      </w:tr>
      <w:tr>
        <w:tc>
          <w:tcPr/>
          <w:p>
            <w:pPr>
              <w:pStyle w:val="Compact"/>
              <w:jc w:val="center"/>
            </w:pPr>
            <w:r>
              <w:t xml:space="preserve">1,44</w:t>
            </w:r>
          </w:p>
        </w:tc>
        <w:tc>
          <w:tcPr/>
          <w:p>
            <w:pPr>
              <w:pStyle w:val="Compact"/>
              <w:jc w:val="left"/>
            </w:pPr>
            <w:r>
              <w:t xml:space="preserve">προσενεγκαι || προσενεγκε (75%) 1384 + pięć (form tych używano wymiennie, są więc praktycznie alternatywnymi pisowniami tego samego słowa)</w:t>
            </w:r>
          </w:p>
        </w:tc>
      </w:tr>
      <w:tr>
        <w:tc>
          <w:tcPr/>
          <w:p>
            <w:pPr>
              <w:pStyle w:val="Compact"/>
              <w:jc w:val="center"/>
            </w:pPr>
            <w:r>
              <w:t xml:space="preserve">2,17</w:t>
            </w:r>
          </w:p>
        </w:tc>
        <w:tc>
          <w:tcPr/>
          <w:p>
            <w:pPr>
              <w:pStyle w:val="Compact"/>
              <w:jc w:val="left"/>
            </w:pPr>
            <w:r>
              <w:t xml:space="preserve">εχοντες || 1 και 1384 (jedynie uzupełnił domyślny spójnik, podstawowe znaczenie się nie zmienia)</w:t>
            </w:r>
          </w:p>
        </w:tc>
      </w:tr>
      <w:tr>
        <w:tc>
          <w:tcPr/>
          <w:p>
            <w:pPr>
              <w:pStyle w:val="Compact"/>
              <w:jc w:val="center"/>
            </w:pPr>
            <w:r>
              <w:t xml:space="preserve">3,12</w:t>
            </w:r>
          </w:p>
        </w:tc>
        <w:tc>
          <w:tcPr/>
          <w:p>
            <w:pPr>
              <w:pStyle w:val="Compact"/>
              <w:jc w:val="left"/>
            </w:pPr>
            <w:r>
              <w:t xml:space="preserve">πολλα || --- 1384 (nie zmienia to podstawowego znaczenia)</w:t>
            </w:r>
          </w:p>
        </w:tc>
      </w:tr>
      <w:tr>
        <w:tc>
          <w:tcPr/>
          <w:p>
            <w:pPr>
              <w:pStyle w:val="Compact"/>
              <w:jc w:val="center"/>
            </w:pPr>
            <w:r>
              <w:t xml:space="preserve">3,28</w:t>
            </w:r>
          </w:p>
        </w:tc>
        <w:tc>
          <w:tcPr/>
          <w:p>
            <w:pPr>
              <w:pStyle w:val="Compact"/>
              <w:jc w:val="left"/>
            </w:pPr>
            <w:r>
              <w:t xml:space="preserve">υιοις των ανθρωπων || ανθρωποις 1384 (jest to synonim, nie zmienia podstawowego znaczenia)</w:t>
            </w:r>
          </w:p>
        </w:tc>
      </w:tr>
      <w:tr>
        <w:tc>
          <w:tcPr/>
          <w:p>
            <w:pPr>
              <w:pStyle w:val="Compact"/>
              <w:jc w:val="center"/>
            </w:pPr>
            <w:r>
              <w:t xml:space="preserve">4,24</w:t>
            </w:r>
          </w:p>
        </w:tc>
        <w:tc>
          <w:tcPr/>
          <w:p>
            <w:pPr>
              <w:pStyle w:val="Compact"/>
              <w:jc w:val="left"/>
            </w:pPr>
            <w:r>
              <w:t xml:space="preserve">μετρειτε || μετρειται 1384 (itacyzm powodujący błąd pisowni)</w:t>
            </w:r>
          </w:p>
        </w:tc>
      </w:tr>
      <w:tr>
        <w:tc>
          <w:tcPr/>
          <w:p>
            <w:pPr>
              <w:pStyle w:val="Compact"/>
              <w:jc w:val="center"/>
            </w:pPr>
            <w:r>
              <w:t xml:space="preserve">5,4</w:t>
            </w:r>
          </w:p>
        </w:tc>
        <w:tc>
          <w:tcPr/>
          <w:p>
            <w:pPr>
              <w:pStyle w:val="Compact"/>
              <w:jc w:val="left"/>
            </w:pPr>
            <w:r>
              <w:t xml:space="preserve">αλυσεσιν || αλισεσιν 1384</w:t>
            </w:r>
            <w:r>
              <w:rPr>
                <w:vertAlign w:val="superscript"/>
              </w:rPr>
              <w:t xml:space="preserve">1x</w:t>
            </w:r>
            <w:r>
              <w:t xml:space="preserve"> </w:t>
            </w:r>
            <w:r>
              <w:t xml:space="preserve">(błąd pisowni, gdzie indziej napisał poprawnie)</w:t>
            </w:r>
          </w:p>
        </w:tc>
      </w:tr>
      <w:tr>
        <w:tc>
          <w:tcPr/>
          <w:p>
            <w:pPr>
              <w:pStyle w:val="Compact"/>
              <w:jc w:val="center"/>
            </w:pPr>
            <w:r>
              <w:t xml:space="preserve">5,13</w:t>
            </w:r>
          </w:p>
        </w:tc>
        <w:tc>
          <w:tcPr/>
          <w:p>
            <w:pPr>
              <w:pStyle w:val="Compact"/>
              <w:jc w:val="left"/>
            </w:pPr>
            <w:r>
              <w:t xml:space="preserve">τα ακαθαρτα || --- (1%) 1384 + jeden (łatwy przypadek homoioteleutonu i homoioarktonu)</w:t>
            </w:r>
          </w:p>
        </w:tc>
      </w:tr>
      <w:tr>
        <w:tc>
          <w:tcPr/>
          <w:p>
            <w:pPr>
              <w:pStyle w:val="Compact"/>
              <w:jc w:val="center"/>
            </w:pPr>
            <w:r>
              <w:t xml:space="preserve">5,19</w:t>
            </w:r>
          </w:p>
        </w:tc>
        <w:tc>
          <w:tcPr/>
          <w:p>
            <w:pPr>
              <w:pStyle w:val="Compact"/>
              <w:jc w:val="left"/>
            </w:pPr>
            <w:r>
              <w:t xml:space="preserve">αναγγειλον || αναγκειλον 1384 (alternatywna pisownia)</w:t>
            </w:r>
          </w:p>
        </w:tc>
      </w:tr>
      <w:tr>
        <w:tc>
          <w:tcPr/>
          <w:p>
            <w:pPr>
              <w:pStyle w:val="Compact"/>
              <w:jc w:val="center"/>
            </w:pPr>
            <w:r>
              <w:t xml:space="preserve">5,27</w:t>
            </w:r>
          </w:p>
        </w:tc>
        <w:tc>
          <w:tcPr/>
          <w:p>
            <w:pPr>
              <w:pStyle w:val="Compact"/>
              <w:jc w:val="left"/>
            </w:pPr>
            <w:r>
              <w:t xml:space="preserve">ακουσασα || ακουσα 1384 (przejście z jednego wiersza do następnego)</w:t>
            </w:r>
          </w:p>
        </w:tc>
      </w:tr>
      <w:tr>
        <w:tc>
          <w:tcPr/>
          <w:p>
            <w:pPr>
              <w:pStyle w:val="Compact"/>
              <w:jc w:val="center"/>
            </w:pPr>
            <w:r>
              <w:t xml:space="preserve">6,13</w:t>
            </w:r>
          </w:p>
        </w:tc>
        <w:tc>
          <w:tcPr/>
          <w:p>
            <w:pPr>
              <w:pStyle w:val="Compact"/>
              <w:jc w:val="left"/>
            </w:pPr>
            <w:r>
              <w:t xml:space="preserve">εξεβαλλον || εξεβαλον (10%) 1384 + trzy (imperfekt czy drugi aoryst? jedno „l” mogło zostać przypadkowo opuszczone, w każdym razie różnica znaczeniowa jest niewielka)</w:t>
            </w:r>
          </w:p>
        </w:tc>
      </w:tr>
      <w:tr>
        <w:tc>
          <w:tcPr/>
          <w:p>
            <w:pPr>
              <w:pStyle w:val="Compact"/>
              <w:jc w:val="center"/>
            </w:pPr>
            <w:r>
              <w:t xml:space="preserve">6,20</w:t>
            </w:r>
          </w:p>
        </w:tc>
        <w:tc>
          <w:tcPr/>
          <w:p>
            <w:pPr>
              <w:pStyle w:val="Compact"/>
              <w:jc w:val="left"/>
            </w:pPr>
            <w:r>
              <w:t xml:space="preserve">ακουων 1384</w:t>
            </w:r>
            <w:r>
              <w:rPr>
                <w:vertAlign w:val="superscript"/>
              </w:rPr>
              <w:t xml:space="preserve">alt</w:t>
            </w:r>
            <w:r>
              <w:t xml:space="preserve"> </w:t>
            </w:r>
            <w:r>
              <w:t xml:space="preserve">|| ακουσας (80%) 1384 + dziewięć (czas teraźniejszy czy aoryst? pierwsza ręka umieściła formę czasu teraźniejszego ponad aorystem jako alternatywę, różnica znaczeniowa jest niewielka)</w:t>
            </w:r>
          </w:p>
        </w:tc>
      </w:tr>
      <w:tr>
        <w:tc>
          <w:tcPr/>
          <w:p>
            <w:pPr>
              <w:pStyle w:val="Compact"/>
            </w:pPr>
          </w:p>
        </w:tc>
        <w:tc>
          <w:tcPr/>
          <w:p>
            <w:pPr>
              <w:pStyle w:val="Compact"/>
              <w:jc w:val="left"/>
            </w:pPr>
            <w:r>
              <w:t xml:space="preserve">(w 1384 brakuje 6,20-45)</w:t>
            </w:r>
          </w:p>
        </w:tc>
      </w:tr>
      <w:tr>
        <w:tc>
          <w:tcPr/>
          <w:p>
            <w:pPr>
              <w:pStyle w:val="Compact"/>
              <w:jc w:val="center"/>
            </w:pPr>
            <w:r>
              <w:t xml:space="preserve">6,53</w:t>
            </w:r>
          </w:p>
        </w:tc>
        <w:tc>
          <w:tcPr/>
          <w:p>
            <w:pPr>
              <w:pStyle w:val="Compact"/>
              <w:jc w:val="left"/>
            </w:pPr>
            <w:r>
              <w:t xml:space="preserve">γενησαρετ || γεννησαρετ (53%) 1384 + trzy (alternatywna pisownia)</w:t>
            </w:r>
          </w:p>
        </w:tc>
      </w:tr>
      <w:tr>
        <w:tc>
          <w:tcPr/>
          <w:p>
            <w:pPr>
              <w:pStyle w:val="Compact"/>
              <w:jc w:val="center"/>
            </w:pPr>
            <w:r>
              <w:t xml:space="preserve">7,4</w:t>
            </w:r>
          </w:p>
        </w:tc>
        <w:tc>
          <w:tcPr/>
          <w:p>
            <w:pPr>
              <w:pStyle w:val="Compact"/>
              <w:jc w:val="left"/>
            </w:pPr>
            <w:r>
              <w:t xml:space="preserve">χαλκειων || χαλκιων (70%) 1384 + jeden (itacyzm lub alternatywna pisownia)</w:t>
            </w:r>
          </w:p>
        </w:tc>
      </w:tr>
      <w:tr>
        <w:tc>
          <w:tcPr/>
          <w:p>
            <w:pPr>
              <w:pStyle w:val="Compact"/>
              <w:jc w:val="center"/>
            </w:pPr>
            <w:r>
              <w:t xml:space="preserve">7,26</w:t>
            </w:r>
          </w:p>
        </w:tc>
        <w:tc>
          <w:tcPr/>
          <w:p>
            <w:pPr>
              <w:pStyle w:val="Compact"/>
              <w:jc w:val="left"/>
            </w:pPr>
            <w:r>
              <w:t xml:space="preserve">εκβαλη || εκβαλλη (30%) 1384 + dwa (drugi aoryst czy czas teraźniejszy? w kontekście różnica jest niewielka)</w:t>
            </w:r>
          </w:p>
        </w:tc>
      </w:tr>
      <w:tr>
        <w:tc>
          <w:tcPr/>
          <w:p>
            <w:pPr>
              <w:pStyle w:val="Compact"/>
              <w:jc w:val="center"/>
            </w:pPr>
            <w:r>
              <w:t xml:space="preserve">8,7</w:t>
            </w:r>
          </w:p>
        </w:tc>
        <w:tc>
          <w:tcPr/>
          <w:p>
            <w:pPr>
              <w:pStyle w:val="Compact"/>
              <w:jc w:val="left"/>
            </w:pPr>
            <w:r>
              <w:t xml:space="preserve">παραθειναι || παραθηναι (15%) 1384 + jeden (itacyzm powodujący błąd pisowni)</w:t>
            </w:r>
          </w:p>
        </w:tc>
      </w:tr>
      <w:tr>
        <w:tc>
          <w:tcPr/>
          <w:p>
            <w:pPr>
              <w:pStyle w:val="Compact"/>
              <w:jc w:val="center"/>
            </w:pPr>
            <w:r>
              <w:t xml:space="preserve">8,35</w:t>
            </w:r>
          </w:p>
        </w:tc>
        <w:tc>
          <w:tcPr/>
          <w:p>
            <w:pPr>
              <w:pStyle w:val="Compact"/>
              <w:jc w:val="left"/>
            </w:pPr>
            <w:r>
              <w:t xml:space="preserve">απολεση || απολεσει (5%) 1384 (aoryst w trybie łączącym czy czas przyszły w trybie oznajmującym? w kontekście różnica jest niewielka)</w:t>
            </w:r>
          </w:p>
        </w:tc>
      </w:tr>
      <w:tr>
        <w:tc>
          <w:tcPr/>
          <w:p>
            <w:pPr>
              <w:pStyle w:val="Compact"/>
              <w:jc w:val="center"/>
            </w:pPr>
            <w:r>
              <w:t xml:space="preserve">8,38</w:t>
            </w:r>
          </w:p>
        </w:tc>
        <w:tc>
          <w:tcPr/>
          <w:p>
            <w:pPr>
              <w:pStyle w:val="Compact"/>
              <w:jc w:val="left"/>
            </w:pPr>
            <w:r>
              <w:t xml:space="preserve">μοιχαλιδι || μοιχαλιδη 1384 (itacyzm powodujący błąd pisowni)</w:t>
            </w:r>
          </w:p>
        </w:tc>
      </w:tr>
      <w:tr>
        <w:tc>
          <w:tcPr/>
          <w:p>
            <w:pPr>
              <w:pStyle w:val="Compact"/>
              <w:jc w:val="center"/>
            </w:pPr>
            <w:r>
              <w:t xml:space="preserve">9,19</w:t>
            </w:r>
          </w:p>
        </w:tc>
        <w:tc>
          <w:tcPr/>
          <w:p>
            <w:pPr>
              <w:pStyle w:val="Compact"/>
              <w:jc w:val="left"/>
            </w:pPr>
            <w:r>
              <w:t xml:space="preserve">φερετε || 1 μοι 1384 (niepotrzebne powtórzenie zaimka, które nie zmienia znaczenia)</w:t>
            </w:r>
          </w:p>
        </w:tc>
      </w:tr>
      <w:tr>
        <w:tc>
          <w:tcPr/>
          <w:p>
            <w:pPr>
              <w:pStyle w:val="Compact"/>
              <w:jc w:val="center"/>
            </w:pPr>
            <w:r>
              <w:t xml:space="preserve">9,20</w:t>
            </w:r>
          </w:p>
        </w:tc>
        <w:tc>
          <w:tcPr/>
          <w:p>
            <w:pPr>
              <w:pStyle w:val="Compact"/>
              <w:jc w:val="left"/>
            </w:pPr>
            <w:r>
              <w:t xml:space="preserve">ιδον || ιδων (70%) 1384 + osiem (podmiotem czasownika jest demon czy chłopiec? w kontekście różnica jest niewielka)</w:t>
            </w:r>
          </w:p>
        </w:tc>
      </w:tr>
      <w:tr>
        <w:tc>
          <w:tcPr/>
          <w:p>
            <w:pPr>
              <w:pStyle w:val="Compact"/>
              <w:jc w:val="center"/>
            </w:pPr>
            <w:r>
              <w:t xml:space="preserve">9,40</w:t>
            </w:r>
          </w:p>
        </w:tc>
        <w:tc>
          <w:tcPr/>
          <w:p>
            <w:pPr>
              <w:pStyle w:val="Compact"/>
              <w:jc w:val="left"/>
            </w:pPr>
            <w:r>
              <w:t xml:space="preserve">υμων || ημων (12%) 1384 + trzy (wariant jest gorszy, lecz w kontekście różnica jest niewielka)</w:t>
            </w:r>
          </w:p>
        </w:tc>
      </w:tr>
      <w:tr>
        <w:tc>
          <w:tcPr/>
          <w:p>
            <w:pPr>
              <w:pStyle w:val="Compact"/>
            </w:pPr>
          </w:p>
        </w:tc>
        <w:tc>
          <w:tcPr/>
          <w:p>
            <w:pPr>
              <w:pStyle w:val="Compact"/>
              <w:jc w:val="left"/>
            </w:pPr>
            <w:r>
              <w:t xml:space="preserve">(w 1384 brakuje 10,23-46 oraz 12,16-41)</w:t>
            </w:r>
          </w:p>
        </w:tc>
      </w:tr>
      <w:tr>
        <w:tc>
          <w:tcPr/>
          <w:p>
            <w:pPr>
              <w:pStyle w:val="Compact"/>
              <w:jc w:val="center"/>
            </w:pPr>
            <w:r>
              <w:t xml:space="preserve">12,43</w:t>
            </w:r>
          </w:p>
        </w:tc>
        <w:tc>
          <w:tcPr/>
          <w:p>
            <w:pPr>
              <w:pStyle w:val="Compact"/>
              <w:jc w:val="left"/>
            </w:pPr>
            <w:r>
              <w:t xml:space="preserve">βαλλοντων || βαλοντων (39%) 1384 + sześć (czas teraźniejszy czy drugi aoryst? w kontekście różnica jest niewielka)</w:t>
            </w:r>
          </w:p>
        </w:tc>
      </w:tr>
      <w:tr>
        <w:tc>
          <w:tcPr/>
          <w:p>
            <w:pPr>
              <w:pStyle w:val="Compact"/>
              <w:jc w:val="center"/>
            </w:pPr>
            <w:r>
              <w:t xml:space="preserve">13,28</w:t>
            </w:r>
          </w:p>
        </w:tc>
        <w:tc>
          <w:tcPr/>
          <w:p>
            <w:pPr>
              <w:pStyle w:val="Compact"/>
              <w:jc w:val="left"/>
            </w:pPr>
            <w:r>
              <w:t xml:space="preserve">γινωσκεται || γινωσκετε (75%) 1384</w:t>
            </w:r>
            <w:r>
              <w:rPr>
                <w:vertAlign w:val="superscript"/>
              </w:rPr>
              <w:t xml:space="preserve">alt</w:t>
            </w:r>
            <w:r>
              <w:t xml:space="preserve"> </w:t>
            </w:r>
            <w:r>
              <w:t xml:space="preserve">+ dwa (zobacz 1,44, tylko tutaj jest to wariant alternatywny)</w:t>
            </w:r>
          </w:p>
        </w:tc>
      </w:tr>
      <w:tr>
        <w:tc>
          <w:tcPr/>
          <w:p>
            <w:pPr>
              <w:pStyle w:val="Compact"/>
              <w:jc w:val="center"/>
            </w:pPr>
            <w:r>
              <w:t xml:space="preserve">14,36</w:t>
            </w:r>
          </w:p>
        </w:tc>
        <w:tc>
          <w:tcPr/>
          <w:p>
            <w:pPr>
              <w:pStyle w:val="Compact"/>
              <w:jc w:val="left"/>
            </w:pPr>
            <w:r>
              <w:t xml:space="preserve">παρενεγκαι || παρενεγκε (70%) 1384 + trzy (zobacz 1,44)</w:t>
            </w:r>
          </w:p>
        </w:tc>
      </w:tr>
      <w:tr>
        <w:tc>
          <w:tcPr/>
          <w:p>
            <w:pPr>
              <w:pStyle w:val="Compact"/>
            </w:pPr>
          </w:p>
        </w:tc>
        <w:tc>
          <w:tcPr/>
          <w:p>
            <w:pPr>
              <w:pStyle w:val="Compact"/>
              <w:jc w:val="left"/>
            </w:pPr>
            <w:r>
              <w:t xml:space="preserve">(w 1384 brakuje 15,29-16,7)</w:t>
            </w:r>
          </w:p>
        </w:tc>
      </w:tr>
      <w:tr>
        <w:tc>
          <w:tcPr/>
          <w:p>
            <w:pPr>
              <w:pStyle w:val="Compact"/>
              <w:jc w:val="center"/>
            </w:pPr>
            <w:r>
              <w:t xml:space="preserve">16,9a</w:t>
            </w:r>
          </w:p>
        </w:tc>
        <w:tc>
          <w:tcPr/>
          <w:p>
            <w:pPr>
              <w:pStyle w:val="Compact"/>
              <w:jc w:val="left"/>
            </w:pPr>
            <w:r>
              <w:t xml:space="preserve">μαγδαληνη || μαγδαλινη 1384 (itacyzm powodujący błąd pisowni)</w:t>
            </w:r>
          </w:p>
        </w:tc>
      </w:tr>
      <w:tr>
        <w:tc>
          <w:tcPr/>
          <w:p>
            <w:pPr>
              <w:pStyle w:val="Compact"/>
              <w:jc w:val="center"/>
            </w:pPr>
            <w:r>
              <w:t xml:space="preserve">16,9b</w:t>
            </w:r>
          </w:p>
        </w:tc>
        <w:tc>
          <w:tcPr/>
          <w:p>
            <w:pPr>
              <w:pStyle w:val="Compact"/>
              <w:jc w:val="left"/>
            </w:pPr>
            <w:r>
              <w:t xml:space="preserve">εκβεβληκει || εκβεβληκη 1384 (itacyzm powodujący błąd pisowni)</w:t>
            </w:r>
          </w:p>
        </w:tc>
      </w:tr>
      <w:tr>
        <w:tc>
          <w:tcPr/>
          <w:p>
            <w:pPr>
              <w:pStyle w:val="Compact"/>
              <w:jc w:val="center"/>
            </w:pPr>
            <w:r>
              <w:t xml:space="preserve">16,14</w:t>
            </w:r>
          </w:p>
        </w:tc>
        <w:tc>
          <w:tcPr/>
          <w:p>
            <w:pPr>
              <w:pStyle w:val="Compact"/>
              <w:jc w:val="left"/>
            </w:pPr>
            <w:r>
              <w:t xml:space="preserve">ωνειδισεν || ωνειδησε 1384 (itacyzm powodujący błąd pisowni)</w:t>
            </w:r>
          </w:p>
        </w:tc>
      </w:tr>
    </w:tbl>
    <w:p>
      <w:pPr>
        <w:pStyle w:val="BodyText"/>
      </w:pPr>
      <w:r>
        <w:t xml:space="preserve">Z wyjątkiem czterech przypadków wszędzie chodzi tylko o jedną literę lub sylabę i nigdzie znaczenie nie zostaje poważnie naruszone. Gdyby brakujące strony były dostępne i skolacjonowane, przypuszczalnie doszłaby pewna liczba wariantów, lecz nie różniłyby się one rodzajem od pozostałych.</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 Na przestrzeni stuleci przekazu każdy, kto miał dostęp do przedstawiciela</w:t>
      </w:r>
      <w:r>
        <w:t xml:space="preserve"> </w:t>
      </w:r>
      <w:r>
        <w:rPr>
          <w:bCs/>
          <w:b/>
        </w:rPr>
        <w:t xml:space="preserve">f</w:t>
      </w:r>
      <w:r>
        <w:rPr>
          <w:vertAlign w:val="superscript"/>
          <w:bCs/>
          <w:b/>
        </w:rPr>
        <w:t xml:space="preserve">35</w:t>
      </w:r>
      <w:r>
        <w:t xml:space="preserve">, mógł znać zamierzone znaczenie Autografu.</w:t>
      </w:r>
      <w:r>
        <w:rPr>
          <w:rStyle w:val="FootnoteReference"/>
        </w:rPr>
        <w:footnoteReference w:id="277"/>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bookmarkEnd w:id="278"/>
    <w:bookmarkStart w:id="281" w:name="niewiarygodnie-staranny-przekaz"/>
    <w:p>
      <w:pPr>
        <w:pStyle w:val="Heading4"/>
      </w:pPr>
      <w:r>
        <w:rPr>
          <w:iCs/>
          <w:i/>
        </w:rPr>
        <w:t xml:space="preserve">Niewiarygodnie staranny przekaz</w:t>
      </w:r>
    </w:p>
    <w:p>
      <w:pPr>
        <w:pStyle w:val="FirstParagraph"/>
      </w:pPr>
      <w:r>
        <w:t xml:space="preserve">Ocenię teraz warianty u jedenastu „wyjątkowych” przedstawicieli.</w:t>
      </w:r>
    </w:p>
    <w:p>
      <w:pPr>
        <w:pStyle w:val="BodyText"/>
      </w:pPr>
      <w:r>
        <w:t xml:space="preserve">Manuskrypt 586 ma jeden: 10,35 — ημιν || υμιν 510, 586. Ponieważ manuskrypt 510 ma czternaście wariantów, a 586 nigdzie indziej się z nim nie łączy, najwyraźniej nie ma zależności, są to więc warianty niezależne. W tym wariancie istnieje jednak osobliwy aspekt: jest bezsensowny! Synowie Zebedeusza mówią: „Nauczycielu, chcemy, abyś uczynił dla nas wszystko, o co poprosimy”. Wariant „uczynić dla was (lm.)” jest więc jawnym nonsensem. Czy był to jedynie przypadek itacyzmu? Jeśli tak, jest to jedyny taki przypadek w całej księdze (w 586). Przy kilku okazjach, u różnych kopistów i w różnych księgach, zaobserwowałem podobną sytuację: kopista wykonywał do tego miejsca doskonałą pracę, po czym wprowadzał niemożliwy wariant, w którym czytelnik niemal automatycznie dokona koniecznej poprawki, tak jak tutaj. Zastanawiam się, czy kopista czuł się niegodny sporządzenia doskonałej kopii i celowo wprowadzał oczywisty błąd.</w:t>
      </w:r>
    </w:p>
    <w:p>
      <w:pPr>
        <w:pStyle w:val="BodyText"/>
      </w:pPr>
      <w:r>
        <w:t xml:space="preserve">Manuskrypt 2382 ma jeden: 13,1 — εις || 1 εκ 510, 1117, 2382. Podobnie jak w powyższym przykładzie najwyraźniej nie ma zależności, są to więc warianty niezależne. (Manuskrypt 1117 ma dwanaście wariantów). „Jeden z Jego uczniów powiedział Mu” — przyimek jest domyślny, a jego wyrażenie wprost nie zmienia znaczenia, tłumaczenie pozostaje takie samo.</w:t>
      </w:r>
    </w:p>
    <w:p>
      <w:pPr>
        <w:pStyle w:val="BodyText"/>
      </w:pPr>
      <w:r>
        <w:t xml:space="preserve">Manuskrypt 2554 ma dwa: 2,23 — ποιειν 2554</w:t>
      </w:r>
      <w:r>
        <w:rPr>
          <w:vertAlign w:val="superscript"/>
        </w:rPr>
        <w:t xml:space="preserve">c</w:t>
      </w:r>
      <w:r>
        <w:t xml:space="preserve"> </w:t>
      </w:r>
      <w:r>
        <w:t xml:space="preserve">|| πιειν 1251, 2554, 2765, 15,46 — επι την θυραν || 1 τη θυρα 2554 + jedenastu przedstawicieli rodziny. Pierwszy jest jawnym nonsensem, niezależnymi przypadkami itacyzmu. Kopista 2554 zauważył swój błąd i sam go poprawił, nie jest to więc właściwy wariant. Drugi reprezentuje podział w rodzinie. Przyimek łączy się z trzema przypadkami — dopełniaczem, celownikiem i biernikiem — różnica znaczeniowa jest więc niewielka.</w:t>
      </w:r>
    </w:p>
    <w:p>
      <w:pPr>
        <w:pStyle w:val="BodyText"/>
      </w:pPr>
      <w:r>
        <w:t xml:space="preserve">Manuskrypty 789, 1072 i 2253 mają po trzy, zostaną omówione w tej kolejności. Manuskrypt 789: 1,20 — αυτων || αυτον 789, 1199, 13,31 — παρελευσεται || παρελευσονται (40%) 789 + dwudziestu jeden przedstawicieli rodziny, 16,9 — πρωτη || πρωτον 789. Pierwszy jest niezależnym itacyzmem powodującym nonsens. (Manuskrypt 1199 ma 73 warianty). Drugi został już wyjaśniony w pierwszym przypisie pod „Współczynnikiem staranności kopisty”. Trzeci jest niedorzecznym błędem, w którym kopista najwyraźniej się pogubił i upodobnił końcówkę do końcówki następującego po niej rzeczownika, tyle że wtedy nie ma to sensu — być może spieszył się, by skończyć, będąc tak blisko końca księgi. W każdym razie nie jest to ważny wariant.</w:t>
      </w:r>
    </w:p>
    <w:p>
      <w:pPr>
        <w:pStyle w:val="BodyText"/>
      </w:pPr>
      <w:r>
        <w:t xml:space="preserve">Manuskrypt 1072: 6,22 — ορχησαμενης || ωρχησαμενης 1072, 7,37 — εξεπλησσοντο || εξεπληστο 1072, 9,20 — ιδον || ιδων (70%) 1072 + siedmiu przedstawicieli rodziny. Pierwszy jest przypuszczalnie itacyzmem powodującym alternatywną pisownię tego samego słowa. Drugi jest błędem powstałym przy przejściu z jednego wiersza do następnego i nie jest właściwym wariantem. Co do trzeciego, podmiotem czasownika jest demon czy chłopiec? W kontekście różnica jest niewielka.</w:t>
      </w:r>
    </w:p>
    <w:p>
      <w:pPr>
        <w:pStyle w:val="BodyText"/>
      </w:pPr>
      <w:r>
        <w:t xml:space="preserve">Manuskrypt 2253: 5,36 — ευθεως ακουσας || ~ 21 (1%) 547, 2253, 8,24 — περιπατουντες || περιπαπατουντες 2253, 15,46 — επι την θυραν || 1 τη θυρα 2253 + jedenastu przedstawicieli rodziny. Pierwszy jest przypuszczalnie niezależnym błędem, który nie wpływa na znaczenie. (Manuskrypt 547 ma piętnaście wariantów). Drugi jest przypadkowym powtórzeniem sylaby przy przejściu z jednego wiersza do następnego i nie jest właściwym wariantem. Trzeci omówiono wyżej.</w:t>
      </w:r>
    </w:p>
    <w:p>
      <w:pPr>
        <w:pStyle w:val="BodyText"/>
      </w:pPr>
      <w:r>
        <w:t xml:space="preserve">Manuskrypty 1461, 1496 i 1652 mają po cztery, zostaną omówione w tej kolejności. (Co ciekawe, wszystkie trzy pochodzą z M. Lavras, lecz mają odmienne zestawy wariantów). Manuskrypt 1461: 5,13 — αυτοις || --- 1461, 6,15 — δε || --- 1461, 12,6 — οτι || --- 824, 1461, 13,31 — παρελευσεται || παρελευσονται (40%) 1461 + dwudziestu jeden przedstawicieli rodziny. Pierwszy jest przypuszczalnie przypadkowym pominięciem, które nie zmienia znaczenia. Drugie pominięcie również nie wpływa na znaczenie. Trzecie pominięcie, przypuszczalnie niezależne, także nie wpływa na znaczenie. (Manuskrypt 824 ma dziesięć wariantów). Czwarty wariant omówiono wyżej.</w:t>
      </w:r>
    </w:p>
    <w:p>
      <w:pPr>
        <w:pStyle w:val="BodyText"/>
      </w:pPr>
      <w:r>
        <w:t xml:space="preserve">Manuskrypt 1496: 10,43 — εν || --- 1496, 2323, 11,10 — υψιστοις || υυψιστοις 1496, 13,31 — (zobacz wyżej), 14,43 — παραγινεται || 1 ο 1496. Pierwszy jest niezależnym pominięciem, wskutek którego przyimek staje się domyślny. (Manuskrypt 2323 ma dwadzieścia wariantów). Drugi jest przypadkowym powtórzeniem samogłoski przy przejściu z jednego wiersza do następnego i nie jest właściwym wariantem. Trzeci wariant omówiono wyżej. Czwarty jest „naturalnym” dodaniem rodzajnika, które nie wpływa na znaczenie.</w:t>
      </w:r>
    </w:p>
    <w:p>
      <w:pPr>
        <w:pStyle w:val="BodyText"/>
      </w:pPr>
      <w:r>
        <w:t xml:space="preserve">Manuskrypt 1652: 8,32 — προσλαβομενος || προσλαβομενον 1652, 11,13 — αυτην || αυτη 1652, 13,6 — πολλοι || πολοι 1652, 13,31 — (zobacz wyżej). Pierwszy jest oczywistym błędem, który każdy czytelnik poprawiłby w myślach. W drugim przypadku przyimek łączy się z obydwoma przypadkami, bez zmiany znaczenia w tym kontekście. Trzeci jest oczywistym błędem pisowni. Czwarty omówiono wyżej.</w:t>
      </w:r>
    </w:p>
    <w:p>
      <w:pPr>
        <w:pStyle w:val="BodyText"/>
      </w:pPr>
      <w:r>
        <w:t xml:space="preserve">Manuskrypty 35 i 1713 mają po pięć, zostaną omówione w tej kolejności. Manuskrypt 35: wszystkie pięć poprawiono do archetypu.</w:t>
      </w:r>
    </w:p>
    <w:p>
      <w:pPr>
        <w:pStyle w:val="BodyText"/>
      </w:pPr>
      <w:r>
        <w:t xml:space="preserve">Manuskrypt 1713: pierwsze dwa poprawiono do archetypu, 9,5 — ηλια || ηλιαν 1705, 1713, 2503, 9,50 — αρτυσετε || αρτυσητε 1713, 13,31 — (zobacz wyżej). Trzeci wydaje się niezależną zmianą z celownika na biernik, chociaż celownik jest wyraźnie poprawny. Znaczenie nie zostaje zmienione. (Manuskrypt 1705 ma 38 wariantów, manuskrypt 2503 ma dziesięć). Czwarty może być itacyzmem, chociaż zmienia tryb. Znaczenie nie zostaje zmienione. Piąty omówiono wyżej.</w:t>
      </w:r>
    </w:p>
    <w:p>
      <w:pPr>
        <w:pStyle w:val="BodyText"/>
      </w:pPr>
      <w:r>
        <w:t xml:space="preserve">Spośród łącznie trzydziestu pięciu wariantów u jedenastu manuskryptów w całej</w:t>
      </w:r>
      <w:r>
        <w:t xml:space="preserve"> </w:t>
      </w:r>
      <w:r>
        <w:rPr>
          <w:u w:val="single"/>
        </w:rPr>
        <w:t xml:space="preserve">księdze Ewangelii Marka</w:t>
      </w:r>
      <w:r>
        <w:rPr>
          <w:rStyle w:val="FootnoteReference"/>
        </w:rPr>
        <w:footnoteReference w:id="279"/>
      </w:r>
      <w:r>
        <w:t xml:space="preserve"> </w:t>
      </w:r>
      <w:r>
        <w:t xml:space="preserve">osiem poprawiono, pozostaje więc dwadzieścia siedem. Co najmniej sześć nie jest właściwymi wariantami, pozostaje więc dwadzieścia jeden. Pięć to powtórzenia wspólnego wariantu, pozostaje więc szesnaście.</w:t>
      </w:r>
      <w:r>
        <w:rPr>
          <w:rStyle w:val="FootnoteReference"/>
        </w:rPr>
        <w:footnoteReference w:id="280"/>
      </w:r>
      <w:r>
        <w:t xml:space="preserve"> </w:t>
      </w:r>
      <w:r>
        <w:t xml:space="preserve">Większość z nich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 współczynnika staranności kopisty.</w:t>
      </w:r>
    </w:p>
    <w:bookmarkEnd w:id="281"/>
    <w:bookmarkStart w:id="282" w:name="spostrzeżenia"/>
    <w:p>
      <w:pPr>
        <w:pStyle w:val="Heading4"/>
      </w:pPr>
      <w:r>
        <w:rPr>
          <w:iCs/>
          <w:i/>
        </w:rPr>
        <w:t xml:space="preserve">Spostrzeżenia</w:t>
      </w:r>
    </w:p>
    <w:p>
      <w:pPr>
        <w:numPr>
          <w:ilvl w:val="0"/>
          <w:numId w:val="1017"/>
        </w:numPr>
      </w:pPr>
      <w:r>
        <w:t xml:space="preserve">Dwie trzecie skolacjonowanych wyżej manuskryptów nie ma wariantów spoza rodziny = brak domieszki. Mnisi wiernie odtwarzali to, co mieli przed sobą.</w:t>
      </w:r>
    </w:p>
    <w:p>
      <w:pPr>
        <w:numPr>
          <w:ilvl w:val="0"/>
          <w:numId w:val="1017"/>
        </w:numPr>
      </w:pPr>
      <w:r>
        <w:t xml:space="preserve">Najbardziej niedbały manuskrypt, 1199, ma również najwięcej wariantów spoza rodziny = kopista był stosunkowo niestaranny i nie troszczył się o czystość. (Gdyby jednak reprezentował jakąkolwiek inną linię przekazu w obrębie masy bizantyjskiej, prawdopodobnie byłby dobrą kopią).</w:t>
      </w:r>
    </w:p>
    <w:p>
      <w:pPr>
        <w:numPr>
          <w:ilvl w:val="0"/>
          <w:numId w:val="1017"/>
        </w:numPr>
      </w:pPr>
      <w:r>
        <w:t xml:space="preserve">Pięć manuskryptów z XI wieku wyraźnie odzwierciedla odrębne egzemplarze (które same prawdopodobnie miały odrębne egzemplarze), archetyp z pewnością istniał więc w okresie uncjalnym.</w:t>
      </w:r>
    </w:p>
    <w:p>
      <w:pPr>
        <w:numPr>
          <w:ilvl w:val="0"/>
          <w:numId w:val="1017"/>
        </w:numPr>
      </w:pPr>
      <w:r>
        <w:t xml:space="preserve">Chociaż precyzyjny profil archetypu jest jasny, jasne jest również, że zachowane manuskrypty odzwierciedlają pewną liczbę odrębnych linii przekazu w obrębie rodziny.</w:t>
      </w:r>
    </w:p>
    <w:p>
      <w:pPr>
        <w:numPr>
          <w:ilvl w:val="0"/>
          <w:numId w:val="1017"/>
        </w:numPr>
      </w:pPr>
      <w:r>
        <w:t xml:space="preserve">Każda próba odtworzenia drzewa rodziny będzie wymagała postulowania sporej liczby węzłów pośrednich, które równie dobrze mogą być oddzielone od siebie stuleciami.</w:t>
      </w:r>
    </w:p>
    <w:p>
      <w:pPr>
        <w:numPr>
          <w:ilvl w:val="0"/>
          <w:numId w:val="1017"/>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82"/>
    <w:bookmarkEnd w:id="283"/>
    <w:bookmarkStart w:id="298" w:name="list-do-rzymian"/>
    <w:p>
      <w:pPr>
        <w:pStyle w:val="Heading3"/>
      </w:pPr>
      <w:r>
        <w:t xml:space="preserve">List do Rzymian</w:t>
      </w:r>
    </w:p>
    <w:p>
      <w:pPr>
        <w:pStyle w:val="FirstParagraph"/>
      </w:pPr>
      <w:r>
        <w:t xml:space="preserve">Zwracam uwagę na poniższe dowody z Listu Pawła do Rzymian. Posłużę się kolacjonowaniem trzech wielkich „aleksandryjskich” manuskryptów przez Reubena Swansona — Kodeksu Alef (01), Kodeksu A (02) i Kodeksu B (03)</w:t>
      </w:r>
      <w:r>
        <w:rPr>
          <w:rStyle w:val="FootnoteReference"/>
        </w:rPr>
        <w:footnoteReference w:id="284"/>
      </w:r>
      <w:r>
        <w:t xml:space="preserve"> </w:t>
      </w:r>
      <w:r>
        <w:t xml:space="preserve">— oraz własnym kolacjonowaniem trzydziestu siedmiu manuskryptów Rodziny 35, w obu przypadkach w całej księdze.</w:t>
      </w:r>
      <w:r>
        <w:rPr>
          <w:rStyle w:val="FootnoteReference"/>
        </w:rPr>
        <w:footnoteReference w:id="285"/>
      </w:r>
    </w:p>
    <w:p>
      <w:pPr>
        <w:pStyle w:val="BodyText"/>
      </w:pPr>
      <w:r>
        <w:t xml:space="preserve">Po prostu skrupulatnie podążałem za Swansonem, sam nie sprawdzałem żadnego z jego manuskryptów. Dokonałem przybliżonego zliczenia, zazwyczaj liczyłem frazę jako jeden wariant i tak samo długie pominięcie. Nie liczyłem</w:t>
      </w:r>
      <w:r>
        <w:t xml:space="preserve"> </w:t>
      </w:r>
      <w:r>
        <w:rPr>
          <w:iCs/>
          <w:i/>
        </w:rPr>
        <w:t xml:space="preserve">nomina sacra</w:t>
      </w:r>
      <w:r>
        <w:t xml:space="preserve">, ruchomego</w:t>
      </w:r>
      <w:r>
        <w:t xml:space="preserve"> </w:t>
      </w:r>
      <w:r>
        <w:rPr>
          <w:iCs/>
          <w:i/>
        </w:rPr>
        <w:t xml:space="preserve">nu</w:t>
      </w:r>
      <w:r>
        <w:t xml:space="preserve">, akcentów ani</w:t>
      </w:r>
      <w:r>
        <w:t xml:space="preserve"> </w:t>
      </w:r>
      <w:r>
        <w:rPr>
          <w:iCs/>
          <w:i/>
        </w:rPr>
        <w:t xml:space="preserve">καθως/καθω</w:t>
      </w:r>
      <w:r>
        <w:t xml:space="preserve">. Swanson kolacjonował zarówno względem UBS</w:t>
      </w:r>
      <w:r>
        <w:rPr>
          <w:vertAlign w:val="superscript"/>
        </w:rPr>
        <w:t xml:space="preserve">4</w:t>
      </w:r>
      <w:r>
        <w:t xml:space="preserve">, jak i oksfordzkiego TR z 1873 roku. Różnica między 3. a 4. wydaniem UBS dotyczy aparatu, tekst jest ten sam, ten, który Kurt Aland raczył nazwać tekstem „standardowym”. Jest to zasadniczo tekst „aleksandryjski” i posłużę się nim jako przedstawicielem hipotetycznego archetypu „aleksandryjskiego” (przyjmuję, że taki jest osąd redaktorów).</w:t>
      </w:r>
    </w:p>
    <w:p>
      <w:pPr>
        <w:pStyle w:val="BodyText"/>
      </w:pPr>
      <w:r>
        <w:t xml:space="preserve">Na podstawie opisanego wyżej przybliżonego zliczenia Kodeks B różnił się od UBS</w:t>
      </w:r>
      <w:r>
        <w:rPr>
          <w:vertAlign w:val="superscript"/>
        </w:rPr>
        <w:t xml:space="preserve">4</w:t>
      </w:r>
      <w:r>
        <w:t xml:space="preserve"> </w:t>
      </w:r>
      <w:r>
        <w:t xml:space="preserve">271 razy, Alef 308 razy, a Kodeks A 333 razy, w całym Liście do Rzymian. Nawet gdyby moje przybliżone zliczenie myliło się o 10, 20 czy nawet 50, nie miałoby to większego znaczenia dla celu tego ćwiczenia:</w:t>
      </w:r>
      <w:r>
        <w:t xml:space="preserve"> </w:t>
      </w:r>
      <w:r>
        <w:rPr>
          <w:bCs/>
          <w:b/>
        </w:rPr>
        <w:t xml:space="preserve">te trzy wielkie kodeksy są żałośnie słabymi przedstawicielami swojego aleksandryjskiego typu tekstu</w:t>
      </w:r>
      <w:r>
        <w:t xml:space="preserve">. Następnie dokonałem jednak drugiego zliczenia, eliminując również alternatywne pisownie tego samego słowa (większość z nich dotyczyła ei/i/e). Na podstawie tego drugiego zliczenia Kodeks B różnił się od UBS</w:t>
      </w:r>
      <w:r>
        <w:rPr>
          <w:vertAlign w:val="superscript"/>
        </w:rPr>
        <w:t xml:space="preserve">4</w:t>
      </w:r>
      <w:r>
        <w:t xml:space="preserve"> </w:t>
      </w:r>
      <w:r>
        <w:t xml:space="preserve">170 razy, Alef 133 razy, a Kodeks A 204 razy. Itacyzmów było bardzo wiele, szczególnie w Alefie. Obraz znacznie się poprawił, lecz te trzy wielkie kodeksy nadal są raczej słabymi przedstawicielami swojego aleksandryjskiego typu tekstu.</w:t>
      </w:r>
    </w:p>
    <w:p>
      <w:pPr>
        <w:pStyle w:val="BodyText"/>
      </w:pPr>
      <w:r>
        <w:t xml:space="preserve">Dla porównania lub kontrastu zwracam uwagę na poniższe dowody z Rodziny 35, również obejmujące cały List do Rzymian.</w:t>
      </w:r>
    </w:p>
    <w:bookmarkStart w:id="289" w:name="f35-w-liście-do-rzymian-dane-surowe"/>
    <w:p>
      <w:pPr>
        <w:pStyle w:val="Heading4"/>
      </w:pPr>
      <w:r>
        <w:rPr>
          <w:iCs/>
          <w:i/>
        </w:rPr>
        <w:t xml:space="preserve">f</w:t>
      </w:r>
      <w:r>
        <w:rPr>
          <w:vertAlign w:val="superscript"/>
          <w:iCs/>
          <w:i/>
        </w:rPr>
        <w:t xml:space="preserve">35</w:t>
      </w:r>
      <w:r>
        <w:rPr>
          <w:iCs/>
          <w:i/>
        </w:rPr>
        <w:t xml:space="preserve"> </w:t>
      </w:r>
      <w:r>
        <w:rPr>
          <w:iCs/>
          <w:i/>
        </w:rPr>
        <w:t xml:space="preserve">w Liście do Rzymian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86"/>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2y, 1s, 1h, 1i</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3c</w:t>
            </w:r>
          </w:p>
        </w:tc>
        <w:tc>
          <w:tcPr/>
          <w:p>
            <w:pPr>
              <w:pStyle w:val="Compact"/>
              <w:jc w:val="right"/>
            </w:pPr>
            <w:r>
              <w:t xml:space="preserve">3</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141</w:t>
            </w:r>
          </w:p>
        </w:tc>
        <w:tc>
          <w:tcPr/>
          <w:p>
            <w:pPr>
              <w:pStyle w:val="Compact"/>
              <w:jc w:val="left"/>
            </w:pPr>
            <w:r>
              <w:t xml:space="preserve">1x, 1c, 4s, 2h, 1i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201</w:t>
            </w:r>
          </w:p>
        </w:tc>
        <w:tc>
          <w:tcPr/>
          <w:p>
            <w:pPr>
              <w:pStyle w:val="Compact"/>
              <w:jc w:val="left"/>
            </w:pPr>
            <w:r>
              <w:t xml:space="preserve">2x, 2/, 1c, 3s, 1i</w:t>
            </w:r>
          </w:p>
        </w:tc>
        <w:tc>
          <w:tcPr/>
          <w:p>
            <w:pPr>
              <w:pStyle w:val="Compact"/>
              <w:jc w:val="right"/>
            </w:pPr>
            <w:r>
              <w:t xml:space="preserve">9</w:t>
            </w:r>
          </w:p>
        </w:tc>
        <w:tc>
          <w:tcPr/>
          <w:p>
            <w:pPr>
              <w:pStyle w:val="Compact"/>
              <w:jc w:val="right"/>
            </w:pPr>
            <w:r>
              <w:t xml:space="preserve">4</w:t>
            </w:r>
          </w:p>
        </w:tc>
        <w:tc>
          <w:tcPr/>
          <w:p>
            <w:pPr>
              <w:pStyle w:val="Compact"/>
              <w:jc w:val="center"/>
            </w:pPr>
            <w:r>
              <w:t xml:space="preserve">1357</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1/, 1h,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386</w:t>
            </w:r>
          </w:p>
        </w:tc>
        <w:tc>
          <w:tcPr/>
          <w:p>
            <w:pPr>
              <w:pStyle w:val="Compact"/>
              <w:jc w:val="left"/>
            </w:pPr>
            <w:r>
              <w:t xml:space="preserve">2y, 2s, 1h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394</w:t>
            </w:r>
          </w:p>
        </w:tc>
        <w:tc>
          <w:tcPr/>
          <w:p>
            <w:pPr>
              <w:pStyle w:val="Compact"/>
              <w:jc w:val="left"/>
            </w:pPr>
            <w:r>
              <w:t xml:space="preserve">2y, 3/, 4s, 1i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eap</w:t>
            </w:r>
          </w:p>
        </w:tc>
      </w:tr>
      <w:tr>
        <w:tc>
          <w:tcPr/>
          <w:p>
            <w:pPr>
              <w:pStyle w:val="Compact"/>
              <w:jc w:val="right"/>
            </w:pPr>
            <w:r>
              <w:t xml:space="preserve">757</w:t>
            </w:r>
          </w:p>
        </w:tc>
        <w:tc>
          <w:tcPr/>
          <w:p>
            <w:pPr>
              <w:pStyle w:val="Compact"/>
              <w:jc w:val="left"/>
            </w:pPr>
            <w:r>
              <w:t xml:space="preserve">1y, 1/, 1c, 3s, 1h</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eapr</w:t>
            </w:r>
          </w:p>
        </w:tc>
      </w:tr>
      <w:tr>
        <w:tc>
          <w:tcPr/>
          <w:p>
            <w:pPr>
              <w:pStyle w:val="Compact"/>
              <w:jc w:val="right"/>
            </w:pPr>
            <w:r>
              <w:t xml:space="preserve">824</w:t>
            </w:r>
          </w:p>
        </w:tc>
        <w:tc>
          <w:tcPr/>
          <w:p>
            <w:pPr>
              <w:pStyle w:val="Compact"/>
              <w:jc w:val="left"/>
            </w:pPr>
            <w:r>
              <w:t xml:space="preserve">1x, 1y, 1/, 1s</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2/</w:t>
            </w:r>
          </w:p>
        </w:tc>
        <w:tc>
          <w:tcPr/>
          <w:p>
            <w:pPr>
              <w:pStyle w:val="Compact"/>
              <w:jc w:val="right"/>
            </w:pPr>
            <w:r>
              <w:t xml:space="preserve">2</w:t>
            </w:r>
          </w:p>
        </w:tc>
        <w:tc>
          <w:tcPr/>
          <w:p>
            <w:pPr>
              <w:pStyle w:val="Compact"/>
              <w:jc w:val="right"/>
            </w:pPr>
            <w:r>
              <w:t xml:space="preserve">2</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986</w:t>
            </w:r>
          </w:p>
        </w:tc>
        <w:tc>
          <w:tcPr/>
          <w:p>
            <w:pPr>
              <w:pStyle w:val="Compact"/>
              <w:jc w:val="left"/>
            </w:pPr>
            <w:r>
              <w:t xml:space="preserve">2y, 1/, 4s, 1i</w:t>
            </w:r>
          </w:p>
        </w:tc>
        <w:tc>
          <w:tcPr/>
          <w:p>
            <w:pPr>
              <w:pStyle w:val="Compact"/>
              <w:jc w:val="right"/>
            </w:pPr>
            <w:r>
              <w:t xml:space="preserve">8</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eapr</w:t>
            </w:r>
          </w:p>
        </w:tc>
      </w:tr>
      <w:tr>
        <w:tc>
          <w:tcPr/>
          <w:p>
            <w:pPr>
              <w:pStyle w:val="Compact"/>
              <w:jc w:val="right"/>
            </w:pPr>
            <w:r>
              <w:t xml:space="preserve">1040</w:t>
            </w:r>
          </w:p>
        </w:tc>
        <w:tc>
          <w:tcPr/>
          <w:p>
            <w:pPr>
              <w:pStyle w:val="Compact"/>
              <w:jc w:val="left"/>
            </w:pPr>
            <w:r>
              <w:t xml:space="preserve">2x, 1y, 1/</w:t>
            </w:r>
          </w:p>
        </w:tc>
        <w:tc>
          <w:tcPr/>
          <w:p>
            <w:pPr>
              <w:pStyle w:val="Compact"/>
              <w:jc w:val="right"/>
            </w:pPr>
            <w:r>
              <w:t xml:space="preserve">4</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1x, 1y, 1/, 4s</w:t>
            </w:r>
          </w:p>
        </w:tc>
        <w:tc>
          <w:tcPr/>
          <w:p>
            <w:pPr>
              <w:pStyle w:val="Compact"/>
              <w:jc w:val="right"/>
            </w:pPr>
            <w:r>
              <w:t xml:space="preserve">7</w:t>
            </w:r>
          </w:p>
        </w:tc>
        <w:tc>
          <w:tcPr/>
          <w:p>
            <w:pPr>
              <w:pStyle w:val="Compact"/>
              <w:jc w:val="right"/>
            </w:pPr>
            <w:r>
              <w:t xml:space="preserve">3</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1x, 1y, 1/, 1s, 1h</w:t>
            </w:r>
          </w:p>
        </w:tc>
        <w:tc>
          <w:tcPr/>
          <w:p>
            <w:pPr>
              <w:pStyle w:val="Compact"/>
              <w:jc w:val="right"/>
            </w:pPr>
            <w:r>
              <w:t xml:space="preserve">5</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1100</w:t>
            </w:r>
          </w:p>
        </w:tc>
        <w:tc>
          <w:tcPr/>
          <w:p>
            <w:pPr>
              <w:pStyle w:val="Compact"/>
              <w:jc w:val="left"/>
            </w:pPr>
            <w:r>
              <w:t xml:space="preserve">1y, 1s</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ap</w:t>
            </w:r>
          </w:p>
        </w:tc>
      </w:tr>
      <w:tr>
        <w:tc>
          <w:tcPr/>
          <w:p>
            <w:pPr>
              <w:pStyle w:val="Compact"/>
              <w:jc w:val="right"/>
            </w:pPr>
            <w:r>
              <w:t xml:space="preserve">1249</w:t>
            </w:r>
          </w:p>
        </w:tc>
        <w:tc>
          <w:tcPr/>
          <w:p>
            <w:pPr>
              <w:pStyle w:val="Compact"/>
              <w:jc w:val="left"/>
            </w:pPr>
            <w:r>
              <w:t xml:space="preserve">1c, 3s, 1i</w:t>
            </w:r>
          </w:p>
        </w:tc>
        <w:tc>
          <w:tcPr/>
          <w:p>
            <w:pPr>
              <w:pStyle w:val="Compact"/>
              <w:jc w:val="right"/>
            </w:pPr>
            <w:r>
              <w:t xml:space="preserve">5</w:t>
            </w:r>
          </w:p>
        </w:tc>
        <w:tc>
          <w:tcPr/>
          <w:p>
            <w:pPr>
              <w:pStyle w:val="Compact"/>
              <w:jc w:val="right"/>
            </w:pPr>
            <w:r>
              <w:t xml:space="preserve">---</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ap</w:t>
            </w:r>
          </w:p>
        </w:tc>
      </w:tr>
      <w:tr>
        <w:tc>
          <w:tcPr/>
          <w:p>
            <w:pPr>
              <w:pStyle w:val="Compact"/>
              <w:jc w:val="right"/>
            </w:pPr>
            <w:r>
              <w:t xml:space="preserve">1482</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1304</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1503</w:t>
            </w:r>
          </w:p>
        </w:tc>
        <w:tc>
          <w:tcPr/>
          <w:p>
            <w:pPr>
              <w:pStyle w:val="Compact"/>
              <w:jc w:val="left"/>
            </w:pPr>
            <w:r>
              <w:t xml:space="preserve">1y, 1/, 1i</w:t>
            </w:r>
          </w:p>
        </w:tc>
        <w:tc>
          <w:tcPr/>
          <w:p>
            <w:pPr>
              <w:pStyle w:val="Compact"/>
              <w:jc w:val="right"/>
            </w:pPr>
            <w:r>
              <w:t xml:space="preserve">3</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1548</w:t>
            </w:r>
          </w:p>
        </w:tc>
        <w:tc>
          <w:tcPr/>
          <w:p>
            <w:pPr>
              <w:pStyle w:val="Compact"/>
              <w:jc w:val="left"/>
            </w:pPr>
            <w:r>
              <w:t xml:space="preserve">1x, 2/, 6s, 3i</w:t>
            </w:r>
          </w:p>
        </w:tc>
        <w:tc>
          <w:tcPr/>
          <w:p>
            <w:pPr>
              <w:pStyle w:val="Compact"/>
              <w:jc w:val="right"/>
            </w:pPr>
            <w:r>
              <w:t xml:space="preserve">12</w:t>
            </w:r>
          </w:p>
        </w:tc>
        <w:tc>
          <w:tcPr/>
          <w:p>
            <w:pPr>
              <w:pStyle w:val="Compact"/>
              <w:jc w:val="right"/>
            </w:pPr>
            <w:r>
              <w:t xml:space="preserve">3</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 1s</w:t>
            </w:r>
          </w:p>
        </w:tc>
        <w:tc>
          <w:tcPr/>
          <w:p>
            <w:pPr>
              <w:pStyle w:val="Compact"/>
              <w:jc w:val="right"/>
            </w:pPr>
            <w:r>
              <w:t xml:space="preserve">3</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1704</w:t>
            </w:r>
          </w:p>
        </w:tc>
        <w:tc>
          <w:tcPr/>
          <w:p>
            <w:pPr>
              <w:pStyle w:val="Compact"/>
              <w:jc w:val="left"/>
            </w:pPr>
            <w:r>
              <w:t xml:space="preserve">1y, 5s, 2h, 5i</w:t>
            </w:r>
          </w:p>
        </w:tc>
        <w:tc>
          <w:tcPr/>
          <w:p>
            <w:pPr>
              <w:pStyle w:val="Compact"/>
              <w:jc w:val="right"/>
            </w:pPr>
            <w:r>
              <w:t xml:space="preserve">13</w:t>
            </w:r>
          </w:p>
        </w:tc>
        <w:tc>
          <w:tcPr/>
          <w:p>
            <w:pPr>
              <w:pStyle w:val="Compact"/>
              <w:jc w:val="right"/>
            </w:pPr>
            <w:r>
              <w:t xml:space="preserve">1</w:t>
            </w:r>
          </w:p>
        </w:tc>
        <w:tc>
          <w:tcPr/>
          <w:p>
            <w:pPr>
              <w:pStyle w:val="Compact"/>
              <w:jc w:val="center"/>
            </w:pPr>
            <w:r>
              <w:t xml:space="preserve">1541</w:t>
            </w:r>
          </w:p>
        </w:tc>
        <w:tc>
          <w:tcPr/>
          <w:p>
            <w:pPr>
              <w:pStyle w:val="Compact"/>
              <w:jc w:val="left"/>
            </w:pPr>
            <w:r>
              <w:t xml:space="preserve">Kutlumusiu</w:t>
            </w:r>
          </w:p>
        </w:tc>
        <w:tc>
          <w:tcPr/>
          <w:p>
            <w:pPr>
              <w:pStyle w:val="Compact"/>
              <w:jc w:val="center"/>
            </w:pPr>
            <w:r>
              <w:t xml:space="preserve">eapr</w:t>
            </w:r>
          </w:p>
        </w:tc>
      </w:tr>
      <w:tr>
        <w:tc>
          <w:tcPr/>
          <w:p>
            <w:pPr>
              <w:pStyle w:val="Compact"/>
              <w:jc w:val="right"/>
            </w:pPr>
            <w:r>
              <w:t xml:space="preserve">1725</w:t>
            </w:r>
          </w:p>
        </w:tc>
        <w:tc>
          <w:tcPr/>
          <w:p>
            <w:pPr>
              <w:pStyle w:val="Compact"/>
              <w:jc w:val="left"/>
            </w:pPr>
            <w:r>
              <w:t xml:space="preserve">1/, 3s, 4i</w:t>
            </w:r>
          </w:p>
        </w:tc>
        <w:tc>
          <w:tcPr/>
          <w:p>
            <w:pPr>
              <w:pStyle w:val="Compact"/>
              <w:jc w:val="right"/>
            </w:pPr>
            <w:r>
              <w:t xml:space="preserve">8</w:t>
            </w:r>
          </w:p>
        </w:tc>
        <w:tc>
          <w:tcPr/>
          <w:p>
            <w:pPr>
              <w:pStyle w:val="Compact"/>
              <w:jc w:val="right"/>
            </w:pPr>
            <w:r>
              <w:t xml:space="preserve">1</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ap</w:t>
            </w:r>
          </w:p>
        </w:tc>
      </w:tr>
      <w:tr>
        <w:tc>
          <w:tcPr/>
          <w:p>
            <w:pPr>
              <w:pStyle w:val="Compact"/>
              <w:jc w:val="right"/>
            </w:pPr>
            <w:r>
              <w:t xml:space="preserve">1732</w:t>
            </w:r>
          </w:p>
        </w:tc>
        <w:tc>
          <w:tcPr/>
          <w:p>
            <w:pPr>
              <w:pStyle w:val="Compact"/>
              <w:jc w:val="left"/>
            </w:pPr>
            <w:r>
              <w:t xml:space="preserve">1x, 1y, 1s, 2h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apr</w:t>
            </w:r>
          </w:p>
        </w:tc>
      </w:tr>
      <w:tr>
        <w:tc>
          <w:tcPr/>
          <w:p>
            <w:pPr>
              <w:pStyle w:val="Compact"/>
              <w:jc w:val="right"/>
            </w:pPr>
            <w:r>
              <w:t xml:space="preserve">1761</w:t>
            </w:r>
          </w:p>
        </w:tc>
        <w:tc>
          <w:tcPr/>
          <w:p>
            <w:pPr>
              <w:pStyle w:val="Compact"/>
              <w:jc w:val="left"/>
            </w:pPr>
            <w:r>
              <w:t xml:space="preserve">2x, 2y, 1c, 3s, 1h</w:t>
            </w:r>
          </w:p>
        </w:tc>
        <w:tc>
          <w:tcPr/>
          <w:p>
            <w:pPr>
              <w:pStyle w:val="Compact"/>
              <w:jc w:val="right"/>
            </w:pPr>
            <w:r>
              <w:t xml:space="preserve">9</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ap</w:t>
            </w:r>
          </w:p>
        </w:tc>
      </w:tr>
      <w:tr>
        <w:tc>
          <w:tcPr/>
          <w:p>
            <w:pPr>
              <w:pStyle w:val="Compact"/>
              <w:jc w:val="right"/>
            </w:pPr>
            <w:r>
              <w:t xml:space="preserve">1855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1856</w:t>
            </w:r>
          </w:p>
        </w:tc>
        <w:tc>
          <w:tcPr/>
          <w:p>
            <w:pPr>
              <w:pStyle w:val="Compact"/>
              <w:jc w:val="left"/>
            </w:pPr>
            <w:r>
              <w:t xml:space="preserve">6x, 1y, 2/, 6s, 1h</w:t>
            </w:r>
          </w:p>
        </w:tc>
        <w:tc>
          <w:tcPr/>
          <w:p>
            <w:pPr>
              <w:pStyle w:val="Compact"/>
              <w:jc w:val="right"/>
            </w:pPr>
            <w:r>
              <w:t xml:space="preserve">16</w:t>
            </w:r>
          </w:p>
        </w:tc>
        <w:tc>
          <w:tcPr/>
          <w:p>
            <w:pPr>
              <w:pStyle w:val="Compact"/>
              <w:jc w:val="right"/>
            </w:pPr>
            <w:r>
              <w:t xml:space="preserve">9</w:t>
            </w:r>
          </w:p>
        </w:tc>
        <w:tc>
          <w:tcPr/>
          <w:p>
            <w:pPr>
              <w:pStyle w:val="Compact"/>
              <w:jc w:val="center"/>
            </w:pPr>
            <w:r>
              <w:t xml:space="preserve">XIV</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1858</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Konstamonitu</w:t>
            </w:r>
          </w:p>
        </w:tc>
        <w:tc>
          <w:tcPr/>
          <w:p>
            <w:pPr>
              <w:pStyle w:val="Compact"/>
              <w:jc w:val="center"/>
            </w:pPr>
            <w:r>
              <w:t xml:space="preserve">ap</w:t>
            </w:r>
          </w:p>
        </w:tc>
      </w:tr>
      <w:tr>
        <w:tc>
          <w:tcPr/>
          <w:p>
            <w:pPr>
              <w:pStyle w:val="Compact"/>
              <w:jc w:val="right"/>
            </w:pPr>
            <w:r>
              <w:t xml:space="preserve">1864</w:t>
            </w:r>
          </w:p>
        </w:tc>
        <w:tc>
          <w:tcPr/>
          <w:p>
            <w:pPr>
              <w:pStyle w:val="Compact"/>
              <w:jc w:val="left"/>
            </w:pPr>
            <w:r>
              <w:t xml:space="preserve">1y, 1/</w:t>
            </w:r>
          </w:p>
        </w:tc>
        <w:tc>
          <w:tcPr/>
          <w:p>
            <w:pPr>
              <w:pStyle w:val="Compact"/>
              <w:jc w:val="right"/>
            </w:pPr>
            <w:r>
              <w:t xml:space="preserve">2</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apr</w:t>
            </w:r>
          </w:p>
        </w:tc>
      </w:tr>
      <w:tr>
        <w:tc>
          <w:tcPr/>
          <w:p>
            <w:pPr>
              <w:pStyle w:val="Compact"/>
              <w:jc w:val="right"/>
            </w:pPr>
            <w:r>
              <w:t xml:space="preserve">1865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apr</w:t>
            </w:r>
          </w:p>
        </w:tc>
      </w:tr>
      <w:tr>
        <w:tc>
          <w:tcPr/>
          <w:p>
            <w:pPr>
              <w:pStyle w:val="Compact"/>
              <w:jc w:val="right"/>
            </w:pPr>
            <w:r>
              <w:t xml:space="preserve">1876</w:t>
            </w:r>
          </w:p>
        </w:tc>
        <w:tc>
          <w:tcPr/>
          <w:p>
            <w:pPr>
              <w:pStyle w:val="Compact"/>
              <w:jc w:val="left"/>
            </w:pPr>
            <w:r>
              <w:t xml:space="preserve">2x, 2/, 12s, 2h, 5i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apr</w:t>
            </w:r>
          </w:p>
        </w:tc>
      </w:tr>
      <w:tr>
        <w:tc>
          <w:tcPr/>
          <w:p>
            <w:pPr>
              <w:pStyle w:val="Compact"/>
              <w:jc w:val="right"/>
            </w:pPr>
            <w:r>
              <w:t xml:space="preserve">1892</w:t>
            </w:r>
          </w:p>
        </w:tc>
        <w:tc>
          <w:tcPr/>
          <w:p>
            <w:pPr>
              <w:pStyle w:val="Compact"/>
              <w:jc w:val="left"/>
            </w:pPr>
            <w:r>
              <w:t xml:space="preserve">3y, 2/, 1c, 12s, 1h, 2i</w:t>
            </w:r>
          </w:p>
        </w:tc>
        <w:tc>
          <w:tcPr/>
          <w:p>
            <w:pPr>
              <w:pStyle w:val="Compact"/>
              <w:jc w:val="right"/>
            </w:pPr>
            <w:r>
              <w:t xml:space="preserve">21</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1897</w:t>
            </w:r>
          </w:p>
        </w:tc>
        <w:tc>
          <w:tcPr/>
          <w:p>
            <w:pPr>
              <w:pStyle w:val="Compact"/>
              <w:jc w:val="left"/>
            </w:pPr>
            <w:r>
              <w:t xml:space="preserve">1/, 4s, 2h, 1i</w:t>
            </w:r>
            <w:r>
              <w:rPr>
                <w:rStyle w:val="FootnoteReference"/>
              </w:rPr>
              <w:footnoteReference w:id="287"/>
            </w:r>
          </w:p>
        </w:tc>
        <w:tc>
          <w:tcPr/>
          <w:p>
            <w:pPr>
              <w:pStyle w:val="Compact"/>
              <w:jc w:val="right"/>
            </w:pPr>
            <w:r>
              <w:t xml:space="preserve">8</w:t>
            </w:r>
          </w:p>
        </w:tc>
        <w:tc>
          <w:tcPr/>
          <w:p>
            <w:pPr>
              <w:pStyle w:val="Compact"/>
              <w:jc w:val="right"/>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2466</w:t>
            </w:r>
          </w:p>
        </w:tc>
        <w:tc>
          <w:tcPr/>
          <w:p>
            <w:pPr>
              <w:pStyle w:val="Compact"/>
              <w:jc w:val="left"/>
            </w:pPr>
            <w:r>
              <w:t xml:space="preserve">2c, 11s, 2i</w:t>
            </w:r>
          </w:p>
        </w:tc>
        <w:tc>
          <w:tcPr/>
          <w:p>
            <w:pPr>
              <w:pStyle w:val="Compact"/>
              <w:jc w:val="right"/>
            </w:pPr>
            <w:r>
              <w:t xml:space="preserve">15</w:t>
            </w:r>
          </w:p>
        </w:tc>
        <w:tc>
          <w:tcPr/>
          <w:p>
            <w:pPr>
              <w:pStyle w:val="Compact"/>
              <w:jc w:val="right"/>
            </w:pPr>
            <w:r>
              <w:t xml:space="preserve">---</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2554</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2587</w:t>
            </w:r>
          </w:p>
        </w:tc>
        <w:tc>
          <w:tcPr/>
          <w:p>
            <w:pPr>
              <w:pStyle w:val="Compact"/>
              <w:jc w:val="left"/>
            </w:pPr>
            <w:r>
              <w:t xml:space="preserve">1/,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ap</w:t>
            </w:r>
          </w:p>
        </w:tc>
      </w:tr>
      <w:tr>
        <w:tc>
          <w:tcPr/>
          <w:p>
            <w:pPr>
              <w:pStyle w:val="Compact"/>
              <w:jc w:val="right"/>
            </w:pPr>
            <w:r>
              <w:t xml:space="preserve">2723</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apr</w:t>
            </w:r>
          </w:p>
        </w:tc>
      </w:tr>
    </w:tbl>
    <w:p>
      <w:pPr>
        <w:pStyle w:val="BodyText"/>
      </w:pPr>
      <w:r>
        <w:t xml:space="preserve">Patrząc na tabelę, osiemnaście manuskryptów ma średnio tylko jeden wariant na cztery lub więcej rozdziałów — wyjątkowe! (Manuskrypty 1482, 2554 i 2723 są doskonałe w obecnym stanie). Kolejnych dziewięć manuskryptów ma tylko jeden wariant na dwa rozdziały — znakomite. Ponad 70% jest znakomitych lub lepszych. Kolejnych osiem ma tylko jeden wariant na rozdział — dobre. Kolejne dwa mają po dwa warianty na rozdział — dostateczne. Zauważ, że zdecydowanie najgorszy spośród trzydziestu siedmiu przedstawicieli</w:t>
      </w:r>
      <w:r>
        <w:t xml:space="preserve"> </w:t>
      </w:r>
      <w:r>
        <w:rPr>
          <w:bCs/>
          <w:b/>
        </w:rPr>
        <w:t xml:space="preserve">f</w:t>
      </w:r>
      <w:r>
        <w:rPr>
          <w:vertAlign w:val="superscript"/>
          <w:bCs/>
          <w:b/>
        </w:rPr>
        <w:t xml:space="preserve">35</w:t>
      </w:r>
      <w:r>
        <w:t xml:space="preserve"> </w:t>
      </w:r>
      <w:r>
        <w:t xml:space="preserve">(1876, apr, XV, Synaj) jest prawie sześć razy „lepszy” od najlepszego przedstawiciela aleksandryjskiego, Kodeksu Alef. Zatrzymaj się na chwilę i pomyśl o konsekwencjach.</w:t>
      </w:r>
      <w:r>
        <w:t xml:space="preserve"> </w:t>
      </w:r>
      <w:r>
        <w:rPr>
          <w:bCs/>
          <w:b/>
        </w:rPr>
        <w:t xml:space="preserve">Jak jakakolwiek rozsądna osoba może bronić twierdzenia, że aleksandryjski typ tekstu reprezentuje najlepszą linię przekazu?</w:t>
      </w:r>
      <w:r>
        <w:rPr>
          <w:rStyle w:val="FootnoteReference"/>
        </w:rPr>
        <w:footnoteReference w:id="288"/>
      </w:r>
    </w:p>
    <w:bookmarkEnd w:id="289"/>
    <w:bookmarkStart w:id="293" w:name="przypadek-reprezentatywny-1"/>
    <w:p>
      <w:pPr>
        <w:pStyle w:val="Heading4"/>
      </w:pPr>
      <w:r>
        <w:rPr>
          <w:iCs/>
          <w:i/>
        </w:rPr>
        <w:t xml:space="preserve">Przypadek reprezentatywny</w:t>
      </w:r>
    </w:p>
    <w:p>
      <w:pPr>
        <w:pStyle w:val="FirstParagraph"/>
      </w:pPr>
      <w:r>
        <w:t xml:space="preserve">W akapicie otwierającym stwierdziłem, że warianty można oceniać. Wezmę teraz jednego z zaledwie dwóch „dostatecznych” przedstawicieli</w:t>
      </w:r>
      <w:r>
        <w:t xml:space="preserve"> </w:t>
      </w:r>
      <w:r>
        <w:rPr>
          <w:bCs/>
          <w:b/>
        </w:rPr>
        <w:t xml:space="preserve">f</w:t>
      </w:r>
      <w:r>
        <w:rPr>
          <w:vertAlign w:val="superscript"/>
          <w:bCs/>
          <w:b/>
        </w:rPr>
        <w:t xml:space="preserve">35</w:t>
      </w:r>
      <w:r>
        <w:t xml:space="preserve"> </w:t>
      </w:r>
      <w:r>
        <w:t xml:space="preserve">— manuskrypt 1892, ap, XIV, Jerozolima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1,6</w:t>
            </w:r>
          </w:p>
        </w:tc>
        <w:tc>
          <w:tcPr/>
          <w:p>
            <w:pPr>
              <w:pStyle w:val="Compact"/>
              <w:jc w:val="left"/>
            </w:pPr>
            <w:r>
              <w:t xml:space="preserve">ημων 1892</w:t>
            </w:r>
            <w:r>
              <w:rPr>
                <w:vertAlign w:val="superscript"/>
              </w:rPr>
              <w:t xml:space="preserve">c</w:t>
            </w:r>
            <w:r>
              <w:t xml:space="preserve"> </w:t>
            </w:r>
            <w:r>
              <w:t xml:space="preserve">|| --- 1892 (przypadkowe pominięcie, które poprawiono)</w:t>
            </w:r>
          </w:p>
        </w:tc>
      </w:tr>
      <w:tr>
        <w:tc>
          <w:tcPr/>
          <w:p>
            <w:pPr>
              <w:pStyle w:val="Compact"/>
              <w:jc w:val="center"/>
            </w:pPr>
            <w:r>
              <w:t xml:space="preserve">2,5</w:t>
            </w:r>
          </w:p>
        </w:tc>
        <w:tc>
          <w:tcPr/>
          <w:p>
            <w:pPr>
              <w:pStyle w:val="Compact"/>
              <w:jc w:val="left"/>
            </w:pPr>
            <w:r>
              <w:t xml:space="preserve">του || --- (grupa 1) 1892 (ponieważ przypadkiem jest dopełniacz, znaczenie nie zostaje naruszone)</w:t>
            </w:r>
          </w:p>
        </w:tc>
      </w:tr>
      <w:tr>
        <w:tc>
          <w:tcPr/>
          <w:p>
            <w:pPr>
              <w:pStyle w:val="Compact"/>
              <w:jc w:val="center"/>
            </w:pPr>
            <w:r>
              <w:t xml:space="preserve">4,21</w:t>
            </w:r>
          </w:p>
        </w:tc>
        <w:tc>
          <w:tcPr/>
          <w:p>
            <w:pPr>
              <w:pStyle w:val="Compact"/>
              <w:jc w:val="left"/>
            </w:pPr>
            <w:r>
              <w:t xml:space="preserve">πληροφορηθεις || πληρωφορηθεις 1892 (itacyzm powodujący błąd pisowni, obie formy wymawiano tak samo)</w:t>
            </w:r>
          </w:p>
        </w:tc>
      </w:tr>
      <w:tr>
        <w:tc>
          <w:tcPr/>
          <w:p>
            <w:pPr>
              <w:pStyle w:val="Compact"/>
              <w:jc w:val="center"/>
            </w:pPr>
            <w:r>
              <w:t xml:space="preserve">5,11</w:t>
            </w:r>
          </w:p>
        </w:tc>
        <w:tc>
          <w:tcPr/>
          <w:p>
            <w:pPr>
              <w:pStyle w:val="Compact"/>
              <w:jc w:val="left"/>
            </w:pPr>
            <w:r>
              <w:t xml:space="preserve">νυν || --- 1892 (niestaranna omyłka, która nie zmienia podstawowego znaczenia)</w:t>
            </w:r>
          </w:p>
        </w:tc>
      </w:tr>
      <w:tr>
        <w:tc>
          <w:tcPr/>
          <w:p>
            <w:pPr>
              <w:pStyle w:val="Compact"/>
              <w:jc w:val="center"/>
            </w:pPr>
            <w:r>
              <w:t xml:space="preserve">5,13</w:t>
            </w:r>
          </w:p>
        </w:tc>
        <w:tc>
          <w:tcPr/>
          <w:p>
            <w:pPr>
              <w:pStyle w:val="Compact"/>
              <w:jc w:val="left"/>
            </w:pPr>
            <w:r>
              <w:t xml:space="preserve">ελλογειται || ελλογειτο 1892 (czy kopista próbował zmienić czas teraźniejszy na imperfekt? Znaczenie nie zostaje zmienione)</w:t>
            </w:r>
          </w:p>
        </w:tc>
      </w:tr>
      <w:tr>
        <w:tc>
          <w:tcPr/>
          <w:p>
            <w:pPr>
              <w:pStyle w:val="Compact"/>
              <w:jc w:val="center"/>
            </w:pPr>
            <w:r>
              <w:t xml:space="preserve">9,15</w:t>
            </w:r>
          </w:p>
        </w:tc>
        <w:tc>
          <w:tcPr/>
          <w:p>
            <w:pPr>
              <w:pStyle w:val="Compact"/>
              <w:jc w:val="left"/>
            </w:pPr>
            <w:r>
              <w:t xml:space="preserve">μωυση || μωυσει 1892 (jedynie alternatywna pisownia imienia własnego)</w:t>
            </w:r>
          </w:p>
        </w:tc>
      </w:tr>
      <w:tr>
        <w:tc>
          <w:tcPr/>
          <w:p>
            <w:pPr>
              <w:pStyle w:val="Compact"/>
              <w:jc w:val="center"/>
            </w:pPr>
            <w:r>
              <w:t xml:space="preserve">9,27</w:t>
            </w:r>
          </w:p>
        </w:tc>
        <w:tc>
          <w:tcPr/>
          <w:p>
            <w:pPr>
              <w:pStyle w:val="Compact"/>
              <w:jc w:val="left"/>
            </w:pPr>
            <w:r>
              <w:t xml:space="preserve">ως η || ωσει 1892 (itacyzm powodujący błąd pisowni, obie formy wymawiano tak samo)</w:t>
            </w:r>
          </w:p>
        </w:tc>
      </w:tr>
      <w:tr>
        <w:tc>
          <w:tcPr/>
          <w:p>
            <w:pPr>
              <w:pStyle w:val="Compact"/>
              <w:jc w:val="center"/>
            </w:pPr>
            <w:r>
              <w:t xml:space="preserve">12,8</w:t>
            </w:r>
          </w:p>
        </w:tc>
        <w:tc>
          <w:tcPr/>
          <w:p>
            <w:pPr>
              <w:pStyle w:val="Compact"/>
              <w:jc w:val="left"/>
            </w:pPr>
            <w:r>
              <w:t xml:space="preserve">1892 uzupełnia na marginesie ο μεταδιδους εν απλοτητι (wyraźny przypadek homoioarktonu lub homoioteleutonu)</w:t>
            </w:r>
          </w:p>
        </w:tc>
      </w:tr>
      <w:tr>
        <w:tc>
          <w:tcPr/>
          <w:p>
            <w:pPr>
              <w:pStyle w:val="Compact"/>
              <w:jc w:val="center"/>
            </w:pPr>
            <w:r>
              <w:t xml:space="preserve">13,11</w:t>
            </w:r>
          </w:p>
        </w:tc>
        <w:tc>
          <w:tcPr/>
          <w:p>
            <w:pPr>
              <w:pStyle w:val="Compact"/>
              <w:jc w:val="left"/>
            </w:pPr>
            <w:r>
              <w:t xml:space="preserve">γαρ || --- 1892 (niestaranna omyłka, która nie zmienia podstawowego znaczenia)</w:t>
            </w:r>
          </w:p>
        </w:tc>
      </w:tr>
      <w:tr>
        <w:tc>
          <w:tcPr/>
          <w:p>
            <w:pPr>
              <w:pStyle w:val="Compact"/>
              <w:jc w:val="center"/>
            </w:pPr>
            <w:r>
              <w:t xml:space="preserve">14,8</w:t>
            </w:r>
          </w:p>
        </w:tc>
        <w:tc>
          <w:tcPr/>
          <w:p>
            <w:pPr>
              <w:pStyle w:val="Compact"/>
              <w:jc w:val="left"/>
            </w:pPr>
            <w:r>
              <w:t xml:space="preserve">αποθνησκομεν || αποθνησκωμεν 1725, 1876, 1892 (itacyzm zmieniający tryb oznajmujący na łączący, co w kontekście powoduje niewielką różnicę, obie formy wymawiano tak samo, dwa pozostałe manuskrypty nie należą do grupy 1, jest to więc zmiana niezależna)</w:t>
            </w:r>
          </w:p>
        </w:tc>
      </w:tr>
      <w:tr>
        <w:tc>
          <w:tcPr/>
          <w:p>
            <w:pPr>
              <w:pStyle w:val="Compact"/>
              <w:jc w:val="center"/>
            </w:pPr>
            <w:r>
              <w:t xml:space="preserve">14,15</w:t>
            </w:r>
          </w:p>
        </w:tc>
        <w:tc>
          <w:tcPr/>
          <w:p>
            <w:pPr>
              <w:pStyle w:val="Compact"/>
              <w:jc w:val="left"/>
            </w:pPr>
            <w:r>
              <w:t xml:space="preserve">χριστος || 1 δωρεαν 1892 (zbędny dodatek, który powoduje niewielką różnicę)</w:t>
            </w:r>
          </w:p>
        </w:tc>
      </w:tr>
      <w:tr>
        <w:tc>
          <w:tcPr/>
          <w:p>
            <w:pPr>
              <w:pStyle w:val="Compact"/>
              <w:jc w:val="center"/>
            </w:pPr>
            <w:r>
              <w:t xml:space="preserve">15,7</w:t>
            </w:r>
          </w:p>
        </w:tc>
        <w:tc>
          <w:tcPr/>
          <w:p>
            <w:pPr>
              <w:pStyle w:val="Compact"/>
              <w:jc w:val="left"/>
            </w:pPr>
            <w:r>
              <w:t xml:space="preserve">αλληλους || αλληλοις 1892 (najwyraźniej — pracując z czarno-białego filmu, trudno mieć pewność, zmienia biernik na celownik, lecz nie zmienia znaczenia)</w:t>
            </w:r>
          </w:p>
        </w:tc>
      </w:tr>
      <w:tr>
        <w:tc>
          <w:tcPr/>
          <w:p>
            <w:pPr>
              <w:pStyle w:val="Compact"/>
              <w:jc w:val="center"/>
            </w:pPr>
            <w:r>
              <w:t xml:space="preserve">15,9</w:t>
            </w:r>
          </w:p>
        </w:tc>
        <w:tc>
          <w:tcPr/>
          <w:p>
            <w:pPr>
              <w:pStyle w:val="Compact"/>
              <w:jc w:val="left"/>
            </w:pPr>
            <w:r>
              <w:t xml:space="preserve">ψαλω || ψαλλω 1892 (prawdopodobnie niestaranna zmiana, lecz zmienia czas przyszły na teraźniejszy, co powoduje niewielką różnicę znaczeniową, obie formy wymawiano tak samo)</w:t>
            </w:r>
          </w:p>
        </w:tc>
      </w:tr>
      <w:tr>
        <w:tc>
          <w:tcPr/>
          <w:p>
            <w:pPr>
              <w:pStyle w:val="Compact"/>
              <w:jc w:val="center"/>
            </w:pPr>
            <w:r>
              <w:t xml:space="preserve">15,13</w:t>
            </w:r>
          </w:p>
        </w:tc>
        <w:tc>
          <w:tcPr/>
          <w:p>
            <w:pPr>
              <w:pStyle w:val="Compact"/>
              <w:jc w:val="left"/>
            </w:pPr>
            <w:r>
              <w:t xml:space="preserve">περισσευειν || περησσευειν 1892 (najwyraźniej — pracując z czarno-białego filmu, trudno mieć pewność, itacyzm powodujący błąd pisowni, obie formy wymawiano tak samo)</w:t>
            </w:r>
          </w:p>
        </w:tc>
      </w:tr>
      <w:tr>
        <w:tc>
          <w:tcPr/>
          <w:p>
            <w:pPr>
              <w:pStyle w:val="Compact"/>
              <w:jc w:val="center"/>
            </w:pPr>
            <w:r>
              <w:t xml:space="preserve">15,29</w:t>
            </w:r>
          </w:p>
        </w:tc>
        <w:tc>
          <w:tcPr/>
          <w:p>
            <w:pPr>
              <w:pStyle w:val="Compact"/>
              <w:jc w:val="left"/>
            </w:pPr>
            <w:r>
              <w:t xml:space="preserve">του χριστου || της ειρηνης 1892 (być może egzemplarz był uszkodzony, w kontekście zmiana powoduje niewielką różnicę)</w:t>
            </w:r>
          </w:p>
        </w:tc>
      </w:tr>
      <w:tr>
        <w:tc>
          <w:tcPr/>
          <w:p>
            <w:pPr>
              <w:pStyle w:val="Compact"/>
              <w:jc w:val="center"/>
            </w:pPr>
            <w:r>
              <w:t xml:space="preserve">15,30</w:t>
            </w:r>
          </w:p>
        </w:tc>
        <w:tc>
          <w:tcPr/>
          <w:p>
            <w:pPr>
              <w:pStyle w:val="Compact"/>
              <w:jc w:val="left"/>
            </w:pPr>
            <w:r>
              <w:t xml:space="preserve">συναγωνισασθαι || συναγωνισασθε 141, 1892 (zmienia tryb oznajmujący na łączący, lecz oba mają ten sam skutek, są dwoma sposobami powiedzenia tego samego, drugi manuskrypt nie należy do grupy 1, jest to więc zmiana niezależna)</w:t>
            </w:r>
          </w:p>
        </w:tc>
      </w:tr>
      <w:tr>
        <w:tc>
          <w:tcPr/>
          <w:p>
            <w:pPr>
              <w:pStyle w:val="Compact"/>
              <w:jc w:val="center"/>
            </w:pPr>
            <w:r>
              <w:t xml:space="preserve">16,2</w:t>
            </w:r>
          </w:p>
        </w:tc>
        <w:tc>
          <w:tcPr/>
          <w:p>
            <w:pPr>
              <w:pStyle w:val="Compact"/>
              <w:jc w:val="left"/>
            </w:pPr>
            <w:r>
              <w:t xml:space="preserve">και γαρ || 121 1892 (niestaranna repetycja spójnika współrzędnego, która nie zmienia znaczenia)</w:t>
            </w:r>
          </w:p>
        </w:tc>
      </w:tr>
      <w:tr>
        <w:tc>
          <w:tcPr/>
          <w:p>
            <w:pPr>
              <w:pStyle w:val="Compact"/>
              <w:jc w:val="center"/>
            </w:pPr>
            <w:r>
              <w:t xml:space="preserve">16,3</w:t>
            </w:r>
          </w:p>
        </w:tc>
        <w:tc>
          <w:tcPr/>
          <w:p>
            <w:pPr>
              <w:pStyle w:val="Compact"/>
              <w:jc w:val="left"/>
            </w:pPr>
            <w:r>
              <w:t xml:space="preserve">πρισκαν || πρισκιλλαν (30%) 394, 1249</w:t>
            </w:r>
            <w:r>
              <w:rPr>
                <w:vertAlign w:val="superscript"/>
              </w:rPr>
              <w:t xml:space="preserve">c</w:t>
            </w:r>
            <w:r>
              <w:t xml:space="preserve">, 1761, 1892 (alternatywne imiona tej samej osoby)</w:t>
            </w:r>
          </w:p>
        </w:tc>
      </w:tr>
      <w:tr>
        <w:tc>
          <w:tcPr/>
          <w:p>
            <w:pPr>
              <w:pStyle w:val="Compact"/>
              <w:jc w:val="center"/>
            </w:pPr>
            <w:r>
              <w:t xml:space="preserve">16,6</w:t>
            </w:r>
          </w:p>
        </w:tc>
        <w:tc>
          <w:tcPr/>
          <w:p>
            <w:pPr>
              <w:pStyle w:val="Compact"/>
              <w:jc w:val="left"/>
            </w:pPr>
            <w:r>
              <w:t xml:space="preserve">υμας || ημας (75,5%) 394, 1732, 1761, 1892 (zmiana, która zdominowała ogólny przekaz, w kontekście powoduje niewielką różnicę)</w:t>
            </w:r>
          </w:p>
        </w:tc>
      </w:tr>
      <w:tr>
        <w:tc>
          <w:tcPr/>
          <w:p>
            <w:pPr>
              <w:pStyle w:val="Compact"/>
              <w:jc w:val="center"/>
            </w:pPr>
            <w:r>
              <w:t xml:space="preserve">16,20</w:t>
            </w:r>
          </w:p>
        </w:tc>
        <w:tc>
          <w:tcPr/>
          <w:p>
            <w:pPr>
              <w:pStyle w:val="Compact"/>
              <w:jc w:val="left"/>
            </w:pPr>
            <w:r>
              <w:t xml:space="preserve">συντριψει || συντριψοι 1652</w:t>
            </w:r>
            <w:r>
              <w:rPr>
                <w:vertAlign w:val="superscript"/>
              </w:rPr>
              <w:t xml:space="preserve">alt</w:t>
            </w:r>
            <w:r>
              <w:t xml:space="preserve">, 1892 (zmiana z czasu przyszłego w trybie oznajmującym na tryb życzący, która osłabia siłę czasownika)</w:t>
            </w:r>
          </w:p>
        </w:tc>
      </w:tr>
      <w:tr>
        <w:tc>
          <w:tcPr/>
          <w:p>
            <w:pPr>
              <w:pStyle w:val="Compact"/>
              <w:jc w:val="center"/>
            </w:pPr>
            <w:r>
              <w:t xml:space="preserve">16,24</w:t>
            </w:r>
          </w:p>
        </w:tc>
        <w:tc>
          <w:tcPr/>
          <w:p>
            <w:pPr>
              <w:pStyle w:val="Compact"/>
              <w:jc w:val="left"/>
            </w:pPr>
            <w:r>
              <w:t xml:space="preserve">ημων || υμων (82%) (grupa 1)+ 1892 (zmiana, która zdominowała ogólny przekaz i byłaby dokonana niemal automatycznie, gdyby kopista nie zauważył, że mówi Tercjusz, w kontekście powoduje niewielką różnicę)</w:t>
            </w:r>
          </w:p>
        </w:tc>
      </w:tr>
    </w:tbl>
    <w:p>
      <w:pPr>
        <w:pStyle w:val="BodyText"/>
      </w:pPr>
      <w:r>
        <w:t xml:space="preserve">Z wyjątkiem pięciu przypadków wszędzie chodzi tylko o jedną literę lub sylabę i nigdzie znaczenie nie zostaje poważnie naruszone.</w:t>
      </w:r>
      <w:r>
        <w:rPr>
          <w:rStyle w:val="FootnoteReference"/>
        </w:rPr>
        <w:footnoteReference w:id="290"/>
      </w:r>
      <w:r>
        <w:t xml:space="preserve"> </w:t>
      </w:r>
      <w:r>
        <w:rPr>
          <w:bCs/>
          <w:b/>
        </w:rPr>
        <w:t xml:space="preserve">Ktoś czytający manuskrypt 1892 nie zostałby w żadnym miejscu księgi wprowadzony w błąd co do zamierzonego znaczenia</w:t>
      </w:r>
      <w:r>
        <w:t xml:space="preserve">. Twierdzę, że jest to godne uwagi i typowe dla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291"/>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r>
        <w:rPr>
          <w:rStyle w:val="FootnoteReference"/>
        </w:rPr>
        <w:footnoteReference w:id="292"/>
      </w:r>
    </w:p>
    <w:bookmarkEnd w:id="293"/>
    <w:bookmarkStart w:id="296" w:name="niewiarygodnie-staranny-przekaz-1"/>
    <w:p>
      <w:pPr>
        <w:pStyle w:val="Heading4"/>
      </w:pPr>
      <w:r>
        <w:rPr>
          <w:iCs/>
          <w:i/>
        </w:rPr>
        <w:t xml:space="preserve">Niewiarygodnie staranny przekaz</w:t>
      </w:r>
    </w:p>
    <w:p>
      <w:pPr>
        <w:pStyle w:val="FirstParagraph"/>
      </w:pPr>
      <w:r>
        <w:t xml:space="preserve">Ocenię teraz warianty u osiemnastu „wyjątkowych” przedstawicieli. (Osiemnaście spośród trzydziestu siedmiu to praktycznie połowa).</w:t>
      </w:r>
    </w:p>
    <w:p>
      <w:pPr>
        <w:pStyle w:val="BodyText"/>
      </w:pPr>
      <w:r>
        <w:t xml:space="preserve">Manuskrypty 1482, 2554 i 2723 są doskonałe w obecnym stanie.</w:t>
      </w:r>
    </w:p>
    <w:p>
      <w:pPr>
        <w:pStyle w:val="BodyText"/>
      </w:pPr>
      <w:r>
        <w:t xml:space="preserve">Manuskrypty 1855 i 1865 mają po jednym, zostaną omówione w tej kolejności. Manuskrypt 1855: 13,1 — υπο || 1 του 1855, 1856. Oba manuskrypty są przechowywane w tym samym klasztorze, mogły więc mieć wspólny egzemplarz. Dodają rodzajnik przed „Bogiem”, lecz ponieważ przypadkiem jest dopełniacz, znaczenie nie zostaje naruszone.</w:t>
      </w:r>
    </w:p>
    <w:p>
      <w:pPr>
        <w:pStyle w:val="BodyText"/>
      </w:pPr>
      <w:r>
        <w:t xml:space="preserve">Manuskrypt 1865: 16,18 — ευλογιας || ευλογολογιας 1865 (najwyraźniej — pracując z czarno-białego filmu, trudno mieć pewność). Oczywiście coś poszło tutaj źle, a rezultatem jest nonsens, czytelnik przypuszczalnie dokonałby koniecznej poprawki.</w:t>
      </w:r>
    </w:p>
    <w:p>
      <w:pPr>
        <w:pStyle w:val="BodyText"/>
      </w:pPr>
      <w:r>
        <w:t xml:space="preserve">Manuskrypty 928, 1100 i 1864 mają po dwa, zostaną omówione w tej kolejności. Manuskrypt 928: 11,1 — αβρααμ || 1 εκ 394, 928, 1856. Te trzy manuskrypty należą do grupy 2 i mogą wskazywać na podgrupę. Przyimek jest domyślny, a jego wyrażenie wprost nie zmienia znaczenia, tłumaczenie pozostaje takie samo.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w:t>
      </w:r>
    </w:p>
    <w:p>
      <w:pPr>
        <w:pStyle w:val="BodyText"/>
      </w:pPr>
      <w:r>
        <w:t xml:space="preserve">Manuskrypt 1100: 15,6 — δοξαζητε || δοξαζηται 1100. Zmiana ta jest dość powszechna, najwyraźniej uważano te formy za dwa sposoby powiedzenia tego samego. 16,24 — ημων || υμων (82%) (grupa 1)+ 1100. Manuskrypt 1100 nie należy ani do grupy 1, ani do grupy 2. Jest to zmiana, która zdominowała ogólny przekaz i byłaby dokonana niemal automatycznie, gdyby kopista nie zauważył, że mówi Tercjusz, w kontekście powoduje niewielką różnicę.</w:t>
      </w:r>
    </w:p>
    <w:p>
      <w:pPr>
        <w:pStyle w:val="BodyText"/>
      </w:pPr>
      <w:r>
        <w:t xml:space="preserve">Manuskrypt 1864: 2,5 — του || --- (grupa 1) 1864. Grupa pomija rodzajnik przed „Bogiem”, lecz ponieważ przypadkiem jest dopełniacz, znaczenie nie zostaje naruszone. 16,24 — ημων || υμων (82%) (grupa 1)+ 1864. Manuskrypt 1864 należy do grupy 1. Jest to zmiana, która zdominowała ogólny przekaz i byłaby dokonana niemal automatycznie, gdyby kopista nie zauważył, że mówi Tercjusz, w kontekście powoduje niewielką różnicę.</w:t>
      </w:r>
    </w:p>
    <w:p>
      <w:pPr>
        <w:pStyle w:val="BodyText"/>
      </w:pPr>
      <w:r>
        <w:t xml:space="preserve">Manuskrypty 35, 204, 1503, 1652 i 2587 mają po trzy, zostaną omówione w tej kolejności. Manuskrypt 35: 1,27 — εξεκαυθησαν 35</w:t>
      </w:r>
      <w:r>
        <w:rPr>
          <w:vertAlign w:val="superscript"/>
        </w:rPr>
        <w:t xml:space="preserve">c</w:t>
      </w:r>
      <w:r>
        <w:t xml:space="preserve"> </w:t>
      </w:r>
      <w:r>
        <w:t xml:space="preserve">|| 1 εν (70%) 35. Przyimek jest domyślny, lecz w każdym razie wariant poprawiono. 2,4 — αυτου και της 35</w:t>
      </w:r>
      <w:r>
        <w:rPr>
          <w:vertAlign w:val="superscript"/>
        </w:rPr>
        <w:t xml:space="preserve">c</w:t>
      </w:r>
      <w:r>
        <w:t xml:space="preserve"> </w:t>
      </w:r>
      <w:r>
        <w:t xml:space="preserve">|| --- 35. Może to być przypadek homoioteleutonu, lecz w każdym razie wariant poprawiono. 15,31 — γενηται τοις αγιοις 35</w:t>
      </w:r>
      <w:r>
        <w:rPr>
          <w:vertAlign w:val="superscript"/>
        </w:rPr>
        <w:t xml:space="preserve">c</w:t>
      </w:r>
      <w:r>
        <w:t xml:space="preserve"> </w:t>
      </w:r>
      <w:r>
        <w:t xml:space="preserve">|| ~ 231 (5%) 35, 2466. Zmiana szyku słów nie wpływa na znaczenie, lecz wariant i tak poprawiono. Po uwzględnieniu poprawek manuskrypt ten jest doskonały.</w:t>
      </w:r>
    </w:p>
    <w:p>
      <w:pPr>
        <w:pStyle w:val="BodyText"/>
      </w:pPr>
      <w:r>
        <w:t xml:space="preserve">Manuskrypt 204: 2,25 — σου || 11 204. Słowo powtórzono z jednej strony karty na drugą. Jest to oczywiście niezamierzony błąd, który czytelnik automatycznie by poprawił. 6,8 — πιστευομεν || πιστευωμεν (grupa 2)+ 204. Może to być itacyzm, lecz zmienia tryb oznajmujący na łączący, co nieco osłabia siłę czasownika. Ponieważ manuskrypt 204 nie należy do grupy 2, mogło to być niezależne przeoczenie. 10,15 — ειρηνην των ευαγγελιζομενων || --- 204. Wygląda to na wyraźny przypadek homoioteleutonu, którego nie uważam za właściwy wariant, ponieważ jednak rezultat ma dobry sens, kopista najwyraźniej go nie zauważył (jest to część cytatu ze Starego Testamentu).</w:t>
      </w:r>
    </w:p>
    <w:p>
      <w:pPr>
        <w:pStyle w:val="BodyText"/>
      </w:pPr>
      <w:r>
        <w:t xml:space="preserve">Manuskrypt 1503: 2,5 — του || --- (grupa 1) 1503. Grupa pomija rodzajnik przed „Bogiem”, lecz ponieważ przypadkiem jest dopełniacz, znaczenie nie zostaje naruszone. 11,4 — 1503 powtarza ὁ z jednego wiersza w następnym. Jest to oczywiście niezamierzony błąd, który czytelnik automatycznie by poprawił. 16,24 — ημων || υμων (82%) (grupa 1)+ 1503. Manuskrypt 1503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1652: 1,15 — και || 1 εν 1652. Wygląda to na niestaranny błąd, który czytelnik prawdopodobnie by zignorował. 2,5 — του || --- (grupa 1) 1652. Grupa pomija rodzajnik przed „Bogiem”, lecz ponieważ przypadkiem jest dopełniacz, znaczenie nie zostaje naruszone. 16,24 — ημων || υμων (82%) (grupa 1)+ 1652. Manuskrypt 1652 należy do grupy 1. Jest to zmiana, która zdominowała ogólny przekaz i byłaby dokonana niemal automatycznie, gdyby kopista nie zauważył, że mówi Tercjusz, w kontekście powoduje niewielką różnicę.</w:t>
      </w:r>
    </w:p>
    <w:p>
      <w:pPr>
        <w:pStyle w:val="BodyText"/>
      </w:pPr>
      <w:r>
        <w:t xml:space="preserve">Manuskrypt 2587: 3,20 — δικαιωθησεται || δικαιουται 2587. Zmienia to osobę z liczby mnogiej na pojedynczą oraz czas z przyszłego na teraźniejszy. W kontekście znaczenie nie zostaje zmienione. 6,8 — πιστευομεν || πιστευωμεν (grupa 2)+ 2587. Może to być itacyzm, lecz zmienia tryb oznajmujący na łączący, co nieco osłabia siłę czasownika. 12,2 — μεταμορφουσθε || μεταμορφουσθαι 2587. Zmienia to tryb łączący na oznajmujący, lecz oba mają ten sam skutek, są dwoma sposobami powiedzenia tego samego.</w:t>
      </w:r>
    </w:p>
    <w:p>
      <w:pPr>
        <w:pStyle w:val="BodyText"/>
      </w:pPr>
      <w:r>
        <w:t xml:space="preserve">Manuskrypty 824, 1040, 1249, 1637 i 1858 mają po cztery, zostaną omówione w tej kolejności. Manuskrypt 824: 2,5 — του || --- (grupa 1) 824. Grupa pomija rodzajnik przed „Bogiem”, lecz ponieważ przypadkiem jest dopełniacz, znaczenie nie zostaje naruszone. 11,17 — αγριελαιος || αγριελεος 824. Wygląda to na itacyzm powodujący alternatywną pisownię. 15,14 — αλλους || αλληλους (7%) 824. „Napominajcie jedni drugich” być może wydawało się bardziej naturalne niż „napominajcie innych”, lecz różnica znaczeniowa jest niewielka. 16,24 — ημων || υμων (82%) (grupa 1)+ 824. Manuskrypt 824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1040: 11,17 — πιοτητος || ποιοτητος 1040, 1072</w:t>
      </w:r>
      <w:r>
        <w:rPr>
          <w:vertAlign w:val="superscript"/>
        </w:rPr>
        <w:t xml:space="preserve">c</w:t>
      </w:r>
      <w:r>
        <w:t xml:space="preserve">, 1548. Wygląda to na niestaranny błąd pisowni, ponieważ rezultat nie jest słowem. W kontekście czytelnik dokonałby koniecznej poprawki. 15,2 — ημων || υμων (22%) 1040. O „naturalności” tej zmiany świadczy 22%, lecz w kontekście powoduje niewielką różnicę. 15,7 — ημας || υμας (38%) 757</w:t>
      </w:r>
      <w:r>
        <w:rPr>
          <w:vertAlign w:val="superscript"/>
        </w:rPr>
        <w:t xml:space="preserve">c</w:t>
      </w:r>
      <w:r>
        <w:t xml:space="preserve">, 1040. O „naturalności” tej zmiany również świadczy 38%, lecz w kontekście powoduje niewielką różnicę. 16,24 — ημων || υμων (82%) (grupa 1)+ 1040. Manuskrypt 1040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1249: 2,14 — ποιη || ποιει 1249. Chociaż był to prawdopodobnie itacyzm, zmienia tryb, lecz znaczenie nie zostaje naruszone. 9,12 — τω || το 1249. Wygląda to na kolejny itacyzm, lecz błędnie zmienia przypadek. Czytelnik dokonałby koniecznej poprawki, a ponieważ obie formy wymawia się tak samo, słuchacz zrozumiałby poprawnie. 9,20 — το || τω 1249, 1876. Wygląda to na odwrotny itacyzm, zobacz uwagę wyżej.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 wariant jednak poprawiono.</w:t>
      </w:r>
    </w:p>
    <w:p>
      <w:pPr>
        <w:pStyle w:val="BodyText"/>
      </w:pPr>
      <w:r>
        <w:t xml:space="preserve">Manuskrypt 1637: 2,5 — του || --- (grupa 1) 1637. Grupa pomija rodzajnik przed „Bogiem”, lecz ponieważ przypadkiem jest dopełniacz, znaczenie nie zostaje naruszone. 15,20 — δε || --- 1637. Wygląda to na niestaranne pominięcie, które nie wpływa na znaczenie. 16,2 — και || 11 1637. Jest to niestaranny błąd, słowo powtórzono z jednego wiersza w następnym. Czytelnik automatycznie by go poprawił. 16,24 — ημων || υμων (82%) (grupa 1)+ 1637. Manuskrypt 1637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1858: 1,25 — κτισει || κτιση 1858. Wygląda to na itacyzm powodujący błąd pisowni, czytelnik dokonałby koniecznej poprawki. 2,15 — κατηγορουντων || κατοιγορουντων 1858. Powtórz poprzednią uwagę. 6,8 — πιστευομεν || πιστευωμεν (grupa 2)+ 1858. Może to być itacyzm, lecz zmienia tryb oznajmujący na łączący, co nieco osłabia siłę czasownika. 8,28 — εις || 1 το (27%) 986, 1732</w:t>
      </w:r>
      <w:r>
        <w:rPr>
          <w:vertAlign w:val="superscript"/>
        </w:rPr>
        <w:t xml:space="preserve">c</w:t>
      </w:r>
      <w:r>
        <w:t xml:space="preserve">, 1858. Rodzajnik nie jest potrzebny, lecz powoduje niewielką różnicę.</w:t>
      </w:r>
    </w:p>
    <w:p>
      <w:pPr>
        <w:pStyle w:val="BodyText"/>
      </w:pPr>
      <w:r>
        <w:t xml:space="preserve">Spośród łącznie czterdziestu trzech wariantów u osiemnastu manuskryptów w całym Liście do Rzymian</w:t>
      </w:r>
      <w:r>
        <w:rPr>
          <w:rStyle w:val="FootnoteReference"/>
        </w:rPr>
        <w:footnoteReference w:id="294"/>
      </w:r>
      <w:r>
        <w:t xml:space="preserve"> </w:t>
      </w:r>
      <w:r>
        <w:t xml:space="preserve">pięć poprawiono, pozostaje więc trzydzieści osiem. Co najmniej dziesięć nie jest właściwymi wariantami, pozostaje więc dwadzieścia osiem. Trzynaście to powtórzenia wspólnego wariantu, pozostaje więc piętnaście.</w:t>
      </w:r>
      <w:r>
        <w:rPr>
          <w:rStyle w:val="FootnoteReference"/>
        </w:rPr>
        <w:footnoteReference w:id="295"/>
      </w:r>
      <w:r>
        <w:t xml:space="preserve"> </w:t>
      </w:r>
      <w:r>
        <w:t xml:space="preserve">Ponad 30 spośród 43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w:t>
      </w:r>
      <w:r>
        <w:t xml:space="preserve"> </w:t>
      </w:r>
      <w:r>
        <w:rPr>
          <w:u w:val="single"/>
        </w:rPr>
        <w:t xml:space="preserve">współczynnika staranności kopisty</w:t>
      </w:r>
      <w:r>
        <w:t xml:space="preserve">.</w:t>
      </w:r>
    </w:p>
    <w:bookmarkEnd w:id="296"/>
    <w:bookmarkStart w:id="297" w:name="spostrzeżenia-1"/>
    <w:p>
      <w:pPr>
        <w:pStyle w:val="Heading4"/>
      </w:pPr>
      <w:r>
        <w:rPr>
          <w:iCs/>
          <w:i/>
        </w:rPr>
        <w:t xml:space="preserve">Spostrzeżenia</w:t>
      </w:r>
    </w:p>
    <w:p>
      <w:pPr>
        <w:numPr>
          <w:ilvl w:val="0"/>
          <w:numId w:val="1018"/>
        </w:numPr>
      </w:pPr>
      <w:r>
        <w:t xml:space="preserve">Dwie trzecie skolacjonowanych wyżej manuskryptów nie ma wariantów spoza rodziny = brak domieszki. Mnisi wiernie odtwarzali to, co mieli przed sobą.</w:t>
      </w:r>
    </w:p>
    <w:p>
      <w:pPr>
        <w:numPr>
          <w:ilvl w:val="0"/>
          <w:numId w:val="1018"/>
        </w:numPr>
      </w:pPr>
      <w:r>
        <w:t xml:space="preserve">Trzy manuskrypty z XI wieku wyraźnie odzwierciedlają odrębne egzemplarze (które same prawdopodobnie miały odrębne egzemplarze), archetyp z pewnością istniał więc w okresie uncjalnym.</w:t>
      </w:r>
    </w:p>
    <w:p>
      <w:pPr>
        <w:numPr>
          <w:ilvl w:val="0"/>
          <w:numId w:val="1018"/>
        </w:numPr>
      </w:pPr>
      <w:r>
        <w:t xml:space="preserve">Chociaż precyzyjny profil archetypu jest jasny, jasne jest również, że zachowane manuskrypty odzwierciedlają pewną liczbę odrębnych linii przekazu w obrębie rodziny.</w:t>
      </w:r>
    </w:p>
    <w:p>
      <w:pPr>
        <w:numPr>
          <w:ilvl w:val="0"/>
          <w:numId w:val="1018"/>
        </w:numPr>
      </w:pPr>
      <w:r>
        <w:t xml:space="preserve">Każda próba odtworzenia drzewa rodziny będzie wymagała postulowania sporej liczby węzłów pośrednich, które równie dobrze mogą być oddzielone od siebie stuleciami.</w:t>
      </w:r>
    </w:p>
    <w:p>
      <w:pPr>
        <w:numPr>
          <w:ilvl w:val="0"/>
          <w:numId w:val="1018"/>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97"/>
    <w:bookmarkEnd w:id="298"/>
    <w:bookmarkStart w:id="299" w:name="postscriptum"/>
    <w:p>
      <w:pPr>
        <w:pStyle w:val="Heading3"/>
      </w:pPr>
      <w:r>
        <w:t xml:space="preserve">Postscriptum</w:t>
      </w:r>
    </w:p>
    <w:p>
      <w:pPr>
        <w:pStyle w:val="FirstParagraph"/>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 tekst</w:t>
      </w:r>
      <w:r>
        <w:t xml:space="preserve"> </w:t>
      </w:r>
      <w:r>
        <w:rPr>
          <w:bCs/>
          <w:b/>
        </w:rPr>
        <w:t xml:space="preserve">f</w:t>
      </w:r>
      <w:r>
        <w:rPr>
          <w:vertAlign w:val="superscript"/>
          <w:bCs/>
          <w:b/>
        </w:rPr>
        <w:t xml:space="preserve">35</w:t>
      </w:r>
      <w:r>
        <w:t xml:space="preserve"> </w:t>
      </w:r>
      <w:r>
        <w:t xml:space="preserve">jest starożytny (a także niezależny).</w:t>
      </w:r>
    </w:p>
    <w:p>
      <w:pPr>
        <w:pStyle w:val="BodyText"/>
      </w:pPr>
      <w:r>
        <w:t xml:space="preserve">Twierdzę, że wykazałem wyższość Rodziny 35 na podstawie wielkości (liczby przedstawicieli), niezależności, wieku, rozmieszczenia geograficznego, profilu (ustalonego empirycznie), staranności (zobacz wyżej) oraz zakresu (wszystkie 27 ksiąg). Rzucam każdemu i wszystkim wyzwanie, aby uczynili to samo dla jakiejkolwiek innej linii przekazu!</w:t>
      </w:r>
    </w:p>
    <w:bookmarkEnd w:id="299"/>
    <w:bookmarkEnd w:id="300"/>
    <w:bookmarkStart w:id="314" w:name="niewiarygodnie-staranny-przekaz-2"/>
    <w:p>
      <w:pPr>
        <w:pStyle w:val="Heading2"/>
      </w:pPr>
      <w:r>
        <w:t xml:space="preserve">Niewiarygodnie staranny przekaz</w:t>
      </w:r>
    </w:p>
    <w:p>
      <w:pPr>
        <w:pStyle w:val="FirstParagraph"/>
      </w:pPr>
      <w:r>
        <w:t xml:space="preserve">Ta część koncentruje się na Listach do Tesaloniczan, które powszechnie uważa się za pierwsze kanoniczne pisma apostoła Pawła (przynajmniej w kręgach konserwatywnych). Jeśli tak było, jego prestiż i autorytet jako apostoła nie osiągnęłyby jeszcze pełnej miary, a w konsekwencji tak wczesnym pismom mogło nie być okazywane tyle szacunku, co późniejszym. W miarę kolacjonowania kolejnych manuskryptów</w:t>
      </w:r>
      <w:r>
        <w:t xml:space="preserve"> </w:t>
      </w:r>
      <w:r>
        <w:rPr>
          <w:bCs/>
          <w:b/>
        </w:rPr>
        <w:t xml:space="preserve">f</w:t>
      </w:r>
      <w:r>
        <w:rPr>
          <w:vertAlign w:val="superscript"/>
          <w:bCs/>
          <w:b/>
        </w:rPr>
        <w:t xml:space="preserve">35</w:t>
      </w:r>
      <w:r>
        <w:t xml:space="preserve"> </w:t>
      </w:r>
      <w:r>
        <w:t xml:space="preserve">zaskakiwał mnie odmienny obraz. Skolacjonowałem następujących trzydziestu czterech przedstawicieli rodziny i zwracam uwagę na wyniki.</w:t>
      </w:r>
    </w:p>
    <w:bookmarkStart w:id="304" w:name="X9f5c359d61fbf94cb441b0708c24e54c089360f"/>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Listach do Tesaloniczan</w:t>
      </w:r>
    </w:p>
    <w:tbl>
      <w:tblPr>
        <w:tblStyle w:val="Table"/>
        <w:tblW w:type="pct" w:w="5000"/>
        <w:tblLook w:firstRow="1" w:lastRow="0" w:firstColumn="0" w:lastColumn="0" w:noHBand="0" w:noVBand="0" w:val="0020"/>
        <w:jc w:val="start"/>
      </w:tblPr>
      <w:tblGrid>
        <w:gridCol w:w="1131"/>
        <w:gridCol w:w="1414"/>
        <w:gridCol w:w="1414"/>
        <w:gridCol w:w="1131"/>
        <w:gridCol w:w="1414"/>
        <w:gridCol w:w="1414"/>
      </w:tblGrid>
      <w:tr>
        <w:trPr>
          <w:tblHeader w:val="true"/>
        </w:trPr>
        <w:tc>
          <w:tcPr/>
          <w:p>
            <w:pPr>
              <w:pStyle w:val="Compact"/>
              <w:jc w:val="right"/>
            </w:pPr>
            <w:r>
              <w:rPr>
                <w:bCs/>
                <w:b/>
              </w:rPr>
              <w:t xml:space="preserve">Manuskrypt</w:t>
            </w:r>
          </w:p>
        </w:tc>
        <w:tc>
          <w:tcPr/>
          <w:p>
            <w:pPr>
              <w:pStyle w:val="Compact"/>
              <w:jc w:val="center"/>
            </w:pPr>
            <w:r>
              <w:t xml:space="preserve">1 List do Tesaloniczan</w:t>
            </w:r>
          </w:p>
        </w:tc>
        <w:tc>
          <w:tcPr/>
          <w:p>
            <w:pPr>
              <w:pStyle w:val="Compact"/>
              <w:jc w:val="center"/>
            </w:pPr>
            <w:r>
              <w:t xml:space="preserve">2 List do Tesaloniczan</w:t>
            </w:r>
          </w:p>
        </w:tc>
        <w:tc>
          <w:tcPr/>
          <w:p>
            <w:pPr>
              <w:pStyle w:val="Compact"/>
              <w:jc w:val="left"/>
            </w:pPr>
            <w:r>
              <w:t xml:space="preserve">Miejsce</w:t>
            </w:r>
          </w:p>
        </w:tc>
        <w:tc>
          <w:tcPr/>
          <w:p>
            <w:pPr>
              <w:pStyle w:val="Compact"/>
              <w:jc w:val="center"/>
            </w:pPr>
            <w:r>
              <w:t xml:space="preserve">Data</w:t>
            </w:r>
            <w:r>
              <w:rPr>
                <w:rStyle w:val="FootnoteReference"/>
              </w:rPr>
              <w:footnoteReference w:id="301"/>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r>
              <w:rPr>
                <w:rStyle w:val="FootnoteReference"/>
              </w:rPr>
              <w:footnoteReference w:id="302"/>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w:t>
            </w:r>
          </w:p>
        </w:tc>
        <w:tc>
          <w:tcPr/>
          <w:p>
            <w:pPr>
              <w:pStyle w:val="Compact"/>
              <w:jc w:val="left"/>
            </w:pPr>
            <w:r>
              <w:t xml:space="preserve">obszar egejski</w:t>
            </w:r>
            <w:r>
              <w:rPr>
                <w:rStyle w:val="FootnoteReference"/>
              </w:rPr>
              <w:footnoteReference w:id="303"/>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201</w:t>
            </w:r>
          </w:p>
        </w:tc>
        <w:tc>
          <w:tcPr/>
          <w:p>
            <w:pPr>
              <w:pStyle w:val="Compact"/>
              <w:jc w:val="center"/>
            </w:pPr>
            <w:r>
              <w:t xml:space="preserve">2y, 2/</w:t>
            </w:r>
          </w:p>
        </w:tc>
        <w:tc>
          <w:tcPr/>
          <w:p>
            <w:pPr>
              <w:pStyle w:val="Compact"/>
              <w:jc w:val="center"/>
            </w:pPr>
            <w:r>
              <w:t xml:space="preserve">2x</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2x, 2y, 2/</w:t>
            </w:r>
          </w:p>
        </w:tc>
      </w:tr>
      <w:tr>
        <w:tc>
          <w:tcPr/>
          <w:p>
            <w:pPr>
              <w:pStyle w:val="Compact"/>
              <w:jc w:val="right"/>
            </w:pPr>
            <w:r>
              <w:t xml:space="preserve">204</w:t>
            </w:r>
          </w:p>
        </w:tc>
        <w:tc>
          <w:tcPr/>
          <w:p>
            <w:pPr>
              <w:pStyle w:val="Compact"/>
              <w:jc w:val="center"/>
            </w:pPr>
            <w:r>
              <w:t xml:space="preserve">1</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328</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386</w:t>
            </w:r>
          </w:p>
        </w:tc>
        <w:tc>
          <w:tcPr/>
          <w:p>
            <w:pPr>
              <w:pStyle w:val="Compact"/>
              <w:jc w:val="center"/>
            </w:pPr>
            <w:r>
              <w:t xml:space="preserve">1y, 1/, 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1y, 1/</w:t>
            </w:r>
          </w:p>
        </w:tc>
      </w:tr>
      <w:tr>
        <w:tc>
          <w:tcPr/>
          <w:p>
            <w:pPr>
              <w:pStyle w:val="Compact"/>
              <w:jc w:val="right"/>
            </w:pPr>
            <w:r>
              <w:t xml:space="preserve">394</w:t>
            </w:r>
          </w:p>
        </w:tc>
        <w:tc>
          <w:tcPr/>
          <w:p>
            <w:pPr>
              <w:pStyle w:val="Compact"/>
              <w:jc w:val="center"/>
            </w:pPr>
            <w:r>
              <w:t xml:space="preserve">1s</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444</w:t>
            </w:r>
          </w:p>
        </w:tc>
        <w:tc>
          <w:tcPr/>
          <w:p>
            <w:pPr>
              <w:pStyle w:val="Compact"/>
              <w:jc w:val="center"/>
            </w:pPr>
            <w:r>
              <w:t xml:space="preserve">1s</w:t>
            </w:r>
          </w:p>
        </w:tc>
        <w:tc>
          <w:tcPr/>
          <w:p>
            <w:pPr>
              <w:pStyle w:val="Compact"/>
              <w:jc w:val="center"/>
            </w:pPr>
            <w:r>
              <w:t xml:space="preserve">2s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 1y</w:t>
            </w:r>
          </w:p>
        </w:tc>
        <w:tc>
          <w:tcPr/>
          <w:p>
            <w:pPr>
              <w:pStyle w:val="Compact"/>
              <w:jc w:val="center"/>
            </w:pPr>
            <w:r>
              <w:t xml:space="preserve">1s</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1y</w:t>
            </w:r>
          </w:p>
        </w:tc>
      </w:tr>
      <w:tr>
        <w:tc>
          <w:tcPr/>
          <w:p>
            <w:pPr>
              <w:pStyle w:val="Compact"/>
              <w:jc w:val="right"/>
            </w:pPr>
            <w:r>
              <w:t xml:space="preserve">757</w:t>
            </w:r>
          </w:p>
        </w:tc>
        <w:tc>
          <w:tcPr/>
          <w:p>
            <w:pPr>
              <w:pStyle w:val="Compact"/>
              <w:jc w:val="center"/>
            </w:pPr>
            <w:r>
              <w:t xml:space="preserve">1s</w:t>
            </w:r>
          </w:p>
        </w:tc>
        <w:tc>
          <w:tcPr/>
          <w:p>
            <w:pPr>
              <w:pStyle w:val="Compact"/>
              <w:jc w:val="center"/>
            </w:pPr>
            <w:r>
              <w:t xml:space="preserve">1y, 1c</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1y</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1i</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1i</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1x, 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1100</w:t>
            </w:r>
          </w:p>
        </w:tc>
        <w:tc>
          <w:tcPr/>
          <w:p>
            <w:pPr>
              <w:pStyle w:val="Compact"/>
              <w:jc w:val="center"/>
            </w:pPr>
            <w:r>
              <w:t xml:space="preserve">1y, 1s</w:t>
            </w:r>
          </w:p>
        </w:tc>
        <w:tc>
          <w:tcPr/>
          <w:p>
            <w:pPr>
              <w:pStyle w:val="Compact"/>
              <w:jc w:val="center"/>
            </w:pPr>
            <w:r>
              <w:t xml:space="preserve">1y</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2y</w:t>
            </w:r>
          </w:p>
        </w:tc>
      </w:tr>
      <w:tr>
        <w:tc>
          <w:tcPr/>
          <w:p>
            <w:pPr>
              <w:pStyle w:val="Compact"/>
              <w:jc w:val="right"/>
            </w:pPr>
            <w:r>
              <w:t xml:space="preserve">1248</w:t>
            </w:r>
          </w:p>
        </w:tc>
        <w:tc>
          <w:tcPr/>
          <w:p>
            <w:pPr>
              <w:pStyle w:val="Compact"/>
              <w:jc w:val="center"/>
            </w:pPr>
            <w:r>
              <w:t xml:space="preserve">3x, 1/, 4s</w:t>
            </w:r>
          </w:p>
        </w:tc>
        <w:tc>
          <w:tcPr/>
          <w:p>
            <w:pPr>
              <w:pStyle w:val="Compact"/>
              <w:jc w:val="center"/>
            </w:pPr>
            <w:r>
              <w:t xml:space="preserve">2s, 2i</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3x, 1/</w:t>
            </w:r>
          </w:p>
        </w:tc>
      </w:tr>
      <w:tr>
        <w:tc>
          <w:tcPr/>
          <w:p>
            <w:pPr>
              <w:pStyle w:val="Compact"/>
              <w:jc w:val="right"/>
            </w:pPr>
            <w:r>
              <w:t xml:space="preserve">1249</w:t>
            </w:r>
          </w:p>
        </w:tc>
        <w:tc>
          <w:tcPr/>
          <w:p>
            <w:pPr>
              <w:pStyle w:val="Compact"/>
              <w:jc w:val="center"/>
            </w:pPr>
            <w:r>
              <w:t xml:space="preserve">1y</w:t>
            </w:r>
          </w:p>
        </w:tc>
        <w:tc>
          <w:tcPr/>
          <w:p>
            <w:pPr>
              <w:pStyle w:val="Compact"/>
              <w:jc w:val="center"/>
            </w:pPr>
            <w:r>
              <w:t xml:space="preserve">---</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1y</w:t>
            </w:r>
          </w:p>
        </w:tc>
      </w:tr>
      <w:tr>
        <w:tc>
          <w:tcPr/>
          <w:p>
            <w:pPr>
              <w:pStyle w:val="Compact"/>
              <w:jc w:val="right"/>
            </w:pPr>
            <w:r>
              <w:t xml:space="preserve">1503</w:t>
            </w:r>
          </w:p>
        </w:tc>
        <w:tc>
          <w:tcPr/>
          <w:p>
            <w:pPr>
              <w:pStyle w:val="Compact"/>
              <w:jc w:val="center"/>
            </w:pPr>
            <w:r>
              <w:t xml:space="preserve">2s</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2x, 1s</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2x</w:t>
            </w:r>
          </w:p>
        </w:tc>
      </w:tr>
      <w:tr>
        <w:tc>
          <w:tcPr/>
          <w:p>
            <w:pPr>
              <w:pStyle w:val="Compact"/>
              <w:jc w:val="right"/>
            </w:pPr>
            <w:r>
              <w:t xml:space="preserve">1637</w:t>
            </w:r>
          </w:p>
        </w:tc>
        <w:tc>
          <w:tcPr/>
          <w:p>
            <w:pPr>
              <w:pStyle w:val="Compact"/>
              <w:jc w:val="center"/>
            </w:pPr>
            <w:r>
              <w:t xml:space="preserve">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1/</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1y, 2s</w:t>
            </w:r>
          </w:p>
        </w:tc>
        <w:tc>
          <w:tcPr/>
          <w:p>
            <w:pPr>
              <w:pStyle w:val="Compact"/>
              <w:jc w:val="center"/>
            </w:pPr>
            <w:r>
              <w:t xml:space="preserve">1/</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1y, 1/</w:t>
            </w:r>
          </w:p>
        </w:tc>
      </w:tr>
      <w:tr>
        <w:tc>
          <w:tcPr/>
          <w:p>
            <w:pPr>
              <w:pStyle w:val="Compact"/>
              <w:jc w:val="right"/>
            </w:pPr>
            <w:r>
              <w:t xml:space="preserve">1761</w:t>
            </w:r>
          </w:p>
        </w:tc>
        <w:tc>
          <w:tcPr/>
          <w:p>
            <w:pPr>
              <w:pStyle w:val="Compact"/>
              <w:jc w:val="center"/>
            </w:pPr>
            <w:r>
              <w:t xml:space="preserve">2x, 2y, 1s</w:t>
            </w:r>
          </w:p>
        </w:tc>
        <w:tc>
          <w:tcPr/>
          <w:p>
            <w:pPr>
              <w:pStyle w:val="Compact"/>
              <w:jc w:val="center"/>
            </w:pPr>
            <w:r>
              <w:t xml:space="preserve">1s, 1i</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2x, 2y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1c</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1876</w:t>
            </w:r>
          </w:p>
        </w:tc>
        <w:tc>
          <w:tcPr/>
          <w:p>
            <w:pPr>
              <w:pStyle w:val="Compact"/>
              <w:jc w:val="center"/>
            </w:pPr>
            <w:r>
              <w:t xml:space="preserve">4y, 1/</w:t>
            </w:r>
          </w:p>
        </w:tc>
        <w:tc>
          <w:tcPr/>
          <w:p>
            <w:pPr>
              <w:pStyle w:val="Compact"/>
              <w:jc w:val="center"/>
            </w:pPr>
            <w:r>
              <w:t xml:space="preserve">1y, 1/</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5y, 2/</w:t>
            </w:r>
          </w:p>
        </w:tc>
      </w:tr>
      <w:tr>
        <w:tc>
          <w:tcPr/>
          <w:p>
            <w:pPr>
              <w:pStyle w:val="Compact"/>
              <w:jc w:val="right"/>
            </w:pPr>
            <w:r>
              <w:t xml:space="preserve">1892</w:t>
            </w:r>
          </w:p>
        </w:tc>
        <w:tc>
          <w:tcPr/>
          <w:p>
            <w:pPr>
              <w:pStyle w:val="Compact"/>
              <w:jc w:val="center"/>
            </w:pPr>
            <w:r>
              <w:t xml:space="preserve">10s</w:t>
            </w:r>
          </w:p>
        </w:tc>
        <w:tc>
          <w:tcPr/>
          <w:p>
            <w:pPr>
              <w:pStyle w:val="Compact"/>
              <w:jc w:val="center"/>
            </w:pPr>
            <w:r>
              <w:t xml:space="preserve">3s</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1897</w:t>
            </w:r>
          </w:p>
        </w:tc>
        <w:tc>
          <w:tcPr/>
          <w:p>
            <w:pPr>
              <w:pStyle w:val="Compact"/>
              <w:jc w:val="center"/>
            </w:pPr>
            <w:r>
              <w:t xml:space="preserve">1/, 1c</w:t>
            </w:r>
          </w:p>
        </w:tc>
        <w:tc>
          <w:tcPr/>
          <w:p>
            <w:pPr>
              <w:pStyle w:val="Compact"/>
              <w:jc w:val="center"/>
            </w:pPr>
            <w:r>
              <w:t xml:space="preserve">3s, 1h</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2466</w:t>
            </w:r>
          </w:p>
        </w:tc>
        <w:tc>
          <w:tcPr/>
          <w:p>
            <w:pPr>
              <w:pStyle w:val="Compact"/>
              <w:jc w:val="center"/>
            </w:pPr>
            <w:r>
              <w:t xml:space="preserve">1x, 2y, 1s</w:t>
            </w:r>
          </w:p>
        </w:tc>
        <w:tc>
          <w:tcPr/>
          <w:p>
            <w:pPr>
              <w:pStyle w:val="Compact"/>
              <w:jc w:val="center"/>
            </w:pPr>
            <w:r>
              <w:t xml:space="preserve">1s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1x, 2y</w:t>
            </w:r>
          </w:p>
        </w:tc>
      </w:tr>
      <w:tr>
        <w:tc>
          <w:tcPr/>
          <w:p>
            <w:pPr>
              <w:pStyle w:val="Compact"/>
              <w:jc w:val="right"/>
            </w:pPr>
            <w:r>
              <w:t xml:space="preserve">2554</w:t>
            </w:r>
          </w:p>
        </w:tc>
        <w:tc>
          <w:tcPr/>
          <w:p>
            <w:pPr>
              <w:pStyle w:val="Compact"/>
              <w:jc w:val="center"/>
            </w:pPr>
            <w:r>
              <w:t xml:space="preserve">1c</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x</w:t>
            </w:r>
          </w:p>
        </w:tc>
        <w:tc>
          <w:tcPr/>
          <w:p>
            <w:pPr>
              <w:pStyle w:val="Compact"/>
              <w:jc w:val="left"/>
            </w:pPr>
            <w:r>
              <w:t xml:space="preserve">niepoprawiony wariant poświadczony przez manuskrypty spoza rodziny</w:t>
            </w:r>
          </w:p>
        </w:tc>
      </w:tr>
      <w:tr>
        <w:tc>
          <w:tcPr/>
          <w:p>
            <w:pPr>
              <w:pStyle w:val="Compact"/>
              <w:jc w:val="center"/>
            </w:pPr>
            <w:r>
              <w:t xml:space="preserve">y</w:t>
            </w:r>
          </w:p>
        </w:tc>
        <w:tc>
          <w:tcPr/>
          <w:p>
            <w:pPr>
              <w:pStyle w:val="Compact"/>
              <w:jc w:val="left"/>
            </w:pPr>
            <w:r>
              <w:t xml:space="preserve">podział, który nie ogranicza się do rodziny</w:t>
            </w:r>
          </w:p>
        </w:tc>
      </w:tr>
      <w:tr>
        <w:tc>
          <w:tcPr/>
          <w:p>
            <w:pPr>
              <w:pStyle w:val="Compact"/>
              <w:jc w:val="center"/>
            </w:pPr>
            <w:r>
              <w:t xml:space="preserve">/</w:t>
            </w:r>
          </w:p>
        </w:tc>
        <w:tc>
          <w:tcPr/>
          <w:p>
            <w:pPr>
              <w:pStyle w:val="Compact"/>
              <w:jc w:val="left"/>
            </w:pPr>
            <w:r>
              <w:t xml:space="preserve">podział w obrębie rodziny (bez poświadczenia zewnętrznego)</w:t>
            </w:r>
          </w:p>
        </w:tc>
      </w:tr>
      <w:tr>
        <w:tc>
          <w:tcPr/>
          <w:p>
            <w:pPr>
              <w:pStyle w:val="Compact"/>
              <w:jc w:val="center"/>
            </w:pPr>
            <w:r>
              <w:t xml:space="preserve">c</w:t>
            </w:r>
          </w:p>
        </w:tc>
        <w:tc>
          <w:tcPr/>
          <w:p>
            <w:pPr>
              <w:pStyle w:val="Compact"/>
              <w:jc w:val="left"/>
            </w:pPr>
            <w:r>
              <w:t xml:space="preserve">wszelkiego rodzaju wariant poprawiony do domniemanego archetypu</w:t>
            </w:r>
          </w:p>
        </w:tc>
      </w:tr>
      <w:tr>
        <w:tc>
          <w:tcPr/>
          <w:p>
            <w:pPr>
              <w:pStyle w:val="Compact"/>
              <w:jc w:val="center"/>
            </w:pPr>
            <w:r>
              <w:t xml:space="preserve">s</w:t>
            </w:r>
          </w:p>
        </w:tc>
        <w:tc>
          <w:tcPr/>
          <w:p>
            <w:pPr>
              <w:pStyle w:val="Compact"/>
              <w:jc w:val="left"/>
            </w:pPr>
            <w:r>
              <w:t xml:space="preserve">odczyt singularny / wariant prywatny (dopóki wszystkie manuskrypty nie zostaną skolacjonowane, jest to tylko założenie)</w:t>
            </w:r>
          </w:p>
        </w:tc>
      </w:tr>
      <w:tr>
        <w:tc>
          <w:tcPr/>
          <w:p>
            <w:pPr>
              <w:pStyle w:val="Compact"/>
              <w:jc w:val="center"/>
            </w:pPr>
            <w:r>
              <w:t xml:space="preserve">h</w:t>
            </w:r>
          </w:p>
        </w:tc>
        <w:tc>
          <w:tcPr/>
          <w:p>
            <w:pPr>
              <w:pStyle w:val="Compact"/>
              <w:jc w:val="left"/>
            </w:pPr>
            <w:r>
              <w:t xml:space="preserve">oczywisty przypadek homoioteleutonu (lub homoioarktonu), często obejmujący wiersz lub więcej, ale może obejmować tylko trzy lub cztery słowa</w:t>
            </w:r>
          </w:p>
        </w:tc>
      </w:tr>
      <w:tr>
        <w:tc>
          <w:tcPr/>
          <w:p>
            <w:pPr>
              <w:pStyle w:val="Compact"/>
              <w:jc w:val="center"/>
            </w:pPr>
            <w:r>
              <w:t xml:space="preserve">i</w:t>
            </w:r>
          </w:p>
        </w:tc>
        <w:tc>
          <w:tcPr/>
          <w:p>
            <w:pPr>
              <w:pStyle w:val="Compact"/>
              <w:jc w:val="left"/>
            </w:pPr>
            <w:r>
              <w:t xml:space="preserve">zwykła nieuwaga</w:t>
            </w:r>
          </w:p>
        </w:tc>
      </w:tr>
      <w:tr>
        <w:tc>
          <w:tcPr/>
          <w:p>
            <w:pPr>
              <w:pStyle w:val="Compact"/>
              <w:jc w:val="center"/>
            </w:pPr>
            <w:r>
              <w:t xml:space="preserve">---</w:t>
            </w:r>
          </w:p>
        </w:tc>
        <w:tc>
          <w:tcPr/>
          <w:p>
            <w:pPr>
              <w:pStyle w:val="Compact"/>
              <w:jc w:val="left"/>
            </w:pPr>
            <w:r>
              <w:t xml:space="preserve">brak odejść od domniemanego profilu</w:t>
            </w:r>
          </w:p>
        </w:tc>
      </w:tr>
    </w:tbl>
    <w:bookmarkEnd w:id="304"/>
    <w:bookmarkStart w:id="308" w:name="konsekwencje"/>
    <w:p>
      <w:pPr>
        <w:pStyle w:val="Heading3"/>
      </w:pPr>
      <w:r>
        <w:rPr>
          <w:iCs/>
          <w:i/>
        </w:rPr>
        <w:t xml:space="preserve">Konsekwencje</w:t>
      </w:r>
    </w:p>
    <w:p>
      <w:pPr>
        <w:pStyle w:val="FirstParagraph"/>
      </w:pPr>
      <w:r>
        <w:t xml:space="preserve">Zacznę od ostatniej kolumny tabeli, „Egzemplarz”. Z wyjątkiem 18, 928, 1864 i 2723, które same są doskonałe, większość pozostałych ma inną ocenę. Wszystkie odczyty singularne należy pominąć (łącznie z homoioteleutonem i nieuwagą), jeśli nie wprowadził ich kopista, uczynił to „ojciec” lub „dziadek” — któryś przodek był wolny od wszystkich „odczytów singularnych”, nie wnoszą więc one niczego do historii przekazu i nie są istotne dla śledzenia tego przekazu. Należy również pominąć wszystkie warianty poprawione do domniemanego profilu rodziny — ktokolwiek dokonał poprawki, uczynił to na podstawie poprawnego egzemplarza (poprawnego w tym miejscu). Egzemplarzowi przypisuję więc jedynie „x”, „y” i „/” — oczywiście niektóre z nich również mogły być dziełem kopisty, co czyniłoby egzemplarz jeszcze lepszym, lecz nie mam sposobu ustalenia, kiedy to nastąpiło.</w:t>
      </w:r>
    </w:p>
    <w:p>
      <w:pPr>
        <w:pStyle w:val="BodyText"/>
      </w:pPr>
      <w:r>
        <w:t xml:space="preserve">Zauważ, że spośród trzydziestu czterech manuskryptów szesnaście ich egzemplarzy (prawie połowa) było „doskonałych”, a kolejnych sześć różniło się tylko jednym wariantem (najgorszy różnił się zaledwie siedmioma w dwóch księgach). Gdyby nie było odłamów, moglibyśmy patrzeć na trzydzieści cztery niezależne linie przekazu w obrębie rodziny, co jest dla mnie po prostu fantastyczne.</w:t>
      </w:r>
      <w:r>
        <w:rPr>
          <w:rStyle w:val="FootnoteReference"/>
        </w:rPr>
        <w:footnoteReference w:id="305"/>
      </w:r>
      <w:r>
        <w:t xml:space="preserve"> </w:t>
      </w:r>
      <w:r>
        <w:t xml:space="preserve">A co z odłamami? W 1 Liście do Tesaloniczan jest kilka bardzo drobnych, a w 2 Liście do Tesaloniczan zaledwie kilka par.</w:t>
      </w:r>
    </w:p>
    <w:p>
      <w:pPr>
        <w:pStyle w:val="BodyText"/>
      </w:pPr>
      <w:r>
        <w:t xml:space="preserve">Wnioskuję, że wszystkie trzydzieści cztery manuskrypty były niezależne w swoim pokoleniu i nie widzę dowodów wskazujących na inny wniosek w odniesieniu do ich egzemplarzy. Proszę zauważyć, że nie twierdzę, iż wszystkie trzydzieści cztery linie pozostają odrębne przez całą drogę aż do archetypu. Chętnie przyznaję, że zanim dotrzemy z powrotem do źródła, wystąpiłaby pewna liczba zbieżności. Jakkolwiek by było, patrzymy na bardzo staranny przekaz.</w:t>
      </w:r>
    </w:p>
    <w:p>
      <w:pPr>
        <w:pStyle w:val="BodyText"/>
      </w:pPr>
      <w:r>
        <w:t xml:space="preserve">Teraz zwracam uwagę na miejsce. Manuskrypty pochodzą z całego świata śródziemnomorskiego. Trzynaście manuskryptów z góry Athos z pewnością sporządzono w ich odpowiednich klasztorach (siedmiu). Ponieważ polityka kościelna ma skłonność być tym, czym ma skłonność być, niewielkie jest prawdopodobieństwo, że między klasztorami istniała zmowa w sprawie przekazywania pism Nowego Testamentu — uważam, że tych trzynaście reprezentuje tyle samo egzemplarzy. Manuskrypty z Trikali, Patmos, Jerozolimy i Synaju przypuszczalnie sporządzono w tych miejscach, rękopis kursywny 18 z pewnością sporządzono w Konstantynopolu, a rękopis kursywny 35 pozyskano na obszarze egejskim. Manuskrypty znajdujące się w Watykanie i Grottaferracie równie dobrze mogły zostać tam sporządzone.</w:t>
      </w:r>
    </w:p>
    <w:p>
      <w:pPr>
        <w:pStyle w:val="BodyText"/>
      </w:pPr>
      <w:r>
        <w:t xml:space="preserve">Teraz zwracam szczególną uwagę na minuskuł 18, sporządzony w Konstantynopolu w</w:t>
      </w:r>
      <w:r>
        <w:t xml:space="preserve"> </w:t>
      </w:r>
      <w:r>
        <w:rPr>
          <w:bCs/>
          <w:b/>
        </w:rPr>
        <w:t xml:space="preserve">1364</w:t>
      </w:r>
      <w:r>
        <w:t xml:space="preserve"> </w:t>
      </w:r>
      <w:r>
        <w:t xml:space="preserve">roku! W obecnym stanie jest doskonałym przedstawicielem domniemanego profilu rodziny dla Listów do Tesaloniczan (mówię „domniemanego” jedynie z uwagi na wszystkich przedstawicieli rodziny, których jeszcze nie skolacjonowałem, lecz biorąc pod uwagę rozmieszczenie geograficzne powyższych trzydziestu czterech, nie mam wątpliwości, że profil podany w moim Tekście jest poprawny).</w:t>
      </w:r>
      <w:r>
        <w:rPr>
          <w:rStyle w:val="FootnoteReference"/>
        </w:rPr>
        <w:footnoteReference w:id="306"/>
      </w:r>
      <w:r>
        <w:t xml:space="preserve"> </w:t>
      </w:r>
      <w:r>
        <w:t xml:space="preserve">Ile pokoleń kopii istniałoby między manuskryptem 18 a archetypem rodziny? Czy mogło ich być piętnaście lub więcej? Wyobrażam sobie, że było ich co najmniej dziesięć. Niezależnie od ich rzeczywistej liczby proszę zauważyć, że każde bez wyjątku było doskonałe!</w:t>
      </w:r>
      <w:r>
        <w:t xml:space="preserve"> </w:t>
      </w:r>
      <w:r>
        <w:rPr>
          <w:u w:val="single"/>
          <w:iCs/>
          <w:i/>
        </w:rPr>
        <w:t xml:space="preserve">Konsekwencje znalezienia doskonałego przedstawiciela jakiegokolwiek tekstu archetypalnego są dość doniosłe. Wszystkie</w:t>
      </w:r>
      <w:r>
        <w:rPr>
          <w:iCs/>
          <w:i/>
        </w:rPr>
        <w:t xml:space="preserve"> </w:t>
      </w:r>
      <w:r>
        <w:rPr>
          <w:iCs/>
          <w:i/>
        </w:rPr>
        <w:t xml:space="preserve">„kanony” krytyki tekstu stają się nieistotne dla każdego punktu późniejszego od</w:t>
      </w:r>
      <w:r>
        <w:t xml:space="preserve"> </w:t>
      </w:r>
      <w:r>
        <w:rPr>
          <w:u w:val="single"/>
          <w:iCs/>
          <w:i/>
        </w:rPr>
        <w:t xml:space="preserve">powstania tego tekstu</w:t>
      </w:r>
      <w:r>
        <w:t xml:space="preserve"> </w:t>
      </w:r>
      <w:r>
        <w:t xml:space="preserve">(nadal mogłyby mieć zastosowanie przy badaniu powstania tekstu, zależnie od okoliczności). Aby manuskrypt 18 był doskonały, wszystkie pokolenia pomiędzy nim a archetypem również musiały być doskonałe. To właśnie nazywam</w:t>
      </w:r>
      <w:r>
        <w:t xml:space="preserve"> </w:t>
      </w:r>
      <w:r>
        <w:rPr>
          <w:bCs/>
          <w:b/>
        </w:rPr>
        <w:t xml:space="preserve">niewiarygodnie starannym przekazem</w:t>
      </w:r>
      <w:r>
        <w:t xml:space="preserve">. Nic z tego, czego uczono mnie w seminarium o krytyce tekstu Nowego Testamentu, nie przygotowało mnie na to odkrycie! Ani zresztą nic z tego, co czytałem. Manuskrypt 18 nie jest jednak przypadkiem odosobnionym, wszystkie trzydzieści cztery manuskrypty w powyższej tabeli odzwierciedlają</w:t>
      </w:r>
      <w:r>
        <w:t xml:space="preserve"> </w:t>
      </w:r>
      <w:r>
        <w:rPr>
          <w:bCs/>
          <w:b/>
        </w:rPr>
        <w:t xml:space="preserve">niewiarygodnie staranny przekaz</w:t>
      </w:r>
      <w:r>
        <w:t xml:space="preserve"> </w:t>
      </w:r>
      <w:r>
        <w:t xml:space="preserve">— nawet najgorsze z nich, minuskuły 1761 i 1874, ze swoimi siedmioma wariantami („odczyty singularne” w 1893 i 1248 są niestarannymi błędami (nieszczęśliwi mnisi)), są naprawdę całkiem dobre, zważywszy na wszystkie pośrednie pokolenia.</w:t>
      </w:r>
    </w:p>
    <w:p>
      <w:pPr>
        <w:pStyle w:val="BodyText"/>
      </w:pPr>
      <w:r>
        <w:t xml:space="preserve">Punkt ten zasługuje na rozwinięcie. Typowy manuskrypt „aleksandryjski” ma ponad tuzin wariantów na stronę drukowanego tekstu greckiego. Typowy manuskrypt „bizantyjski” ma od 3 do 5 wariantów na stronę. Manuskrypty 1761 i 1876 mają około jednego na stronę, a jeden z lepszych manuskryptów</w:t>
      </w:r>
      <w:r>
        <w:t xml:space="preserve"> </w:t>
      </w:r>
      <w:r>
        <w:rPr>
          <w:bCs/>
          <w:b/>
        </w:rPr>
        <w:t xml:space="preserve">f</w:t>
      </w:r>
      <w:r>
        <w:rPr>
          <w:vertAlign w:val="superscript"/>
          <w:bCs/>
          <w:b/>
        </w:rPr>
        <w:t xml:space="preserve">35</w:t>
      </w:r>
      <w:r>
        <w:t xml:space="preserve"> </w:t>
      </w:r>
      <w:r>
        <w:t xml:space="preserve">przejdzie wiele stron bez wariantu. Istnieje oczywista różnica w mentalności, z jaką mnisi przystępowali do swojego zadania. Mnich kopiujący manuskrypt „aleksandryjski” najwyraźniej nie uważał, że ma do czynienia z Pismem, w jaskrawym przeciwieństwie do mnicha kopiującego manuskrypt</w:t>
      </w:r>
      <w:r>
        <w:t xml:space="preserve"> </w:t>
      </w:r>
      <w:r>
        <w:rPr>
          <w:bCs/>
          <w:b/>
        </w:rPr>
        <w:t xml:space="preserve">f</w:t>
      </w:r>
      <w:r>
        <w:rPr>
          <w:vertAlign w:val="superscript"/>
          <w:bCs/>
          <w:b/>
        </w:rPr>
        <w:t xml:space="preserve">35</w:t>
      </w:r>
      <w:r>
        <w:t xml:space="preserve">. Tym, którzy nie wykluczają czynnika nadprzyrodzonego ze swojego modelu, przedkładam, że powyższe informacje są wysoce znaczące: Bóg najwyraźniej nie chronił żadnego „aleksandryjskiego” typu manuskryptu, prawdopodobnie dlatego, że zawierał „kąkol” (Ewangelia Mateusza 13,28). Mnich kopiujący manuskrypt typu masy „bizantyjskiej” wykonywał znacznie lepszą pracę niż aleksandryjski, nadal jednak nie był wystarczająco staranny — prawdopodobnie tylko wykonywał religijny obowiązek, lecz bez osobistego przywiązania do Tekstu. Ponieważ Bóg szanuje nasze wybory (Ewangelia Jana 4,23-24), rezultatem był typowy manuskrypt „bizantyjski”. Prawdą jest również, że nie wszystkie manuskrypty</w:t>
      </w:r>
      <w:r>
        <w:t xml:space="preserve"> </w:t>
      </w:r>
      <w:r>
        <w:rPr>
          <w:bCs/>
          <w:b/>
        </w:rPr>
        <w:t xml:space="preserve">f</w:t>
      </w:r>
      <w:r>
        <w:rPr>
          <w:vertAlign w:val="superscript"/>
          <w:bCs/>
          <w:b/>
        </w:rPr>
        <w:t xml:space="preserve">35</w:t>
      </w:r>
      <w:r>
        <w:t xml:space="preserve"> </w:t>
      </w:r>
      <w:r>
        <w:t xml:space="preserve">sporządzono starannie, wnioskuję jednak, że rdzeń przedstawicieli został sporządzony przez kopistów, którzy wierzyli, iż mają do czynienia ze Słowem Bożym, i chcieli, aby ich praca Mu się podobała</w:t>
      </w:r>
      <w:r>
        <w:rPr>
          <w:rStyle w:val="FootnoteReference"/>
        </w:rPr>
        <w:footnoteReference w:id="307"/>
      </w:r>
      <w:r>
        <w:t xml:space="preserve"> </w:t>
      </w:r>
      <w:r>
        <w:t xml:space="preserve">— właśnie takich, którym Duch Święty z radością pomagałby i których by chronił.</w:t>
      </w:r>
    </w:p>
    <w:bookmarkEnd w:id="308"/>
    <w:bookmarkStart w:id="310" w:name="X3d866095db41acc28052a7dcbf6dd5533a4cf95"/>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2 i 3 Liście Jana oraz Liście Judy</w:t>
      </w:r>
    </w:p>
    <w:p>
      <w:pPr>
        <w:pStyle w:val="FirstParagraph"/>
      </w:pPr>
      <w:r>
        <w:t xml:space="preserve">Ta część koncentruje się na 2 i 3 Liście Jana oraz Liście Judy. Jak dotąd skolacjonowałem czterdziestu sześciu przedstawicieli Rodziny 35 (dla tych trzech ksiąg) i zwracam uwagę na wyniki. Dotąd zidentyfikowałem 84 manuskrypty należące do</w:t>
      </w:r>
      <w:r>
        <w:t xml:space="preserve"> </w:t>
      </w:r>
      <w:r>
        <w:rPr>
          <w:bCs/>
          <w:b/>
        </w:rPr>
        <w:t xml:space="preserve">f</w:t>
      </w:r>
      <w:r>
        <w:rPr>
          <w:vertAlign w:val="superscript"/>
          <w:bCs/>
          <w:b/>
        </w:rPr>
        <w:t xml:space="preserve">35</w:t>
      </w:r>
      <w:r>
        <w:t xml:space="preserve"> </w:t>
      </w:r>
      <w:r>
        <w:t xml:space="preserve">w Listach Ogólnych (oraz kolejnych 10 lub 12 na obrzeżach), próba ta jest więc z pewnością reprezentatywna, biorąc pod uwagę również rozmieszczenie geograficzne.</w:t>
      </w:r>
    </w:p>
    <w:tbl>
      <w:tblPr>
        <w:tblStyle w:val="Table"/>
        <w:tblW w:type="pct" w:w="5000"/>
        <w:tblLook w:firstRow="1" w:lastRow="0" w:firstColumn="0" w:lastColumn="0" w:noHBand="0" w:noVBand="0" w:val="0020"/>
        <w:jc w:val="start"/>
      </w:tblPr>
      <w:tblGrid>
        <w:gridCol w:w="960"/>
        <w:gridCol w:w="1200"/>
        <w:gridCol w:w="1200"/>
        <w:gridCol w:w="1200"/>
        <w:gridCol w:w="960"/>
        <w:gridCol w:w="1200"/>
        <w:gridCol w:w="1200"/>
      </w:tblGrid>
      <w:tr>
        <w:trPr>
          <w:tblHeader w:val="true"/>
        </w:trPr>
        <w:tc>
          <w:tcPr/>
          <w:p>
            <w:pPr>
              <w:pStyle w:val="Compact"/>
              <w:jc w:val="right"/>
            </w:pPr>
            <w:r>
              <w:rPr>
                <w:bCs/>
                <w:b/>
              </w:rPr>
              <w:t xml:space="preserve">Manuskrypt</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left"/>
            </w:pPr>
            <w:r>
              <w:t xml:space="preserve">Miejsce</w:t>
            </w:r>
          </w:p>
        </w:tc>
        <w:tc>
          <w:tcPr/>
          <w:p>
            <w:pPr>
              <w:pStyle w:val="Compact"/>
              <w:jc w:val="center"/>
            </w:pPr>
            <w:r>
              <w:t xml:space="preserve">Data</w:t>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left"/>
            </w:pPr>
            <w:r>
              <w:t xml:space="preserve">Konstantynopol</w:t>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left"/>
            </w:pPr>
            <w:r>
              <w:t xml:space="preserve">obszar egejski</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149</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2/</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1x</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432</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1/</w:t>
            </w:r>
          </w:p>
        </w:tc>
      </w:tr>
      <w:tr>
        <w:tc>
          <w:tcPr/>
          <w:p>
            <w:pPr>
              <w:pStyle w:val="Compact"/>
              <w:jc w:val="right"/>
            </w:pPr>
            <w:r>
              <w:t xml:space="preserve">444</w:t>
            </w:r>
            <w:r>
              <w:rPr>
                <w:rStyle w:val="FootnoteReference"/>
              </w:rPr>
              <w:footnoteReference w:id="309"/>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664</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left"/>
            </w:pPr>
            <w:r>
              <w:t xml:space="preserve">Żytawa</w:t>
            </w:r>
          </w:p>
        </w:tc>
        <w:tc>
          <w:tcPr/>
          <w:p>
            <w:pPr>
              <w:pStyle w:val="Compact"/>
              <w:jc w:val="center"/>
            </w:pPr>
            <w:r>
              <w:t xml:space="preserve">XV</w:t>
            </w:r>
          </w:p>
        </w:tc>
        <w:tc>
          <w:tcPr/>
          <w:p>
            <w:pPr>
              <w:pStyle w:val="Compact"/>
              <w:jc w:val="center"/>
            </w:pPr>
            <w:r>
              <w:t xml:space="preserve">1x</w:t>
            </w:r>
          </w:p>
        </w:tc>
      </w:tr>
      <w:tr>
        <w:tc>
          <w:tcPr/>
          <w:p>
            <w:pPr>
              <w:pStyle w:val="Compact"/>
              <w:jc w:val="right"/>
            </w:pPr>
            <w:r>
              <w:t xml:space="preserve">757</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1100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w:t>
            </w:r>
          </w:p>
        </w:tc>
      </w:tr>
      <w:tr>
        <w:tc>
          <w:tcPr/>
          <w:p>
            <w:pPr>
              <w:pStyle w:val="Compact"/>
              <w:jc w:val="right"/>
            </w:pPr>
            <w:r>
              <w:t xml:space="preserve">1247</w:t>
            </w:r>
          </w:p>
        </w:tc>
        <w:tc>
          <w:tcPr/>
          <w:p>
            <w:pPr>
              <w:pStyle w:val="Compact"/>
              <w:jc w:val="center"/>
            </w:pPr>
            <w:r>
              <w:t xml:space="preserve">1x, 1/, 1s</w:t>
            </w:r>
          </w:p>
        </w:tc>
        <w:tc>
          <w:tcPr/>
          <w:p>
            <w:pPr>
              <w:pStyle w:val="Compact"/>
              <w:jc w:val="center"/>
            </w:pPr>
            <w:r>
              <w:t xml:space="preserve">1/, 1s</w:t>
            </w:r>
          </w:p>
        </w:tc>
        <w:tc>
          <w:tcPr/>
          <w:p>
            <w:pPr>
              <w:pStyle w:val="Compact"/>
              <w:jc w:val="center"/>
            </w:pPr>
            <w:r>
              <w:t xml:space="preserve">1x, 1/, 6s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2x, 3/</w:t>
            </w:r>
          </w:p>
        </w:tc>
      </w:tr>
      <w:tr>
        <w:tc>
          <w:tcPr/>
          <w:p>
            <w:pPr>
              <w:pStyle w:val="Compact"/>
              <w:jc w:val="right"/>
            </w:pPr>
            <w:r>
              <w:t xml:space="preserve">1248</w:t>
            </w:r>
          </w:p>
        </w:tc>
        <w:tc>
          <w:tcPr/>
          <w:p>
            <w:pPr>
              <w:pStyle w:val="Compact"/>
              <w:jc w:val="center"/>
            </w:pPr>
            <w:r>
              <w:t xml:space="preserve">2/</w:t>
            </w:r>
          </w:p>
        </w:tc>
        <w:tc>
          <w:tcPr/>
          <w:p>
            <w:pPr>
              <w:pStyle w:val="Compact"/>
              <w:jc w:val="center"/>
            </w:pPr>
            <w:r>
              <w:t xml:space="preserve">1/, 3s</w:t>
            </w:r>
          </w:p>
        </w:tc>
        <w:tc>
          <w:tcPr/>
          <w:p>
            <w:pPr>
              <w:pStyle w:val="Compact"/>
              <w:jc w:val="center"/>
            </w:pPr>
            <w:r>
              <w:t xml:space="preserve">4s</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w:t>
            </w:r>
          </w:p>
        </w:tc>
      </w:tr>
      <w:tr>
        <w:tc>
          <w:tcPr/>
          <w:p>
            <w:pPr>
              <w:pStyle w:val="Compact"/>
              <w:jc w:val="right"/>
            </w:pPr>
            <w:r>
              <w:t xml:space="preserve">1249</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2/</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M. Lavras</w:t>
            </w:r>
          </w:p>
        </w:tc>
        <w:tc>
          <w:tcPr/>
          <w:p>
            <w:pPr>
              <w:pStyle w:val="Compact"/>
              <w:jc w:val="center"/>
            </w:pPr>
            <w:r>
              <w:t xml:space="preserve">1400</w:t>
            </w:r>
          </w:p>
        </w:tc>
        <w:tc>
          <w:tcPr/>
          <w:p>
            <w:pPr>
              <w:pStyle w:val="Compact"/>
              <w:jc w:val="center"/>
            </w:pPr>
            <w:r>
              <w:t xml:space="preserve">---</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w:t>
            </w:r>
          </w:p>
        </w:tc>
      </w:tr>
      <w:tr>
        <w:tc>
          <w:tcPr/>
          <w:p>
            <w:pPr>
              <w:pStyle w:val="Compact"/>
              <w:jc w:val="right"/>
            </w:pPr>
            <w:r>
              <w:t xml:space="preserve">1725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w:t>
            </w:r>
          </w:p>
        </w:tc>
      </w:tr>
      <w:tr>
        <w:tc>
          <w:tcPr/>
          <w:p>
            <w:pPr>
              <w:pStyle w:val="Compact"/>
              <w:jc w:val="right"/>
            </w:pPr>
            <w:r>
              <w:t xml:space="preserve">1732</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1x, 1/</w:t>
            </w:r>
          </w:p>
        </w:tc>
      </w:tr>
      <w:tr>
        <w:tc>
          <w:tcPr/>
          <w:p>
            <w:pPr>
              <w:pStyle w:val="Compact"/>
              <w:jc w:val="right"/>
            </w:pPr>
            <w:r>
              <w:t xml:space="preserve">1754</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Panteleimonos (Athos)</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1761</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1768</w:t>
            </w:r>
          </w:p>
        </w:tc>
        <w:tc>
          <w:tcPr/>
          <w:p>
            <w:pPr>
              <w:pStyle w:val="Compact"/>
              <w:jc w:val="center"/>
            </w:pPr>
            <w:r>
              <w:t xml:space="preserve">---</w:t>
            </w:r>
          </w:p>
        </w:tc>
        <w:tc>
          <w:tcPr/>
          <w:p>
            <w:pPr>
              <w:pStyle w:val="Compact"/>
              <w:jc w:val="center"/>
            </w:pPr>
            <w:r>
              <w:t xml:space="preserve">1y</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1516</w:t>
            </w:r>
          </w:p>
        </w:tc>
        <w:tc>
          <w:tcPr/>
          <w:p>
            <w:pPr>
              <w:pStyle w:val="Compact"/>
              <w:jc w:val="center"/>
            </w:pPr>
            <w:r>
              <w:t xml:space="preserve">1y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4/</w:t>
            </w:r>
          </w:p>
        </w:tc>
      </w:tr>
      <w:tr>
        <w:tc>
          <w:tcPr/>
          <w:p>
            <w:pPr>
              <w:pStyle w:val="Compact"/>
              <w:jc w:val="right"/>
            </w:pPr>
            <w:r>
              <w:t xml:space="preserve">1892</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1x</w:t>
            </w:r>
          </w:p>
        </w:tc>
      </w:tr>
      <w:tr>
        <w:tc>
          <w:tcPr/>
          <w:p>
            <w:pPr>
              <w:pStyle w:val="Compact"/>
              <w:jc w:val="right"/>
            </w:pPr>
            <w:r>
              <w:t xml:space="preserve">1897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center"/>
            </w:pPr>
            <w:r>
              <w:t xml:space="preserve">1432</w:t>
            </w:r>
          </w:p>
        </w:tc>
        <w:tc>
          <w:tcPr/>
          <w:p>
            <w:pPr>
              <w:pStyle w:val="Compact"/>
              <w:jc w:val="center"/>
            </w:pPr>
            <w:r>
              <w:t xml:space="preserve">---</w:t>
            </w:r>
          </w:p>
        </w:tc>
      </w:tr>
      <w:tr>
        <w:tc>
          <w:tcPr/>
          <w:p>
            <w:pPr>
              <w:pStyle w:val="Compact"/>
              <w:jc w:val="right"/>
            </w:pPr>
            <w:r>
              <w:t xml:space="preserve">2352</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2431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left"/>
            </w:pPr>
            <w:r>
              <w:t xml:space="preserve">Kavsokalyvia (Athos)</w:t>
            </w:r>
          </w:p>
        </w:tc>
        <w:tc>
          <w:tcPr/>
          <w:p>
            <w:pPr>
              <w:pStyle w:val="Compact"/>
              <w:jc w:val="center"/>
            </w:pPr>
            <w:r>
              <w:t xml:space="preserve">1332</w:t>
            </w:r>
          </w:p>
        </w:tc>
        <w:tc>
          <w:tcPr/>
          <w:p>
            <w:pPr>
              <w:pStyle w:val="Compact"/>
              <w:jc w:val="center"/>
            </w:pPr>
            <w:r>
              <w:t xml:space="preserv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2626</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left"/>
            </w:pPr>
            <w:r>
              <w:t xml:space="preserve">Ochryda</w:t>
            </w:r>
          </w:p>
        </w:tc>
        <w:tc>
          <w:tcPr/>
          <w:p>
            <w:pPr>
              <w:pStyle w:val="Compact"/>
              <w:jc w:val="center"/>
            </w:pPr>
            <w:r>
              <w:t xml:space="preserve">XIV</w:t>
            </w:r>
          </w:p>
        </w:tc>
        <w:tc>
          <w:tcPr/>
          <w:p>
            <w:pPr>
              <w:pStyle w:val="Compact"/>
              <w:jc w:val="center"/>
            </w:pPr>
            <w:r>
              <w:t xml:space="preserve">4/</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bookmarkEnd w:id="310"/>
    <w:bookmarkStart w:id="313" w:name="konsekwencje-1"/>
    <w:p>
      <w:pPr>
        <w:pStyle w:val="Heading3"/>
      </w:pPr>
      <w:r>
        <w:rPr>
          <w:iCs/>
          <w:i/>
        </w:rPr>
        <w:t xml:space="preserve">Konsekwencje</w:t>
      </w:r>
    </w:p>
    <w:p>
      <w:pPr>
        <w:pStyle w:val="FirstParagraph"/>
      </w:pPr>
      <w:r>
        <w:t xml:space="preserve">W 2 Liście Jana dwie trzecie (trzydzieści) manuskryptów jest w obecnym stanie doskonałymi przedstawicielami rodziny, w 3 Liście Jana odsetek również wynosi dwie trzecie (trzydzieści, lecz inny zestaw), w Liście Judy nieco mniej niż połowę (dwadzieścia dwa), a we wszystkich trzech — mniej niż jedną trzecią (czternaście). Ponad połowa (dwadzieścia dziewięć) egzemplarzy była przypuszczalnie doskonała. Ponieważ mam liczby dla wszystkich siedmiu ksiąg Listów Ogólnych, mogę zapewnić czytelnika, że wszystkie czterdzieści sześć manuskryptów jest niezależnych w swoim pokoleniu, podobnie jak ich egzemplarze. Rękopisy kursywne 149 i 201 są wyraźnie ze sobą powiązane, tak samo jak 432 i 604, a wszystkie cztery prawdopodobnie pochodzą ze wspólnego źródła pośredniego między nimi a archetypem. Nie widzę dowodów zmowy, „upychania urny wyborczej” — nie podejmowano zorganizowanego wysiłku ujednolicenia Tekstu. Patrzymy na normalny przekaz, z tym wyjątkiem, że był</w:t>
      </w:r>
      <w:r>
        <w:t xml:space="preserve"> </w:t>
      </w:r>
      <w:r>
        <w:rPr>
          <w:bCs/>
          <w:b/>
        </w:rPr>
        <w:t xml:space="preserve">niewiarygodnie staranny</w:t>
      </w:r>
      <w:r>
        <w:t xml:space="preserve">. Czternaście manuskryptów doskonałych we wszystkich trzech księgach miało doskonałych przodków przez całą drogę aż do archetypu, podobnie jak dwadzieścia dziewięć doskonałych egzemplarzy. Wyjaśnienie, w jaki sposób dochodzę do klasyfikacji egzemplarzy, czytelnik znajdzie w poprzedniej części.</w:t>
      </w:r>
    </w:p>
    <w:p>
      <w:pPr>
        <w:pStyle w:val="BodyText"/>
      </w:pPr>
      <w:r>
        <w:t xml:space="preserve">W miarę kolacjonowania kolejnych manuskryptów zaobserwowałem przewidywalny wzorzec. Przez pierwsze dwie lub trzy, a nawet cztery strony manuskrypty wykazują zwykle niewiele błędów albo żadnych. Jeśli skryba ma popełniać błędy, następuje to zwykle po tym, jak pracował już dostatecznie długo, by zacząć się męczyć lub nudzić. Dość często większość błędów znajduje się na jednej stronie lub w jednym rozdziale, następnie skryba zrobił przerwę (jak przypuszczam) i po powrocie do zadania, wypoczęty, wykonywał lepszą pracę. Powiedziałbym, że wysoki odsetek „doskonałych” kopii wynika w dużej mierze z niewielkich rozmiarów naszych trzech ksiąg — kopiści nie zdążyli się zmęczyć. Mimo wszystko spostrzeżenie to nie zmienia faktu, że przez stulecia trwał</w:t>
      </w:r>
      <w:r>
        <w:t xml:space="preserve"> </w:t>
      </w:r>
      <w:r>
        <w:rPr>
          <w:bCs/>
          <w:b/>
        </w:rPr>
        <w:t xml:space="preserve">niewiarygodnie staranny przekaz</w:t>
      </w:r>
      <w:r>
        <w:t xml:space="preserve">.</w:t>
      </w:r>
      <w:r>
        <w:rPr>
          <w:rStyle w:val="FootnoteReference"/>
        </w:rPr>
        <w:footnoteReference w:id="311"/>
      </w:r>
      <w:r>
        <w:t xml:space="preserve"> </w:t>
      </w:r>
      <w:r>
        <w:t xml:space="preserve">Biorąc pod uwagę wielkość mojej próby i rozmieszczenie geograficzne manuskryptów, jestem radośnie pewien, że mamy precyzyjne oryginalne sformułowania archetypu</w:t>
      </w:r>
      <w:r>
        <w:t xml:space="preserve"> </w:t>
      </w:r>
      <w:r>
        <w:rPr>
          <w:bCs/>
          <w:b/>
        </w:rPr>
        <w:t xml:space="preserve">f</w:t>
      </w:r>
      <w:r>
        <w:rPr>
          <w:vertAlign w:val="superscript"/>
          <w:bCs/>
          <w:b/>
        </w:rPr>
        <w:t xml:space="preserve">35</w:t>
      </w:r>
      <w:r>
        <w:t xml:space="preserve"> </w:t>
      </w:r>
      <w:r>
        <w:t xml:space="preserve">dla 2 i 3 Listu Jana oraz Listu Judy, co do litery. Zostały one odtworzone w moim Tekście greckim.</w:t>
      </w:r>
    </w:p>
    <w:p>
      <w:pPr>
        <w:pStyle w:val="BodyText"/>
      </w:pPr>
      <w:r>
        <w:t xml:space="preserve">Uwzględniając moje założenia wstępne, uważam, że mam dobry powód, by ogłosić Boskie zachowanie precyzyjnych oryginalnych sformułowań całego Tekstu Nowego Testamentu aż do dziś. Sformułowania te zostały odtworzone w moim wydaniu greckiego Nowego Testamentu,</w:t>
      </w:r>
      <w:r>
        <w:t xml:space="preserve"> </w:t>
      </w:r>
      <w:r>
        <w:rPr>
          <w:iCs/>
          <w:i/>
        </w:rPr>
        <w:t xml:space="preserve">The Greek New Testament According to Family 35</w:t>
      </w:r>
      <w:r>
        <w:t xml:space="preserve">, dostępnym na Amazon.com, a także na mojej stronie,</w:t>
      </w:r>
      <w:r>
        <w:t xml:space="preserve"> </w:t>
      </w:r>
      <w:r>
        <w:rPr>
          <w:u w:val="single"/>
        </w:rPr>
        <w:t xml:space="preserve">www.prunch.org</w:t>
      </w:r>
      <w:r>
        <w:t xml:space="preserve">. PROSZĘ JEDNAK ZAUWAŻYĆ:</w:t>
      </w:r>
      <w:r>
        <w:t xml:space="preserve"> </w:t>
      </w:r>
      <w:r>
        <w:rPr>
          <w:u w:val="single"/>
        </w:rPr>
        <w:t xml:space="preserve">niezależnie od tego, czy archetyp</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Autografem (jak twierdzę), faktem pozostaje, że manuskrypty skolacjonowane na potrzeby tego badania odzwierciedlają niewiarygodnie staranny przekaz swojego źródła, i to przez całe średniowiecze</w:t>
      </w:r>
      <w:r>
        <w:t xml:space="preserve">. Moje założenia wstępne obejmują następujące: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 f</w:t>
      </w:r>
      <w:r>
        <w:rPr>
          <w:vertAlign w:val="superscript"/>
          <w:bCs/>
          <w:b/>
        </w:rPr>
        <w:t xml:space="preserve">35</w:t>
      </w:r>
      <w:r>
        <w:rPr>
          <w:bCs/>
          <w:b/>
        </w:rPr>
        <w:t xml:space="preserve">, czy przekaz ten byłby mniej staranny niż ten, który wykazałem dla 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u w:val="single"/>
        </w:rPr>
        <w:t xml:space="preserve">wszystkie</w:t>
      </w:r>
      <w:r>
        <w:t xml:space="preserve"> </w:t>
      </w:r>
      <w:r>
        <w:t xml:space="preserve">inne linie przekazu, jakie dotąd widziałem!</w:t>
      </w:r>
      <w:r>
        <w:rPr>
          <w:rStyle w:val="FootnoteReference"/>
        </w:rPr>
        <w:footnoteReference w:id="312"/>
      </w:r>
    </w:p>
    <w:bookmarkEnd w:id="313"/>
    <w:bookmarkEnd w:id="314"/>
    <w:bookmarkStart w:id="321" w:name="Xd94ea9fac9a0ac668d89d8701dab9fd1cd009cd"/>
    <w:p>
      <w:pPr>
        <w:pStyle w:val="Heading2"/>
      </w:pPr>
      <w:r>
        <w:t xml:space="preserve">Najlepszy kompletny Nowy Testament, jaki dotąd widziałem!</w:t>
      </w:r>
    </w:p>
    <w:p>
      <w:pPr>
        <w:pStyle w:val="FirstParagraph"/>
      </w:pPr>
      <w:r>
        <w:t xml:space="preserve">GA 2554 jest jednym z wielu kompletnych manuskryptów Nowego Testamentu reprezentujących Rodzinę 35, które są dostępne społeczności akademickiej. Datowany jest na rok 1434 po Chr. i przechowywany przez Akademię Rumuńską w Bukareszcie. Pragnę wyrazić szczerą wdzięczność Instytutowi Badań Tekstu Nowego Testamentu w Münster za udostępnienie cyfrowej kopii ich mikrofilmu tego manuskryptu. Chociaż pochodzi z XV wieku, pismo jest bardzo staranne. Spośród osiemnastu kompletnych manuskryptów Nowego Testamentu reprezentujących Rodzinę 35, których kopie posiadam (istnieją też inne), 2554 jest bez wątpienia najlepszy — skolacjonowałem go od deski do deski. Wymienię teraz wszystkie miejsca, w których odbiega od archetypu rodziny, łącznie z pewnymi przypadkami wątpliwymi, w całym Nowym Testamencie.</w:t>
      </w:r>
      <w:r>
        <w:rPr>
          <w:rStyle w:val="FootnoteReference"/>
        </w:rPr>
        <w:footnoteReference w:id="315"/>
      </w:r>
      <w:r>
        <w:t xml:space="preserve"> </w:t>
      </w:r>
      <w:r>
        <w:t xml:space="preserve">Jest ich tylko 49,</w:t>
      </w:r>
      <w:r>
        <w:rPr>
          <w:rStyle w:val="FootnoteReference"/>
        </w:rPr>
        <w:footnoteReference w:id="316"/>
      </w:r>
      <w:r>
        <w:t xml:space="preserve"> </w:t>
      </w:r>
      <w:r>
        <w:t xml:space="preserve">nie wszystkie są właściwymi wariantami.</w:t>
      </w:r>
    </w:p>
    <w:p>
      <w:pPr>
        <w:numPr>
          <w:ilvl w:val="0"/>
          <w:numId w:val="1019"/>
        </w:numPr>
      </w:pPr>
      <w:r>
        <w:t xml:space="preserve">Ewangelia Mateusza 11,8</w:t>
      </w:r>
      <w:r>
        <w:t xml:space="preserve"> </w:t>
      </w:r>
      <w:r>
        <w:rPr>
          <w:iCs/>
          <w:i/>
        </w:rPr>
        <w:t xml:space="preserve">βασιλειων</w:t>
      </w:r>
      <w:r>
        <w:t xml:space="preserve"> </w:t>
      </w:r>
      <w:r>
        <w:t xml:space="preserve">||</w:t>
      </w:r>
      <w:r>
        <w:t xml:space="preserve"> </w:t>
      </w:r>
      <w:r>
        <w:rPr>
          <w:iCs/>
          <w:i/>
        </w:rPr>
        <w:t xml:space="preserve">βασιλεων</w:t>
      </w:r>
      <w:r>
        <w:t xml:space="preserve"> </w:t>
      </w:r>
      <w:r>
        <w:t xml:space="preserve">(36,4%)</w:t>
      </w:r>
      <w:r>
        <w:rPr>
          <w:rStyle w:val="FootnoteReference"/>
        </w:rPr>
        <w:footnoteReference w:id="317"/>
      </w:r>
      <w:r>
        <w:t xml:space="preserve"> </w:t>
      </w:r>
      <w:r>
        <w:t xml:space="preserve">2554</w:t>
      </w:r>
      <w:r>
        <w:rPr>
          <w:vertAlign w:val="superscript"/>
        </w:rPr>
        <w:t xml:space="preserve">c</w:t>
      </w:r>
      <w:r>
        <w:t xml:space="preserve"> </w:t>
      </w:r>
      <w:r>
        <w:t xml:space="preserve">(pierwsza ręka wyraźnie miała</w:t>
      </w:r>
      <w:r>
        <w:t xml:space="preserve"> </w:t>
      </w:r>
      <w:r>
        <w:rPr>
          <w:iCs/>
          <w:i/>
        </w:rPr>
        <w:t xml:space="preserve">iotę</w:t>
      </w:r>
      <w:r>
        <w:t xml:space="preserve">, którą następnie wymazano, nie jest to więc wariant, w każdym razie w tym kontekście obie formy są synonimiczne).</w:t>
      </w:r>
    </w:p>
    <w:p>
      <w:pPr>
        <w:numPr>
          <w:ilvl w:val="0"/>
          <w:numId w:val="1019"/>
        </w:numPr>
      </w:pPr>
      <w:r>
        <w:t xml:space="preserve">Ewangelia Mateusza 13,15</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[50%] 2554</w:t>
      </w:r>
      <w:r>
        <w:rPr>
          <w:vertAlign w:val="superscript"/>
        </w:rPr>
        <w:t xml:space="preserve">c</w:t>
      </w:r>
      <w:r>
        <w:t xml:space="preserve"> </w:t>
      </w:r>
      <w:r>
        <w:t xml:space="preserve">(pozostały ślady wymazanej prawej strony omegi, pierwsza ręka była więc poprawna, nie jest to zatem wariant, w każdym razie w tym kontekście zmiana czasu nie wpływa na znaczenie).</w:t>
      </w:r>
    </w:p>
    <w:p>
      <w:pPr>
        <w:numPr>
          <w:ilvl w:val="0"/>
          <w:numId w:val="1019"/>
        </w:numPr>
      </w:pPr>
      <w:r>
        <w:t xml:space="preserve">Ewangelia Mateusza 25,32</w:t>
      </w:r>
      <w:r>
        <w:t xml:space="preserve"> </w:t>
      </w:r>
      <w:r>
        <w:rPr>
          <w:iCs/>
          <w:i/>
        </w:rPr>
        <w:t xml:space="preserve">συναχθησονται</w:t>
      </w:r>
      <w:r>
        <w:t xml:space="preserve"> </w:t>
      </w:r>
      <w:r>
        <w:t xml:space="preserve">||</w:t>
      </w:r>
      <w:r>
        <w:t xml:space="preserve"> </w:t>
      </w:r>
      <w:r>
        <w:rPr>
          <w:iCs/>
          <w:i/>
        </w:rPr>
        <w:t xml:space="preserve">συναχθησεται</w:t>
      </w:r>
      <w:r>
        <w:t xml:space="preserve"> </w:t>
      </w:r>
      <w:r>
        <w:t xml:space="preserve">[70%] (uwzględniam ten przypadek tylko dlatego, że spośród 51 przedstawicieli rodziny, których dotąd skolacjonowałem dla Ewangelii Mateusza, niewielka większość ma liczbę pojedynczą zamiast mnogiej (27/24), ze względu na jakość mniejszości, obejmującej 2554, wybrałem ją jako archetyp, w każdym razie niezależnie od tego, czy rzeczownik zbiorowy jest traktowany jako liczba pojedyncza czy mnoga, znaczenie pozostaje takie samo — są to dwa sposoby powiedzenia tego samego).</w:t>
      </w:r>
    </w:p>
    <w:p>
      <w:pPr>
        <w:numPr>
          <w:ilvl w:val="0"/>
          <w:numId w:val="1019"/>
        </w:numPr>
      </w:pPr>
      <w:r>
        <w:t xml:space="preserve">Ewangelia Mateusza 26,29</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[70%]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Ewangelii Mateusza.</w:t>
      </w:r>
    </w:p>
    <w:p>
      <w:pPr>
        <w:numPr>
          <w:ilvl w:val="0"/>
          <w:numId w:val="1020"/>
        </w:numPr>
      </w:pPr>
      <w:r>
        <w:t xml:space="preserve">Ewangelia Marka 2,23</w:t>
      </w:r>
      <w:r>
        <w:t xml:space="preserve"> </w:t>
      </w:r>
      <w:r>
        <w:rPr>
          <w:iCs/>
          <w:i/>
        </w:rPr>
        <w:t xml:space="preserve">ποιειν</w:t>
      </w:r>
      <w:r>
        <w:t xml:space="preserve"> </w:t>
      </w:r>
      <w:r>
        <w:t xml:space="preserve">2554</w:t>
      </w:r>
      <w:r>
        <w:rPr>
          <w:vertAlign w:val="superscript"/>
        </w:rPr>
        <w:t xml:space="preserve">c</w:t>
      </w:r>
      <w:r>
        <w:t xml:space="preserve"> </w:t>
      </w:r>
      <w:r>
        <w:t xml:space="preserve">||</w:t>
      </w:r>
      <w:r>
        <w:t xml:space="preserve"> </w:t>
      </w:r>
      <w:r>
        <w:rPr>
          <w:iCs/>
          <w:i/>
        </w:rPr>
        <w:t xml:space="preserve">πιειν</w:t>
      </w:r>
      <w:r>
        <w:t xml:space="preserve"> </w:t>
      </w:r>
      <w:r>
        <w:t xml:space="preserve">2554 (wygląda na to, że egzemplarz 2554 miał πιειν, a kopista należycie to przepisał, następnie jednak uświadomił sobie, że był to bezsensowny błąd, i go poprawił, jeśli poprawki dokonała pierwsza ręka, nie mamy właściwego wariantu, lecz pracując z mikrofilmu, trudno stwierdzić, czy atrament jest ten sam).</w:t>
      </w:r>
    </w:p>
    <w:p>
      <w:pPr>
        <w:numPr>
          <w:ilvl w:val="0"/>
          <w:numId w:val="1020"/>
        </w:numPr>
      </w:pPr>
      <w:r>
        <w:t xml:space="preserve">Ewangelia Marka 5,41</w:t>
      </w:r>
      <w:r>
        <w:t xml:space="preserve"> </w:t>
      </w:r>
      <w:r>
        <w:rPr>
          <w:iCs/>
          <w:i/>
        </w:rPr>
        <w:t xml:space="preserve">κουμι</w:t>
      </w:r>
      <w:r>
        <w:t xml:space="preserve"> </w:t>
      </w:r>
      <w:r>
        <w:t xml:space="preserve">||</w:t>
      </w:r>
      <w:r>
        <w:t xml:space="preserve"> </w:t>
      </w:r>
      <w:r>
        <w:rPr>
          <w:iCs/>
          <w:i/>
        </w:rPr>
        <w:t xml:space="preserve">κουμ</w:t>
      </w:r>
      <w:r>
        <w:t xml:space="preserve"> </w:t>
      </w:r>
      <w:r>
        <w:t xml:space="preserve">(17,4%) 2554 (jest to transliteracja z innego języka, różnica w pisowni nie wpływa więc na znaczenie, tym bardziej że bezpośrednio potem podano tłumaczenie, nie uważam tego za właściwy wariant).</w:t>
      </w:r>
    </w:p>
    <w:p>
      <w:pPr>
        <w:numPr>
          <w:ilvl w:val="0"/>
          <w:numId w:val="1020"/>
        </w:numPr>
      </w:pPr>
      <w:r>
        <w:t xml:space="preserve">Ewangelia Marka 14,25</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[25%]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0"/>
        </w:numPr>
      </w:pPr>
      <w:r>
        <w:t xml:space="preserve">Ewangelia Marka 15,46</w:t>
      </w:r>
      <w:r>
        <w:t xml:space="preserve"> </w:t>
      </w:r>
      <w:r>
        <w:rPr>
          <w:iCs/>
          <w:i/>
        </w:rPr>
        <w:t xml:space="preserve">επι την θυραν</w:t>
      </w:r>
      <w:r>
        <w:t xml:space="preserve"> </w:t>
      </w:r>
      <w:r>
        <w:t xml:space="preserve">|| 1</w:t>
      </w:r>
      <w:r>
        <w:t xml:space="preserve"> </w:t>
      </w:r>
      <w:r>
        <w:rPr>
          <w:iCs/>
          <w:i/>
        </w:rPr>
        <w:t xml:space="preserve">τη θυρα</w:t>
      </w:r>
      <w:r>
        <w:t xml:space="preserve"> </w:t>
      </w:r>
      <w:r>
        <w:t xml:space="preserve">[1%] 2554 (około jednej czwartej przedstawicieli rodziny łączy się tutaj z 2554, przyimek łączy się z trzema przypadkami — dopełniaczem, celownikiem i biernikiem — w tym kontekście zmiana przypadku nie wpływa na znaczenie).</w:t>
      </w:r>
    </w:p>
    <w:p>
      <w:pPr>
        <w:pStyle w:val="FirstParagraph"/>
      </w:pPr>
      <w:r>
        <w:rPr>
          <w:bCs/>
          <w:b/>
        </w:rPr>
        <w:t xml:space="preserve">Komentarz</w:t>
      </w:r>
      <w:r>
        <w:t xml:space="preserve">: Uważam, że pierwsza ręka ma w Ewangelii Marka tylko jeden właściwy wariant, ostatni, i nie wpływa on na znaczenie.</w:t>
      </w:r>
    </w:p>
    <w:p>
      <w:pPr>
        <w:numPr>
          <w:ilvl w:val="0"/>
          <w:numId w:val="1021"/>
        </w:numPr>
      </w:pPr>
      <w:r>
        <w:t xml:space="preserve">Ewangelia Łukasza 1,36</w:t>
      </w:r>
      <w:r>
        <w:t xml:space="preserve"> </w:t>
      </w:r>
      <w:r>
        <w:rPr>
          <w:iCs/>
          <w:i/>
        </w:rPr>
        <w:t xml:space="preserve">συγγενης</w:t>
      </w:r>
      <w:r>
        <w:t xml:space="preserve"> </w:t>
      </w:r>
      <w:r>
        <w:t xml:space="preserve">||</w:t>
      </w:r>
      <w:r>
        <w:t xml:space="preserve"> </w:t>
      </w:r>
      <w:r>
        <w:rPr>
          <w:iCs/>
          <w:i/>
        </w:rPr>
        <w:t xml:space="preserve">συγγενις</w:t>
      </w:r>
      <w:r>
        <w:t xml:space="preserve"> </w:t>
      </w:r>
      <w:r>
        <w:t xml:space="preserve">[10%] 2554 (zamiast przymiotnika funkcjonującego jako rzeczownik rodzaju ogólnego 2554 używa rzeczownika rodzaju żeńskiego, w tym kontekście obie formy są synonimiczne).</w:t>
      </w:r>
    </w:p>
    <w:p>
      <w:pPr>
        <w:numPr>
          <w:ilvl w:val="0"/>
          <w:numId w:val="1021"/>
        </w:numPr>
      </w:pPr>
      <w:r>
        <w:t xml:space="preserve">Ewangelia Łukasza 1,55</w:t>
      </w:r>
      <w:r>
        <w:t xml:space="preserve"> </w:t>
      </w:r>
      <w:r>
        <w:rPr>
          <w:iCs/>
          <w:i/>
        </w:rPr>
        <w:t xml:space="preserve">εως αιωνος</w:t>
      </w:r>
      <w:r>
        <w:t xml:space="preserve"> </w:t>
      </w:r>
      <w:r>
        <w:t xml:space="preserve">||</w:t>
      </w:r>
      <w:r>
        <w:t xml:space="preserve"> </w:t>
      </w:r>
      <w:r>
        <w:rPr>
          <w:iCs/>
          <w:i/>
        </w:rPr>
        <w:t xml:space="preserve">εις τον αιωνα</w:t>
      </w:r>
      <w:r>
        <w:t xml:space="preserve"> </w:t>
      </w:r>
      <w:r>
        <w:t xml:space="preserve">[64%] 2554 (wariant jest zdecydowanie bardziej powszechny, a zatem oczekiwany, lecz w tym kontekście obie formy są praktycznie synonimiczne, żadna różnica odcienia nie zmienia podstawowego znaczenia).</w:t>
      </w:r>
    </w:p>
    <w:p>
      <w:pPr>
        <w:numPr>
          <w:ilvl w:val="0"/>
          <w:numId w:val="1021"/>
        </w:numPr>
      </w:pPr>
      <w:r>
        <w:t xml:space="preserve">Ewangelia Łukasza 3,1</w:t>
      </w:r>
      <w:r>
        <w:t xml:space="preserve"> </w:t>
      </w:r>
      <w:r>
        <w:rPr>
          <w:iCs/>
          <w:i/>
        </w:rPr>
        <w:t xml:space="preserve">αβιληνης</w:t>
      </w:r>
      <w:r>
        <w:t xml:space="preserve"> </w:t>
      </w:r>
      <w:r>
        <w:t xml:space="preserve">||</w:t>
      </w:r>
      <w:r>
        <w:t xml:space="preserve"> </w:t>
      </w:r>
      <w:r>
        <w:rPr>
          <w:iCs/>
          <w:i/>
        </w:rPr>
        <w:t xml:space="preserve">αβιλινης</w:t>
      </w:r>
      <w:r>
        <w:t xml:space="preserve"> </w:t>
      </w:r>
      <w:r>
        <w:t xml:space="preserve">2554 (być może itacyzm, który doprowadził do alternatywnej pisowni nazwy miejsca, obie formy wymawiano tak samo, nie uważam tego za właściwy wariant).</w:t>
      </w:r>
    </w:p>
    <w:p>
      <w:pPr>
        <w:numPr>
          <w:ilvl w:val="0"/>
          <w:numId w:val="1021"/>
        </w:numPr>
      </w:pPr>
      <w:r>
        <w:t xml:space="preserve">Ewangelia Łukasza 3,18</w:t>
      </w:r>
      <w:r>
        <w:t xml:space="preserve"> </w:t>
      </w:r>
      <w:r>
        <w:rPr>
          <w:iCs/>
          <w:i/>
        </w:rPr>
        <w:t xml:space="preserve">τω λαω</w:t>
      </w:r>
      <w:r>
        <w:t xml:space="preserve"> </w:t>
      </w:r>
      <w:r>
        <w:t xml:space="preserve">||</w:t>
      </w:r>
      <w:r>
        <w:t xml:space="preserve"> </w:t>
      </w:r>
      <w:r>
        <w:rPr>
          <w:iCs/>
          <w:i/>
        </w:rPr>
        <w:t xml:space="preserve">τον λαον</w:t>
      </w:r>
      <w:r>
        <w:t xml:space="preserve"> </w:t>
      </w:r>
      <w:r>
        <w:t xml:space="preserve">[85%] 2554 (ponieważ dopełnienie bliższe, „dobra nowina”, jest domyślnie zawarte w czasowniku, „lud” funkcjonuje jako dopełnienie dalsze, a celownik jest poprawny, występuje jednak także biernik, a w tym kontekście nie ma różnicy znaczeniowej).</w:t>
      </w:r>
    </w:p>
    <w:p>
      <w:pPr>
        <w:numPr>
          <w:ilvl w:val="0"/>
          <w:numId w:val="1021"/>
        </w:numPr>
      </w:pPr>
      <w:r>
        <w:t xml:space="preserve">Ewangelia Łukasza 12,18</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[7%]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1"/>
        </w:numPr>
      </w:pPr>
      <w:r>
        <w:t xml:space="preserve">Ewangelia Łukasza 21,33</w:t>
      </w:r>
      <w:r>
        <w:t xml:space="preserve"> </w:t>
      </w:r>
      <w:r>
        <w:rPr>
          <w:iCs/>
          <w:i/>
        </w:rPr>
        <w:t xml:space="preserve">παρελευσεται</w:t>
      </w:r>
      <w:r>
        <w:t xml:space="preserve"> </w:t>
      </w:r>
      <w:r>
        <w:t xml:space="preserve">||</w:t>
      </w:r>
      <w:r>
        <w:t xml:space="preserve"> </w:t>
      </w:r>
      <w:r>
        <w:rPr>
          <w:iCs/>
          <w:i/>
        </w:rPr>
        <w:t xml:space="preserve">παρελευσονται</w:t>
      </w:r>
      <w:r>
        <w:t xml:space="preserve"> </w:t>
      </w:r>
      <w:r>
        <w:t xml:space="preserve">[68%] 2554 (niezależnie od tego, czy złożony podmiot czasownika jest traktowany jako liczba pojedyncza czy mnoga, znaczenie jest takie samo, w języku angielskim tłumaczenie jest takie samo).</w:t>
      </w:r>
    </w:p>
    <w:p>
      <w:pPr>
        <w:numPr>
          <w:ilvl w:val="0"/>
          <w:numId w:val="1021"/>
        </w:numPr>
      </w:pPr>
      <w:r>
        <w:t xml:space="preserve">Ewangelia Łukasza 22,18</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[15%]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ma w Ewangelii Łukasza cztery właściwe warianty i nie wpływają one na znaczenie.</w:t>
      </w:r>
    </w:p>
    <w:p>
      <w:pPr>
        <w:numPr>
          <w:ilvl w:val="0"/>
          <w:numId w:val="1022"/>
        </w:numPr>
      </w:pPr>
      <w:r>
        <w:t xml:space="preserve">Ewangelia Jana 6,55</w:t>
      </w:r>
      <w:r>
        <w:t xml:space="preserve"> </w:t>
      </w:r>
      <w:r>
        <w:rPr>
          <w:iCs/>
          <w:i/>
        </w:rPr>
        <w:t xml:space="preserve">αληθως</w:t>
      </w:r>
      <w:r>
        <w:t xml:space="preserve"> </w:t>
      </w:r>
      <w:r>
        <w:t xml:space="preserve">||</w:t>
      </w:r>
      <w:r>
        <w:t xml:space="preserve"> </w:t>
      </w:r>
      <w:r>
        <w:rPr>
          <w:iCs/>
          <w:i/>
        </w:rPr>
        <w:t xml:space="preserve">αληθης</w:t>
      </w:r>
      <w:r>
        <w:t xml:space="preserve"> </w:t>
      </w:r>
      <w:r>
        <w:t xml:space="preserve">(24,5%) 2554</w:t>
      </w:r>
      <w:r>
        <w:rPr>
          <w:vertAlign w:val="superscript"/>
        </w:rPr>
        <w:t xml:space="preserve">2x</w:t>
      </w:r>
      <w:r>
        <w:t xml:space="preserve"> </w:t>
      </w:r>
      <w:r>
        <w:t xml:space="preserve">(niezależnie od tego, czy jest to przysłówek, czy przymiotnik, w tym kontekście mają to samo znaczenie, powtórzenie traktuję jako jeden wariant).</w:t>
      </w:r>
    </w:p>
    <w:p>
      <w:pPr>
        <w:numPr>
          <w:ilvl w:val="0"/>
          <w:numId w:val="1022"/>
        </w:numPr>
      </w:pPr>
      <w:r>
        <w:t xml:space="preserve">Ewangelia Jana 12,6</w:t>
      </w:r>
      <w:r>
        <w:t xml:space="preserve"> </w:t>
      </w:r>
      <w:r>
        <w:rPr>
          <w:iCs/>
          <w:i/>
        </w:rPr>
        <w:t xml:space="preserve">εμελεν</w:t>
      </w:r>
      <w:r>
        <w:t xml:space="preserve"> </w:t>
      </w:r>
      <w:r>
        <w:t xml:space="preserve">||</w:t>
      </w:r>
      <w:r>
        <w:t xml:space="preserve"> </w:t>
      </w:r>
      <w:r>
        <w:rPr>
          <w:iCs/>
          <w:i/>
        </w:rPr>
        <w:t xml:space="preserve">εμελλεν</w:t>
      </w:r>
      <w:r>
        <w:t xml:space="preserve"> </w:t>
      </w:r>
      <w:r>
        <w:t xml:space="preserve">[60%] (po uwzględnieniu poprawek skolacjonowane przeze mnie manuskrypty (57) dzielą się mniej więcej po równo. Czy czasownikiem jest μελω, czy μελλω? μελει jako forma bezosobowa jest najczęstsze, czasownik ten jest jednak używany także w sensie osobowym/czynnym. μελλω („mieć coś uczynić”) nie ma tutaj sensu. μελλω występuje około dziesięć razy częściej w Nowym Testamencie i niektórzy kopiści mogli bez zastanowienia zapisać bardziej zwyczajną pisownię. Zaledwie dwa wiersze wyżej napisali μελλων i mogli powtórzyć tę formę przez przyciąganie. Ponieważ jednak obie formy wymawia się tak samo, ktoś słuchający głośnego odczytywania Tekstu zrozumiałby go poprawnie, kierując się kontekstem. Właśnie z tego powodu możliwe jest, że zakres semantyczny dłuższej formy zaczęto uważać za obejmujący zakres formy krótszej, w takim przypadku mielibyśmy alternatywne pisownie tego samego czasownika. (Nie mam zwyczaju odwoływać się do wczesnych uncjałów, lecz wszystkie mają tutaj formę krótszą, co zgadzałoby się z moją powyższą hipotezą). Pierwsza ręka 2554 pozostawiła miejsce na drugą</w:t>
      </w:r>
      <w:r>
        <w:t xml:space="preserve"> </w:t>
      </w:r>
      <w:r>
        <w:rPr>
          <w:iCs/>
          <w:i/>
        </w:rPr>
        <w:t xml:space="preserve">lambdę</w:t>
      </w:r>
      <w:r>
        <w:t xml:space="preserve">, była więc świadoma wariantu, lecz poprawnie go nie skopiowała).</w:t>
      </w:r>
    </w:p>
    <w:p>
      <w:pPr>
        <w:numPr>
          <w:ilvl w:val="0"/>
          <w:numId w:val="1022"/>
        </w:numPr>
      </w:pPr>
      <w:r>
        <w:t xml:space="preserve">Ewangelia Jana 12,40</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[20%]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Ewangelii Jana dwa właściwe warianty i nie wpływają one na znaczenie. 2 + 4 + 1 = 7, manuskrypt mający tylko siedem wariantów we wszystkich czterech Ewangeliach jest z pewnością wzorem cnót. Nazywam to nadzwyczaj starannym przekazem, ponieważ z konieczności odnosiłoby się to również do wcześniejszych pokoleń.</w:t>
      </w:r>
    </w:p>
    <w:p>
      <w:pPr>
        <w:numPr>
          <w:ilvl w:val="0"/>
          <w:numId w:val="1023"/>
        </w:numPr>
      </w:pPr>
      <w:r>
        <w:t xml:space="preserve">Dzieje Apostolskie 1,11</w:t>
      </w:r>
      <w:r>
        <w:t xml:space="preserve"> </w:t>
      </w:r>
      <w:r>
        <w:rPr>
          <w:iCs/>
          <w:i/>
        </w:rPr>
        <w:t xml:space="preserve">ουτος</w:t>
      </w:r>
      <w:r>
        <w:t xml:space="preserve"> </w:t>
      </w:r>
      <w:r>
        <w:t xml:space="preserve">|| 1</w:t>
      </w:r>
      <w:r>
        <w:t xml:space="preserve"> </w:t>
      </w:r>
      <w:r>
        <w:rPr>
          <w:iCs/>
          <w:i/>
        </w:rPr>
        <w:t xml:space="preserve">ο</w:t>
      </w:r>
      <w:r>
        <w:t xml:space="preserve"> </w:t>
      </w:r>
      <w:r>
        <w:t xml:space="preserve">[70%] 2554 (zaimek wskazujący określa nawet bardziej niż rodzajnik określony, rodzajnik jest więc tutaj zbędny, w każdym razie znaczenie nie zostaje naruszone).</w:t>
      </w:r>
    </w:p>
    <w:p>
      <w:pPr>
        <w:numPr>
          <w:ilvl w:val="0"/>
          <w:numId w:val="1023"/>
        </w:numPr>
      </w:pPr>
      <w:r>
        <w:t xml:space="preserve">Dzieje Apostolskie 11,26</w:t>
      </w:r>
      <w:r>
        <w:t xml:space="preserve"> </w:t>
      </w:r>
      <w:r>
        <w:rPr>
          <w:iCs/>
          <w:i/>
        </w:rPr>
        <w:t xml:space="preserve">συναχθηναι</w:t>
      </w:r>
      <w:r>
        <w:t xml:space="preserve"> </w:t>
      </w:r>
      <w:r>
        <w:t xml:space="preserve">|| 1</w:t>
      </w:r>
      <w:r>
        <w:t xml:space="preserve"> </w:t>
      </w:r>
      <w:r>
        <w:rPr>
          <w:iCs/>
          <w:i/>
        </w:rPr>
        <w:t xml:space="preserve">εν</w:t>
      </w:r>
      <w:r>
        <w:t xml:space="preserve"> </w:t>
      </w:r>
      <w:r>
        <w:t xml:space="preserve">[20%] 2554 (rodzina jest tutaj podzielona, niewielka większość z 35 skolacjonowanych przeze mnie manuskryptów dodaje przyimek, co jest zmianą „naturalną”, lecz zbędną, w każdym razie znaczenie nie zostaje naruszone).</w:t>
      </w:r>
    </w:p>
    <w:p>
      <w:pPr>
        <w:numPr>
          <w:ilvl w:val="0"/>
          <w:numId w:val="1023"/>
        </w:numPr>
      </w:pPr>
      <w:r>
        <w:t xml:space="preserve">Dzieje Apostolskie 12,25</w:t>
      </w:r>
      <w:r>
        <w:t xml:space="preserve"> </w:t>
      </w:r>
      <w:r>
        <w:rPr>
          <w:iCs/>
          <w:i/>
        </w:rPr>
        <w:t xml:space="preserve">εις αντιοχειαν</w:t>
      </w:r>
      <w:r>
        <w:t xml:space="preserve"> </w:t>
      </w:r>
      <w:r>
        <w:t xml:space="preserve">||</w:t>
      </w:r>
      <w:r>
        <w:t xml:space="preserve"> </w:t>
      </w:r>
      <w:r>
        <w:rPr>
          <w:iCs/>
          <w:i/>
        </w:rPr>
        <w:t xml:space="preserve">απο ιερουσαλημ</w:t>
      </w:r>
      <w:r>
        <w:t xml:space="preserve"> </w:t>
      </w:r>
      <w:r>
        <w:t xml:space="preserve">2554 (jest to jedyne miejsce w całym Nowym Testamencie, w którym Rodzina 35 rozpada się na odłamy, istnieje bowiem sześciokrotny podział [zazwyczaj jest tylko dwóch głównych kandydatów], szczegółowe omówienie zawiera mój artykuł „Where to place a comma—Acts 12:25”, dostępny na mojej stronie www.prunch.org, w tym kontekście oba podane tutaj odczyty mają ten sam skutek, artykuł jest również ostatnią pozycją w Dodatku do mojego tłumaczenia Nowego Testamentu,</w:t>
      </w:r>
      <w:r>
        <w:t xml:space="preserve"> </w:t>
      </w:r>
      <w:r>
        <w:rPr>
          <w:iCs/>
          <w:i/>
        </w:rPr>
        <w:t xml:space="preserve">The Sovereign Creator Has Spoken</w:t>
      </w:r>
      <w:r>
        <w:t xml:space="preserve">, wydanie drugie).</w:t>
      </w:r>
    </w:p>
    <w:p>
      <w:pPr>
        <w:numPr>
          <w:ilvl w:val="0"/>
          <w:numId w:val="1023"/>
        </w:numPr>
      </w:pPr>
      <w:r>
        <w:t xml:space="preserve">Dzieje Apostolskie 16,9</w:t>
      </w:r>
      <w:r>
        <w:t xml:space="preserve"> </w:t>
      </w:r>
      <w:r>
        <w:rPr>
          <w:iCs/>
          <w:i/>
        </w:rPr>
        <w:t xml:space="preserve">την</w:t>
      </w:r>
      <w:r>
        <w:t xml:space="preserve"> </w:t>
      </w:r>
      <w:r>
        <w:t xml:space="preserve">2554</w:t>
      </w:r>
      <w:r>
        <w:rPr>
          <w:vertAlign w:val="superscript"/>
        </w:rPr>
        <w:t xml:space="preserve">c</w:t>
      </w:r>
      <w:r>
        <w:t xml:space="preserve"> </w:t>
      </w:r>
      <w:r>
        <w:t xml:space="preserve">|| --- [80%] 2554 (Rodzina 35 jest praktycznie jednomyślna na rzecz rodzajnika, pierwsza ręka mogła więc pominąć go samodzielnie, po czym został poprawiony przez kogoś innego, w każdym razie znaczenie nie zostaje naruszone).</w:t>
      </w:r>
    </w:p>
    <w:p>
      <w:pPr>
        <w:numPr>
          <w:ilvl w:val="0"/>
          <w:numId w:val="1023"/>
        </w:numPr>
      </w:pPr>
      <w:r>
        <w:t xml:space="preserve">Dzieje Apostolskie 18,17</w:t>
      </w:r>
      <w:r>
        <w:t xml:space="preserve"> </w:t>
      </w:r>
      <w:r>
        <w:rPr>
          <w:iCs/>
          <w:i/>
        </w:rPr>
        <w:t xml:space="preserve">εμελλεν</w:t>
      </w:r>
      <w:r>
        <w:t xml:space="preserve"> </w:t>
      </w:r>
      <w:r>
        <w:t xml:space="preserve">||</w:t>
      </w:r>
      <w:r>
        <w:t xml:space="preserve"> </w:t>
      </w:r>
      <w:r>
        <w:rPr>
          <w:iCs/>
          <w:i/>
        </w:rPr>
        <w:t xml:space="preserve">εμελεν</w:t>
      </w:r>
      <w:r>
        <w:t xml:space="preserve"> </w:t>
      </w:r>
      <w:r>
        <w:t xml:space="preserve">[14%] 2554</w:t>
      </w:r>
      <w:r>
        <w:rPr>
          <w:vertAlign w:val="superscript"/>
        </w:rPr>
        <w:t xml:space="preserve">c</w:t>
      </w:r>
      <w:r>
        <w:t xml:space="preserve"> </w:t>
      </w:r>
      <w:r>
        <w:t xml:space="preserve">(Rodzina 35 jest tutaj podzielona, 2554 ma pojedynczą</w:t>
      </w:r>
      <w:r>
        <w:t xml:space="preserve"> </w:t>
      </w:r>
      <w:r>
        <w:rPr>
          <w:iCs/>
          <w:i/>
        </w:rPr>
        <w:t xml:space="preserve">lambdę</w:t>
      </w:r>
      <w:r>
        <w:t xml:space="preserve"> </w:t>
      </w:r>
      <w:r>
        <w:t xml:space="preserve">w miejscu, które jest dla niej zbyt duże, zakładam więc, że pierwsza ręka miała podwójną, lecz została ona wymazana. Czy czasownikiem jest</w:t>
      </w:r>
      <w:r>
        <w:t xml:space="preserve"> </w:t>
      </w:r>
      <w:r>
        <w:rPr>
          <w:iCs/>
          <w:i/>
        </w:rPr>
        <w:t xml:space="preserve">μελλω</w:t>
      </w:r>
      <w:r>
        <w:t xml:space="preserve">, czy</w:t>
      </w:r>
      <w:r>
        <w:t xml:space="preserve"> </w:t>
      </w:r>
      <w:r>
        <w:rPr>
          <w:iCs/>
          <w:i/>
        </w:rPr>
        <w:t xml:space="preserve">μελω</w:t>
      </w:r>
      <w:r>
        <w:t xml:space="preserve">? Jeśli pierwszy, znaczenie nie jest powszechne i mogło łatwo dać początek drugiemu. Tłumaczenie: „Żadna z tych rzeczy nie była dla Galliona zwłoką”, Gallion jest w celowniku. Gallion przypuszczalnie uważał się za człowieka zajętego i nie doceniał zakłócenia, nie zamierzał pozwolić, by dalej go zatrzymywano. W 22,16 ten sam czasownik ma znaczenie „zwlekać”. Chociaż istnieje pewna różnica znaczeniowa, sens narracji nie zostaje zmieniony).</w:t>
      </w:r>
    </w:p>
    <w:p>
      <w:pPr>
        <w:numPr>
          <w:ilvl w:val="0"/>
          <w:numId w:val="1023"/>
        </w:numPr>
      </w:pPr>
      <w:r>
        <w:t xml:space="preserve">Dzieje Apostolskie 25,7</w:t>
      </w:r>
      <w:r>
        <w:t xml:space="preserve"> </w:t>
      </w:r>
      <w:r>
        <w:rPr>
          <w:iCs/>
          <w:i/>
        </w:rPr>
        <w:t xml:space="preserve">καταβεβηκοτες</w:t>
      </w:r>
      <w:r>
        <w:t xml:space="preserve"> </w:t>
      </w:r>
      <w:r>
        <w:t xml:space="preserve">|| 1</w:t>
      </w:r>
      <w:r>
        <w:t xml:space="preserve"> </w:t>
      </w:r>
      <w:r>
        <w:rPr>
          <w:iCs/>
          <w:i/>
        </w:rPr>
        <w:t xml:space="preserve">οι</w:t>
      </w:r>
      <w:r>
        <w:t xml:space="preserve"> </w:t>
      </w:r>
      <w:r>
        <w:t xml:space="preserve">2554 (wydaje się to niestarannym błędem kopisty, który jednak nadal ma sens, znaczenie nie zostaje naruszone).</w:t>
      </w:r>
    </w:p>
    <w:p>
      <w:pPr>
        <w:numPr>
          <w:ilvl w:val="0"/>
          <w:numId w:val="1023"/>
        </w:numPr>
      </w:pPr>
      <w:r>
        <w:t xml:space="preserve">Dzieje Apostolskie 28,27</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[60%]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Dziejach Apostolskich sześć właściwych wariantów, z których jeden został poprawiony, pozostaje więc pięć. Spośród tych pięciu cztery nie wpływają na znaczenie. W Dziejach Apostolskich 12,25 oba warianty są w tym kontekście praktycznie dwoma sposobami powiedzenia tego samego, sens narracji nie zostaje zmieniony.</w:t>
      </w:r>
    </w:p>
    <w:p>
      <w:pPr>
        <w:numPr>
          <w:ilvl w:val="0"/>
          <w:numId w:val="1024"/>
        </w:numPr>
      </w:pPr>
      <w:r>
        <w:t xml:space="preserve">List do Rzymian 7,13</w:t>
      </w:r>
      <w:r>
        <w:t xml:space="preserve"> </w:t>
      </w:r>
      <w:r>
        <w:rPr>
          <w:iCs/>
          <w:i/>
        </w:rPr>
        <w:t xml:space="preserve">αλλα</w:t>
      </w:r>
      <w:r>
        <w:t xml:space="preserve"> </w:t>
      </w:r>
      <w:r>
        <w:t xml:space="preserve">||</w:t>
      </w:r>
      <w:r>
        <w:t xml:space="preserve"> </w:t>
      </w:r>
      <w:r>
        <w:rPr>
          <w:iCs/>
          <w:i/>
        </w:rPr>
        <w:t xml:space="preserve">αλλ</w:t>
      </w:r>
      <w:r>
        <w:t xml:space="preserve"> </w:t>
      </w:r>
      <w:r>
        <w:t xml:space="preserve">[30%] 2554 (są to alternatywne pisownie tego samego słowa, nie jest to więc właściwy wariant).</w:t>
      </w:r>
    </w:p>
    <w:p>
      <w:pPr>
        <w:numPr>
          <w:ilvl w:val="0"/>
          <w:numId w:val="1024"/>
        </w:numPr>
      </w:pPr>
      <w:r>
        <w:t xml:space="preserve">List do Rzymian 16,24</w:t>
      </w:r>
      <w:r>
        <w:t xml:space="preserve"> </w:t>
      </w:r>
      <w:r>
        <w:rPr>
          <w:iCs/>
          <w:i/>
        </w:rPr>
        <w:t xml:space="preserve">ημων</w:t>
      </w:r>
      <w:r>
        <w:t xml:space="preserve"> </w:t>
      </w:r>
      <w:r>
        <w:t xml:space="preserve">||</w:t>
      </w:r>
      <w:r>
        <w:t xml:space="preserve"> </w:t>
      </w:r>
      <w:r>
        <w:rPr>
          <w:iCs/>
          <w:i/>
        </w:rPr>
        <w:t xml:space="preserve">υμων</w:t>
      </w:r>
      <w:r>
        <w:t xml:space="preserve"> </w:t>
      </w:r>
      <w:r>
        <w:t xml:space="preserve">[82%] 2554</w:t>
      </w:r>
      <w:r>
        <w:rPr>
          <w:vertAlign w:val="superscript"/>
        </w:rPr>
        <w:t xml:space="preserve">c</w:t>
      </w:r>
      <w:r>
        <w:t xml:space="preserve"> </w:t>
      </w:r>
      <w:r>
        <w:t xml:space="preserve">(jeśli werset 24 nie był dyktowany przez Pawła, pierwsza osoba jest szczególnie odpowiednia, ponieważ pochodzi od Tercjusza, w tym kontekście znaczenie zostaje naruszone w znikomym stopniu).</w:t>
      </w:r>
    </w:p>
    <w:p>
      <w:pPr>
        <w:pStyle w:val="FirstParagraph"/>
      </w:pPr>
      <w:r>
        <w:rPr>
          <w:bCs/>
          <w:b/>
        </w:rPr>
        <w:t xml:space="preserve">Komentarz</w:t>
      </w:r>
      <w:r>
        <w:t xml:space="preserve">: Uważam, że pierwsza ręka daje nam doskonałą kopię archetypu dla Listu do Rzymian, ponieważ nie ma właściwych wariantów. 1 List do Koryntian również daje nam doskonałą kopię archetypu.</w:t>
      </w:r>
    </w:p>
    <w:p>
      <w:pPr>
        <w:numPr>
          <w:ilvl w:val="0"/>
          <w:numId w:val="1025"/>
        </w:numPr>
      </w:pPr>
      <w:r>
        <w:t xml:space="preserve">2 List do Koryntian 8,9</w:t>
      </w:r>
      <w:r>
        <w:t xml:space="preserve"> </w:t>
      </w:r>
      <w:r>
        <w:rPr>
          <w:iCs/>
          <w:i/>
        </w:rPr>
        <w:t xml:space="preserve">ημας</w:t>
      </w:r>
      <w:r>
        <w:t xml:space="preserve"> </w:t>
      </w:r>
      <w:r>
        <w:t xml:space="preserve">||</w:t>
      </w:r>
      <w:r>
        <w:t xml:space="preserve"> </w:t>
      </w:r>
      <w:r>
        <w:rPr>
          <w:iCs/>
          <w:i/>
        </w:rPr>
        <w:t xml:space="preserve">υμας</w:t>
      </w:r>
      <w:r>
        <w:t xml:space="preserve"> </w:t>
      </w:r>
      <w:r>
        <w:t xml:space="preserve">[60%] (Rodzina 35 jest tutaj podzielona, lecz lepsi przedstawiciele, łącznie z 2554, opowiadają się za pierwszą osobą, która jest bardziej inkluzywna, w tym kontekście nie ma rzeczywistej różnicy znaczeniowej).</w:t>
      </w:r>
    </w:p>
    <w:p>
      <w:pPr>
        <w:numPr>
          <w:ilvl w:val="0"/>
          <w:numId w:val="1025"/>
        </w:numPr>
      </w:pPr>
      <w:r>
        <w:t xml:space="preserve">2 List do Koryntian 9,10</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[6%]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5"/>
        </w:numPr>
      </w:pPr>
      <w:r>
        <w:t xml:space="preserve">2 List do Koryntian 11,7</w:t>
      </w:r>
      <w:r>
        <w:t xml:space="preserve"> </w:t>
      </w:r>
      <w:r>
        <w:rPr>
          <w:iCs/>
          <w:i/>
        </w:rPr>
        <w:t xml:space="preserve">εαυτον</w:t>
      </w:r>
      <w:r>
        <w:t xml:space="preserve"> </w:t>
      </w:r>
      <w:r>
        <w:t xml:space="preserve">||</w:t>
      </w:r>
      <w:r>
        <w:t xml:space="preserve"> </w:t>
      </w:r>
      <w:r>
        <w:rPr>
          <w:iCs/>
          <w:i/>
        </w:rPr>
        <w:t xml:space="preserve">εμαυτον</w:t>
      </w:r>
      <w:r>
        <w:t xml:space="preserve"> </w:t>
      </w:r>
      <w:r>
        <w:t xml:space="preserve">[78%] 2554</w:t>
      </w:r>
      <w:r>
        <w:rPr>
          <w:vertAlign w:val="superscript"/>
        </w:rPr>
        <w:t xml:space="preserve">c</w:t>
      </w:r>
      <w:r>
        <w:t xml:space="preserve"> </w:t>
      </w:r>
      <w:r>
        <w:t xml:space="preserve">(</w:t>
      </w:r>
      <w:r>
        <w:rPr>
          <w:iCs/>
          <w:i/>
        </w:rPr>
        <w:t xml:space="preserve">mu</w:t>
      </w:r>
      <w:r>
        <w:t xml:space="preserve"> </w:t>
      </w:r>
      <w:r>
        <w:t xml:space="preserve">zostało dodane nad wierszem przez późniejszą rękę,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2 Listu do Koryntian. List do Galacjan, List do Efezjan, List do Filipian i List do Kolosan również dają nam doskonałą kopię archetypu.</w:t>
      </w:r>
    </w:p>
    <w:p>
      <w:pPr>
        <w:numPr>
          <w:ilvl w:val="0"/>
          <w:numId w:val="1026"/>
        </w:numPr>
        <w:pStyle w:val="Compact"/>
      </w:pPr>
      <w:r>
        <w:t xml:space="preserve">1 List do Tesaloniczan 2,8</w:t>
      </w:r>
      <w:r>
        <w:t xml:space="preserve"> </w:t>
      </w:r>
      <w:r>
        <w:rPr>
          <w:iCs/>
          <w:i/>
        </w:rPr>
        <w:t xml:space="preserve">ιμειρομενοι</w:t>
      </w:r>
      <w:r>
        <w:t xml:space="preserve"> </w:t>
      </w:r>
      <w:r>
        <w:t xml:space="preserve">||</w:t>
      </w:r>
      <w:r>
        <w:t xml:space="preserve"> </w:t>
      </w:r>
      <w:r>
        <w:rPr>
          <w:iCs/>
          <w:i/>
        </w:rPr>
        <w:t xml:space="preserve">ομειρομενοι</w:t>
      </w:r>
      <w:r>
        <w:t xml:space="preserve"> </w:t>
      </w:r>
      <w:r>
        <w:t xml:space="preserve">[30%] 2554</w:t>
      </w:r>
      <w:r>
        <w:rPr>
          <w:vertAlign w:val="superscript"/>
        </w:rPr>
        <w:t xml:space="preserve">c</w:t>
      </w:r>
      <w:r>
        <w:t xml:space="preserve"> </w:t>
      </w:r>
      <w:r>
        <w:t xml:space="preserve">(wygląda na to, że</w:t>
      </w:r>
      <w:r>
        <w:t xml:space="preserve"> </w:t>
      </w:r>
      <w:r>
        <w:rPr>
          <w:iCs/>
          <w:i/>
        </w:rPr>
        <w:t xml:space="preserve">omikron</w:t>
      </w:r>
      <w:r>
        <w:t xml:space="preserve"> </w:t>
      </w:r>
      <w:r>
        <w:t xml:space="preserve">zapisano wokół</w:t>
      </w:r>
      <w:r>
        <w:t xml:space="preserve"> </w:t>
      </w:r>
      <w:r>
        <w:rPr>
          <w:iCs/>
          <w:i/>
        </w:rPr>
        <w:t xml:space="preserve">ioty</w:t>
      </w:r>
      <w:r>
        <w:t xml:space="preserve">, lecz trudno to stwierdzić na podstawie mikrofilmu, w każdym razie ponieważ wydają się to alternatywne pisownie tego samego słowa, nie jest to właściwy wariant).</w:t>
      </w:r>
    </w:p>
    <w:p>
      <w:pPr>
        <w:pStyle w:val="FirstParagraph"/>
      </w:pPr>
      <w:r>
        <w:rPr>
          <w:bCs/>
          <w:b/>
        </w:rPr>
        <w:t xml:space="preserve">Komentarz</w:t>
      </w:r>
      <w:r>
        <w:t xml:space="preserve">: Uważam, że pierwsza ręka daje nam doskonałą kopię archetypu dla 1 Listu do Tesaloniczan. 2 List do Tesaloniczan również daje nam doskonałą kopię archetypu.</w:t>
      </w:r>
    </w:p>
    <w:p>
      <w:pPr>
        <w:numPr>
          <w:ilvl w:val="0"/>
          <w:numId w:val="1027"/>
        </w:numPr>
      </w:pPr>
      <w:r>
        <w:t xml:space="preserve">1 List do Tymoteusza 1,9a</w:t>
      </w:r>
      <w:r>
        <w:t xml:space="preserve"> </w:t>
      </w:r>
      <w:r>
        <w:rPr>
          <w:iCs/>
          <w:i/>
        </w:rPr>
        <w:t xml:space="preserve">πατραλοιαις</w:t>
      </w:r>
      <w:r>
        <w:t xml:space="preserve"> </w:t>
      </w:r>
      <w:r>
        <w:t xml:space="preserve">||</w:t>
      </w:r>
      <w:r>
        <w:t xml:space="preserve"> </w:t>
      </w:r>
      <w:r>
        <w:rPr>
          <w:iCs/>
          <w:i/>
        </w:rPr>
        <w:t xml:space="preserve">πατρολωαις</w:t>
      </w:r>
      <w:r>
        <w:t xml:space="preserve"> </w:t>
      </w:r>
      <w:r>
        <w:t xml:space="preserve">[34%] (Rodzina 35 jest tutaj podzielona, lecz większość, łącznie z 2554, ma pierwszy odczyt. Liddell i Scott podają go oraz jego żeński odpowiednik jako formy podstawowe, których znaczeniem jest „bijący”, nie zaś „zabójca”, co ma lepszy sens).</w:t>
      </w:r>
    </w:p>
    <w:p>
      <w:pPr>
        <w:numPr>
          <w:ilvl w:val="0"/>
          <w:numId w:val="1027"/>
        </w:numPr>
      </w:pPr>
      <w:r>
        <w:t xml:space="preserve">1 List do Tymoteusza 1,9b</w:t>
      </w:r>
      <w:r>
        <w:t xml:space="preserve"> </w:t>
      </w:r>
      <w:r>
        <w:rPr>
          <w:iCs/>
          <w:i/>
        </w:rPr>
        <w:t xml:space="preserve">μητραλοιαις</w:t>
      </w:r>
      <w:r>
        <w:t xml:space="preserve"> </w:t>
      </w:r>
      <w:r>
        <w:t xml:space="preserve">||</w:t>
      </w:r>
      <w:r>
        <w:t xml:space="preserve"> </w:t>
      </w:r>
      <w:r>
        <w:rPr>
          <w:iCs/>
          <w:i/>
        </w:rPr>
        <w:t xml:space="preserve">μητρολωαις</w:t>
      </w:r>
      <w:r>
        <w:t xml:space="preserve"> </w:t>
      </w:r>
      <w:r>
        <w:t xml:space="preserve">[40%] (tak samo jak wyżej).</w:t>
      </w:r>
    </w:p>
    <w:p>
      <w:pPr>
        <w:numPr>
          <w:ilvl w:val="0"/>
          <w:numId w:val="1027"/>
        </w:numPr>
      </w:pPr>
      <w:r>
        <w:t xml:space="preserve">1 List do Tymoteusza 5,21</w:t>
      </w:r>
      <w:r>
        <w:t xml:space="preserve"> </w:t>
      </w:r>
      <w:r>
        <w:rPr>
          <w:iCs/>
          <w:i/>
        </w:rPr>
        <w:t xml:space="preserve">προσκλισιν</w:t>
      </w:r>
      <w:r>
        <w:t xml:space="preserve"> </w:t>
      </w:r>
      <w:r>
        <w:t xml:space="preserve">||</w:t>
      </w:r>
      <w:r>
        <w:t xml:space="preserve"> </w:t>
      </w:r>
      <w:r>
        <w:rPr>
          <w:iCs/>
          <w:i/>
        </w:rPr>
        <w:t xml:space="preserve">προσκλησιν</w:t>
      </w:r>
      <w:r>
        <w:t xml:space="preserve"> </w:t>
      </w:r>
      <w:r>
        <w:t xml:space="preserve">[75%] (Rodzina 35 jest tutaj podzielona, lecz większość, łącznie z 2554, ma pierwszy odczyt, obie formy wymawiano tak samo, w tym kontekście znaczenie nie zostaje naruszone).</w:t>
      </w:r>
    </w:p>
    <w:p>
      <w:pPr>
        <w:pStyle w:val="FirstParagraph"/>
      </w:pPr>
      <w:r>
        <w:rPr>
          <w:bCs/>
          <w:b/>
        </w:rPr>
        <w:t xml:space="preserve">Komentarz</w:t>
      </w:r>
      <w:r>
        <w:t xml:space="preserve">: Uważam, że pierwsza ręka daje nam doskonałą kopię archetypu dla 1 Listu do Tymoteusza.</w:t>
      </w:r>
    </w:p>
    <w:p>
      <w:pPr>
        <w:numPr>
          <w:ilvl w:val="0"/>
          <w:numId w:val="1028"/>
        </w:numPr>
      </w:pPr>
      <w:r>
        <w:t xml:space="preserve">2 List do Tymoteusza 3,14</w:t>
      </w:r>
      <w:r>
        <w:t xml:space="preserve"> </w:t>
      </w:r>
      <w:r>
        <w:rPr>
          <w:iCs/>
          <w:i/>
        </w:rPr>
        <w:t xml:space="preserve">επιστωθης</w:t>
      </w:r>
      <w:r>
        <w:t xml:space="preserve"> </w:t>
      </w:r>
      <w:r>
        <w:t xml:space="preserve">||</w:t>
      </w:r>
      <w:r>
        <w:t xml:space="preserve"> </w:t>
      </w:r>
      <w:r>
        <w:rPr>
          <w:iCs/>
          <w:i/>
        </w:rPr>
        <w:t xml:space="preserve">επιστευθης</w:t>
      </w:r>
      <w:r>
        <w:t xml:space="preserve"> </w:t>
      </w:r>
      <w:r>
        <w:t xml:space="preserve">[10%] 2554 (obie formy reprezentują różne czasowniki, lecz w tym kontekście działają jako synonimy, znaczenie nie zostaje naruszone).</w:t>
      </w:r>
    </w:p>
    <w:p>
      <w:pPr>
        <w:numPr>
          <w:ilvl w:val="0"/>
          <w:numId w:val="1028"/>
        </w:numPr>
      </w:pPr>
      <w:r>
        <w:t xml:space="preserve">List do Tytusa 2,7</w:t>
      </w:r>
      <w:r>
        <w:t xml:space="preserve"> </w:t>
      </w:r>
      <w:r>
        <w:rPr>
          <w:iCs/>
          <w:i/>
        </w:rPr>
        <w:t xml:space="preserve">αδιαφθοριαν</w:t>
      </w:r>
      <w:r>
        <w:t xml:space="preserve"> </w:t>
      </w:r>
      <w:r>
        <w:t xml:space="preserve">||</w:t>
      </w:r>
      <w:r>
        <w:t xml:space="preserve"> </w:t>
      </w:r>
      <w:r>
        <w:rPr>
          <w:iCs/>
          <w:i/>
        </w:rPr>
        <w:t xml:space="preserve">αδιαφοριαν</w:t>
      </w:r>
      <w:r>
        <w:t xml:space="preserve"> </w:t>
      </w:r>
      <w:r>
        <w:t xml:space="preserve">(8%) 2554 (jest to tylko alternatywna pisownia tego samego słowa, a zatem nie jest właściwym wariantem).</w:t>
      </w:r>
    </w:p>
    <w:p>
      <w:pPr>
        <w:pStyle w:val="FirstParagraph"/>
      </w:pPr>
      <w:r>
        <w:rPr>
          <w:bCs/>
          <w:b/>
        </w:rPr>
        <w:t xml:space="preserve">Komentarz</w:t>
      </w:r>
      <w:r>
        <w:t xml:space="preserve">: Uważam, że pierwsza ręka ma w 2 Liście do Tymoteusza tylko jeden właściwy wariant i nie wpływa on na znaczenie. List do Tytusa i List do Filemona dają nam doskonałą kopię archetypu.</w:t>
      </w:r>
    </w:p>
    <w:p>
      <w:pPr>
        <w:numPr>
          <w:ilvl w:val="0"/>
          <w:numId w:val="1029"/>
        </w:numPr>
      </w:pPr>
      <w:r>
        <w:t xml:space="preserve">List do Hebrajczyków 3,13</w:t>
      </w:r>
      <w:r>
        <w:t xml:space="preserve"> </w:t>
      </w:r>
      <w:r>
        <w:rPr>
          <w:iCs/>
          <w:i/>
        </w:rPr>
        <w:t xml:space="preserve">καλειται</w:t>
      </w:r>
      <w:r>
        <w:t xml:space="preserve"> </w:t>
      </w:r>
      <w:r>
        <w:t xml:space="preserve">||</w:t>
      </w:r>
      <w:r>
        <w:t xml:space="preserve"> </w:t>
      </w:r>
      <w:r>
        <w:rPr>
          <w:iCs/>
          <w:i/>
        </w:rPr>
        <w:t xml:space="preserve">καληται</w:t>
      </w:r>
      <w:r>
        <w:t xml:space="preserve"> </w:t>
      </w:r>
      <w:r>
        <w:t xml:space="preserve">2554</w:t>
      </w:r>
      <w:r>
        <w:rPr>
          <w:vertAlign w:val="superscript"/>
        </w:rPr>
        <w:t xml:space="preserve">c</w:t>
      </w:r>
      <w:r>
        <w:t xml:space="preserve"> </w:t>
      </w:r>
      <w:r>
        <w:t xml:space="preserve">(itacyzm wprowadzony przez późniejszą rękę, powodujący nonsens).</w:t>
      </w:r>
    </w:p>
    <w:p>
      <w:pPr>
        <w:numPr>
          <w:ilvl w:val="0"/>
          <w:numId w:val="1029"/>
        </w:numPr>
      </w:pPr>
      <w:r>
        <w:t xml:space="preserve">List do Hebrajczyków 9,1</w:t>
      </w:r>
      <w:r>
        <w:t xml:space="preserve"> </w:t>
      </w:r>
      <w:r>
        <w:rPr>
          <w:iCs/>
          <w:i/>
        </w:rPr>
        <w:t xml:space="preserve">πρωτη</w:t>
      </w:r>
      <w:r>
        <w:t xml:space="preserve"> </w:t>
      </w:r>
      <w:r>
        <w:t xml:space="preserve">|| 1</w:t>
      </w:r>
      <w:r>
        <w:t xml:space="preserve"> </w:t>
      </w:r>
      <w:r>
        <w:rPr>
          <w:iCs/>
          <w:i/>
        </w:rPr>
        <w:t xml:space="preserve">σκηνη</w:t>
      </w:r>
      <w:r>
        <w:t xml:space="preserve"> </w:t>
      </w:r>
      <w:r>
        <w:t xml:space="preserve">[30%] (Rodzina 35 jest tutaj podzielona, lecz po uwzględnieniu poprawek większość, łącznie z 2554, ma pierwszy odczyt, w każdym razie w tym kontekście znaczenie nie zostaje naruszone).</w:t>
      </w:r>
    </w:p>
    <w:p>
      <w:pPr>
        <w:pStyle w:val="FirstParagraph"/>
      </w:pPr>
      <w:r>
        <w:rPr>
          <w:bCs/>
          <w:b/>
        </w:rPr>
        <w:t xml:space="preserve">Komentarz</w:t>
      </w:r>
      <w:r>
        <w:t xml:space="preserve">: Uważam, że pierwsza ręka daje nam doskonałą kopię archetypu dla Listu do Hebrajczyków. List Jakuba oraz 1 i 2 List Piotra również dają nam doskonałą kopię archetypu. Manuskrypt mający tylko jeden właściwy wariant w całym korpusie Pawłowym jest z pewnością wzorem cnót. Nazywam to nadzwyczaj starannym przekazem, ponieważ z konieczności odnosiłoby się to również do wcześniejszych pokoleń.</w:t>
      </w:r>
    </w:p>
    <w:p>
      <w:pPr>
        <w:numPr>
          <w:ilvl w:val="0"/>
          <w:numId w:val="1030"/>
        </w:numPr>
      </w:pPr>
      <w:r>
        <w:t xml:space="preserve">1 List Jana 1,6</w:t>
      </w:r>
      <w:r>
        <w:t xml:space="preserve"> </w:t>
      </w:r>
      <w:r>
        <w:rPr>
          <w:iCs/>
          <w:i/>
        </w:rPr>
        <w:t xml:space="preserve">περιπατουμεν</w:t>
      </w:r>
      <w:r>
        <w:t xml:space="preserve"> </w:t>
      </w:r>
      <w:r>
        <w:t xml:space="preserve">||</w:t>
      </w:r>
      <w:r>
        <w:t xml:space="preserve"> </w:t>
      </w:r>
      <w:r>
        <w:rPr>
          <w:iCs/>
          <w:i/>
        </w:rPr>
        <w:t xml:space="preserve">περιπατωμεν</w:t>
      </w:r>
      <w:r>
        <w:t xml:space="preserve"> </w:t>
      </w:r>
      <w:r>
        <w:t xml:space="preserve">[71%] (Rodzina 35 jest tutaj podzielona, podążam za mniejszością złożoną z lepszych manuskryptów, łącznie z 2554. Czasownik „mówić” poprawnie występuje w trybie łączącym, ponieważ jest kontrolowany przez εαν, lecz czasowniki „mieć” i „chodzić” są częścią twierdzenia i poprawnie występują w trybie oznajmującym — tylko jeśli rzeczywiście chodzimy w ciemności, stajemy się kłamcami, twierdząc, że mamy społeczność. Dlatego περιπατουμεν jest poprawne. W każdym razie w tym kontekście znaczenie nie zostaje naruszone).</w:t>
      </w:r>
    </w:p>
    <w:p>
      <w:pPr>
        <w:numPr>
          <w:ilvl w:val="0"/>
          <w:numId w:val="1030"/>
        </w:numPr>
      </w:pPr>
      <w:r>
        <w:t xml:space="preserve">1 List Jana 3,23</w:t>
      </w:r>
      <w:r>
        <w:t xml:space="preserve"> </w:t>
      </w:r>
      <w:r>
        <w:rPr>
          <w:iCs/>
          <w:i/>
        </w:rPr>
        <w:t xml:space="preserve">πιστευσωμεν</w:t>
      </w:r>
      <w:r>
        <w:t xml:space="preserve"> </w:t>
      </w:r>
      <w:r>
        <w:t xml:space="preserve">||</w:t>
      </w:r>
      <w:r>
        <w:t xml:space="preserve"> </w:t>
      </w:r>
      <w:r>
        <w:rPr>
          <w:iCs/>
          <w:i/>
        </w:rPr>
        <w:t xml:space="preserve">πιστευωμεν</w:t>
      </w:r>
      <w:r>
        <w:t xml:space="preserve"> </w:t>
      </w:r>
      <w:r>
        <w:t xml:space="preserve">(26,5%) 2554</w:t>
      </w:r>
      <w:r>
        <w:rPr>
          <w:vertAlign w:val="superscript"/>
        </w:rPr>
        <w:t xml:space="preserve">c</w:t>
      </w:r>
      <w:r>
        <w:t xml:space="preserve"> </w:t>
      </w:r>
      <w:r>
        <w:t xml:space="preserve">(widoczne są ślady</w:t>
      </w:r>
      <w:r>
        <w:t xml:space="preserve"> </w:t>
      </w:r>
      <w:r>
        <w:rPr>
          <w:iCs/>
          <w:i/>
        </w:rPr>
        <w:t xml:space="preserve">sigmy</w:t>
      </w:r>
      <w:r>
        <w:t xml:space="preserve">, w każdym razie w tym kontekście zmiana czasu nie wpływa na znaczenie).</w:t>
      </w:r>
    </w:p>
    <w:p>
      <w:pPr>
        <w:pStyle w:val="FirstParagraph"/>
      </w:pPr>
      <w:r>
        <w:rPr>
          <w:bCs/>
          <w:b/>
        </w:rPr>
        <w:t xml:space="preserve">Komentarz</w:t>
      </w:r>
      <w:r>
        <w:t xml:space="preserve">: Uważam, że pierwsza ręka daje nam doskonałą kopię archetypu dla 1 Listu Jana. 2 i 3 List Jana oraz List Judy również dają nam doskonałą kopię archetypu. Manuskrypt niemający ani jednego wariantu we wszystkich siedmiu Listach Ogólnych jest z pewnością wzorem cnót. Nazywam to nadzwyczaj starannym przekazem, ponieważ z konieczności odnosiłoby się to również do wcześniejszych pokoleń. Dotąd wystąpiło tylko trzynaście właściwych wariantów, zobaczmy jednak, co wydarzy się w Objawieniu Jana.</w:t>
      </w:r>
    </w:p>
    <w:p>
      <w:pPr>
        <w:numPr>
          <w:ilvl w:val="0"/>
          <w:numId w:val="1031"/>
        </w:numPr>
      </w:pPr>
      <w:r>
        <w:t xml:space="preserve">Objawienie Jana 1,17</w:t>
      </w:r>
      <w:r>
        <w:t xml:space="preserve"> </w:t>
      </w:r>
      <w:r>
        <w:rPr>
          <w:iCs/>
          <w:i/>
        </w:rPr>
        <w:t xml:space="preserve">επεσα</w:t>
      </w:r>
      <w:r>
        <w:t xml:space="preserve"> </w:t>
      </w:r>
      <w:r>
        <w:t xml:space="preserve">||</w:t>
      </w:r>
      <w:r>
        <w:t xml:space="preserve"> </w:t>
      </w:r>
      <w:r>
        <w:rPr>
          <w:iCs/>
          <w:i/>
        </w:rPr>
        <w:t xml:space="preserve">επεσον</w:t>
      </w:r>
      <w:r>
        <w:t xml:space="preserve"> </w:t>
      </w:r>
      <w:r>
        <w:t xml:space="preserve">2554 (wydają się to alternatywne formy tego samego słowa, nie jest to więc właściwy wariant).</w:t>
      </w:r>
      <w:r>
        <w:rPr>
          <w:rStyle w:val="FootnoteReference"/>
        </w:rPr>
        <w:footnoteReference w:id="318"/>
      </w:r>
    </w:p>
    <w:p>
      <w:pPr>
        <w:numPr>
          <w:ilvl w:val="0"/>
          <w:numId w:val="1031"/>
        </w:numPr>
      </w:pPr>
      <w:r>
        <w:t xml:space="preserve">Objawienie Jana 4,8</w:t>
      </w:r>
      <w:r>
        <w:t xml:space="preserve"> </w:t>
      </w:r>
      <w:r>
        <w:rPr>
          <w:iCs/>
          <w:i/>
        </w:rPr>
        <w:t xml:space="preserve">λεγοντα</w:t>
      </w:r>
      <w:r>
        <w:t xml:space="preserve"> </w:t>
      </w:r>
      <w:r>
        <w:t xml:space="preserve">||</w:t>
      </w:r>
      <w:r>
        <w:t xml:space="preserve"> </w:t>
      </w:r>
      <w:r>
        <w:rPr>
          <w:iCs/>
          <w:i/>
        </w:rPr>
        <w:t xml:space="preserve">λεγοντες</w:t>
      </w:r>
      <w:r>
        <w:t xml:space="preserve"> </w:t>
      </w:r>
      <w:r>
        <w:t xml:space="preserve">2554</w:t>
      </w:r>
      <w:r>
        <w:rPr>
          <w:vertAlign w:val="superscript"/>
        </w:rPr>
        <w:t xml:space="preserve">alt</w:t>
      </w:r>
      <w:r>
        <w:t xml:space="preserve"> </w:t>
      </w:r>
      <w:r>
        <w:t xml:space="preserve">(Czy podmiotem czasownika są wyłącznie istoty żywe, czy obejmuje on również starszych? Na podstawie wersetów 9-11 byłyby to wyłącznie istoty żywe. W każdym razie tłumaczenie obu form na język angielski będzie takie samo).</w:t>
      </w:r>
    </w:p>
    <w:p>
      <w:pPr>
        <w:numPr>
          <w:ilvl w:val="0"/>
          <w:numId w:val="1031"/>
        </w:numPr>
      </w:pPr>
      <w:r>
        <w:t xml:space="preserve">Objawienie Jana 7,17a</w:t>
      </w:r>
      <w:r>
        <w:t xml:space="preserve"> </w:t>
      </w:r>
      <w:r>
        <w:rPr>
          <w:iCs/>
          <w:i/>
        </w:rPr>
        <w:t xml:space="preserve">ποιμαινει</w:t>
      </w:r>
      <w:r>
        <w:t xml:space="preserve"> </w:t>
      </w:r>
      <w:r>
        <w:t xml:space="preserve">2554</w:t>
      </w:r>
      <w:r>
        <w:rPr>
          <w:vertAlign w:val="superscript"/>
        </w:rPr>
        <w:t xml:space="preserve">alt</w:t>
      </w:r>
      <w:r>
        <w:t xml:space="preserve"> </w:t>
      </w:r>
      <w:r>
        <w:t xml:space="preserve">||</w:t>
      </w:r>
      <w:r>
        <w:t xml:space="preserve"> </w:t>
      </w:r>
      <w:r>
        <w:rPr>
          <w:iCs/>
          <w:i/>
        </w:rPr>
        <w:t xml:space="preserve">ποιμανει</w:t>
      </w:r>
      <w:r>
        <w:t xml:space="preserve"> </w:t>
      </w:r>
      <w:r>
        <w:t xml:space="preserve">2554 (znacznie ponad połowa przedstawicieli rodziny mających czas przyszły ma ponad wierszem formę czasu teraźniejszego jako wariant alternatywny, podobnie jak 2554, wydaje się, że było to standardowym postępowaniem w Objawieniu Jana, gdy istniała wątpliwość między dwiema formami, dzięki czemu archetyp jest zawsze reprezentowany, w tym kontekście znaczenie nie zostaje naruszone).</w:t>
      </w:r>
    </w:p>
    <w:p>
      <w:pPr>
        <w:numPr>
          <w:ilvl w:val="0"/>
          <w:numId w:val="1031"/>
        </w:numPr>
      </w:pPr>
      <w:r>
        <w:t xml:space="preserve">Objawienie Jana 7,17b</w:t>
      </w:r>
      <w:r>
        <w:t xml:space="preserve"> </w:t>
      </w:r>
      <w:r>
        <w:rPr>
          <w:iCs/>
          <w:i/>
        </w:rPr>
        <w:t xml:space="preserve">οδηγει</w:t>
      </w:r>
      <w:r>
        <w:t xml:space="preserve"> </w:t>
      </w:r>
      <w:r>
        <w:t xml:space="preserve">2554</w:t>
      </w:r>
      <w:r>
        <w:rPr>
          <w:vertAlign w:val="superscript"/>
        </w:rPr>
        <w:t xml:space="preserve">alt</w:t>
      </w:r>
      <w:r>
        <w:t xml:space="preserve"> </w:t>
      </w:r>
      <w:r>
        <w:t xml:space="preserve">||</w:t>
      </w:r>
      <w:r>
        <w:t xml:space="preserve"> </w:t>
      </w:r>
      <w:r>
        <w:rPr>
          <w:iCs/>
          <w:i/>
        </w:rPr>
        <w:t xml:space="preserve">οδηγησει</w:t>
      </w:r>
      <w:r>
        <w:t xml:space="preserve"> </w:t>
      </w:r>
      <w:r>
        <w:t xml:space="preserve">2554 (tak samo jak wyżej).</w:t>
      </w:r>
    </w:p>
    <w:p>
      <w:pPr>
        <w:numPr>
          <w:ilvl w:val="0"/>
          <w:numId w:val="1031"/>
        </w:numPr>
      </w:pPr>
      <w:r>
        <w:t xml:space="preserve">Objawienie Jana 9,5</w:t>
      </w:r>
      <w:r>
        <w:t xml:space="preserve"> </w:t>
      </w:r>
      <w:r>
        <w:rPr>
          <w:iCs/>
          <w:i/>
        </w:rPr>
        <w:t xml:space="preserve">πληξη</w:t>
      </w:r>
      <w:r>
        <w:t xml:space="preserve"> </w:t>
      </w:r>
      <w:r>
        <w:t xml:space="preserve">2554</w:t>
      </w:r>
      <w:r>
        <w:rPr>
          <w:vertAlign w:val="superscript"/>
        </w:rPr>
        <w:t xml:space="preserve">alt</w:t>
      </w:r>
      <w:r>
        <w:t xml:space="preserve"> </w:t>
      </w:r>
      <w:r>
        <w:t xml:space="preserve">||</w:t>
      </w:r>
      <w:r>
        <w:t xml:space="preserve"> </w:t>
      </w:r>
      <w:r>
        <w:rPr>
          <w:iCs/>
          <w:i/>
        </w:rPr>
        <w:t xml:space="preserve">παιση</w:t>
      </w:r>
      <w:r>
        <w:t xml:space="preserve"> </w:t>
      </w:r>
      <w:r>
        <w:t xml:space="preserve">2554 (tak samo jak wyżej, z tym wyjątkiem, że tutaj zmieniono czasownik, w tym kontekście znaczenie nie zostaje naruszone).</w:t>
      </w:r>
    </w:p>
    <w:p>
      <w:pPr>
        <w:numPr>
          <w:ilvl w:val="0"/>
          <w:numId w:val="1031"/>
        </w:numPr>
      </w:pPr>
      <w:r>
        <w:t xml:space="preserve">Objawienie Jana 14,14</w:t>
      </w:r>
      <w:r>
        <w:t xml:space="preserve"> </w:t>
      </w:r>
      <w:r>
        <w:rPr>
          <w:iCs/>
          <w:i/>
        </w:rPr>
        <w:t xml:space="preserve">καθημενος ομοιος</w:t>
      </w:r>
      <w:r>
        <w:t xml:space="preserve"> </w:t>
      </w:r>
      <w:r>
        <w:t xml:space="preserve">2554</w:t>
      </w:r>
      <w:r>
        <w:rPr>
          <w:vertAlign w:val="superscript"/>
        </w:rPr>
        <w:t xml:space="preserve">alt</w:t>
      </w:r>
      <w:r>
        <w:t xml:space="preserve"> </w:t>
      </w:r>
      <w:r>
        <w:t xml:space="preserve">||</w:t>
      </w:r>
      <w:r>
        <w:t xml:space="preserve"> </w:t>
      </w:r>
      <w:r>
        <w:rPr>
          <w:iCs/>
          <w:i/>
        </w:rPr>
        <w:t xml:space="preserve">καθημενον ομοιον</w:t>
      </w:r>
      <w:r>
        <w:t xml:space="preserve"> </w:t>
      </w:r>
      <w:r>
        <w:t xml:space="preserve">2554 (tak samo jak wyżej, z tym wyjątkiem, że tutaj zmieniono tylko przypadek, w tym kontekście znaczenie nie zostaje naruszone).</w:t>
      </w:r>
    </w:p>
    <w:p>
      <w:pPr>
        <w:numPr>
          <w:ilvl w:val="0"/>
          <w:numId w:val="1031"/>
        </w:numPr>
      </w:pPr>
      <w:r>
        <w:t xml:space="preserve">Objawienie Jana 14,19</w:t>
      </w:r>
      <w:r>
        <w:t xml:space="preserve"> </w:t>
      </w:r>
      <w:r>
        <w:rPr>
          <w:iCs/>
          <w:i/>
        </w:rPr>
        <w:t xml:space="preserve">τον μεγαν</w:t>
      </w:r>
      <w:r>
        <w:t xml:space="preserve"> </w:t>
      </w:r>
      <w:r>
        <w:t xml:space="preserve">||</w:t>
      </w:r>
      <w:r>
        <w:t xml:space="preserve"> </w:t>
      </w:r>
      <w:r>
        <w:rPr>
          <w:iCs/>
          <w:i/>
        </w:rPr>
        <w:t xml:space="preserve">την μεγαλην</w:t>
      </w:r>
      <w:r>
        <w:t xml:space="preserve"> </w:t>
      </w:r>
      <w:r>
        <w:t xml:space="preserve">2554 (Czy fraza określa „gniew”, czy „tłocznię”? W tym kontekście są to dwa sposoby powiedzenia tego samego).</w:t>
      </w:r>
    </w:p>
    <w:p>
      <w:pPr>
        <w:numPr>
          <w:ilvl w:val="0"/>
          <w:numId w:val="1031"/>
        </w:numPr>
      </w:pPr>
      <w:r>
        <w:t xml:space="preserve">Objawienie Jana 16,12</w:t>
      </w:r>
      <w:r>
        <w:t xml:space="preserve"> </w:t>
      </w:r>
      <w:r>
        <w:rPr>
          <w:iCs/>
          <w:i/>
        </w:rPr>
        <w:t xml:space="preserve">μεγαν</w:t>
      </w:r>
      <w:r>
        <w:t xml:space="preserve"> </w:t>
      </w:r>
      <w:r>
        <w:t xml:space="preserve">|| 1</w:t>
      </w:r>
      <w:r>
        <w:t xml:space="preserve"> </w:t>
      </w:r>
      <w:r>
        <w:rPr>
          <w:iCs/>
          <w:i/>
        </w:rPr>
        <w:t xml:space="preserve">τον</w:t>
      </w:r>
      <w:r>
        <w:t xml:space="preserve"> </w:t>
      </w:r>
      <w:r>
        <w:t xml:space="preserve">2554 (wariant nie wpływa na znaczenie).</w:t>
      </w:r>
    </w:p>
    <w:p>
      <w:pPr>
        <w:numPr>
          <w:ilvl w:val="0"/>
          <w:numId w:val="1031"/>
        </w:numPr>
      </w:pPr>
      <w:r>
        <w:t xml:space="preserve">Objawienie Jana 19,18</w:t>
      </w:r>
      <w:r>
        <w:t xml:space="preserve"> </w:t>
      </w:r>
      <w:r>
        <w:rPr>
          <w:iCs/>
          <w:i/>
        </w:rPr>
        <w:t xml:space="preserve">και</w:t>
      </w:r>
      <w:r>
        <w:rPr>
          <w:vertAlign w:val="superscript"/>
        </w:rPr>
        <w:t xml:space="preserve">7</w:t>
      </w:r>
      <w:r>
        <w:t xml:space="preserve"> </w:t>
      </w:r>
      <w:r>
        <w:t xml:space="preserve">|| --- 2554 (wydaje się to odczytem singularnym, nie wpływa on na znaczenie).</w:t>
      </w:r>
    </w:p>
    <w:p>
      <w:pPr>
        <w:pStyle w:val="FirstParagraph"/>
      </w:pPr>
      <w:r>
        <w:rPr>
          <w:bCs/>
          <w:b/>
        </w:rPr>
        <w:t xml:space="preserve">Komentarz</w:t>
      </w:r>
      <w:r>
        <w:t xml:space="preserve">: Uważam, że pierwsza ręka ma siedem odmienności od archetypu, z których cztery są poprawione za pomocą wariantu alternatywnego, pozostają więc trzy właściwe warianty, z których żaden nie wpływa na znaczenie. Żaden z wariantów alternatywnych również nie wpływa na znaczenie. Do wszystkich celów praktycznych 2554 jest doskonałym przedstawicielem archetypu w Objawieniu Jana.</w:t>
      </w:r>
    </w:p>
    <w:bookmarkStart w:id="320" w:name="wniosek"/>
    <w:p>
      <w:pPr>
        <w:pStyle w:val="Heading3"/>
      </w:pPr>
      <w:r>
        <w:t xml:space="preserve">Wniosek</w:t>
      </w:r>
    </w:p>
    <w:p>
      <w:pPr>
        <w:pStyle w:val="FirstParagraph"/>
      </w:pPr>
      <w:r>
        <w:t xml:space="preserve">Spośród 49 przypadków wymienionych wyżej tylko szesnaście można sklasyfikować jako „właściwy wariant”, a tylko o jednym można powiedzieć, że wpływa na znaczenie: Dzieje Apostolskie 12,25.</w:t>
      </w:r>
      <w:r>
        <w:rPr>
          <w:rStyle w:val="FootnoteReference"/>
        </w:rPr>
        <w:footnoteReference w:id="319"/>
      </w:r>
      <w:r>
        <w:t xml:space="preserve"> </w:t>
      </w:r>
      <w:r>
        <w:t xml:space="preserve">Nawet tutaj, w tym kontekście, dwa wymienione odczyty mają ten sam skutek. Manuskrypt GA 2554 jest praktycznie doskonałym przedstawicielem swojego archetypu dla całego Nowego Testamentu, i to w XV wieku! Oznacza to, że wszystkie wcześniejsze pokolenia również musiały być praktycznie doskonałe. To właśnie nazywam nadzwyczaj starannym przekazem.</w:t>
      </w:r>
      <w:r>
        <w:t xml:space="preserve"> </w:t>
      </w:r>
      <w:r>
        <w:rPr>
          <w:bCs/>
          <w:b/>
        </w:rPr>
        <w:t xml:space="preserve">Bóg zachował swój Tekst!</w:t>
      </w:r>
    </w:p>
    <w:bookmarkEnd w:id="320"/>
    <w:bookmarkEnd w:id="321"/>
    <w:bookmarkStart w:id="323" w:name="główne-podziały-f35-w-ewangelii-mateusza"/>
    <w:p>
      <w:pPr>
        <w:pStyle w:val="Heading2"/>
      </w:pPr>
      <w:r>
        <w:t xml:space="preserve">Główne podziały</w:t>
      </w:r>
      <w:r>
        <w:t xml:space="preserve"> </w:t>
      </w:r>
      <w:r>
        <w:rPr>
          <w:bCs/>
          <w:b/>
        </w:rPr>
        <w:t xml:space="preserve">f</w:t>
      </w:r>
      <w:r>
        <w:rPr>
          <w:vertAlign w:val="superscript"/>
          <w:bCs/>
          <w:b/>
        </w:rPr>
        <w:t xml:space="preserve">35</w:t>
      </w:r>
      <w:r>
        <w:t xml:space="preserve"> </w:t>
      </w:r>
      <w:r>
        <w:t xml:space="preserve">w Ewangelii Mateusza</w:t>
      </w:r>
    </w:p>
    <w:p>
      <w:pPr>
        <w:pStyle w:val="FirstParagraph"/>
      </w:pPr>
      <w:r>
        <w:t xml:space="preserve">W Ewangelii Mateusza istnieje tylko pięć podziałów, które można by nazwać „głównymi”. Odczyt wymieniony jako pierwszy jest tym, który wybrałem jako reprezentujący archetyp rodziny, z powodów wyjaśnionych na końcu tego artykułu.</w:t>
      </w:r>
    </w:p>
    <w:p>
      <w:pPr>
        <w:numPr>
          <w:ilvl w:val="0"/>
          <w:numId w:val="1032"/>
        </w:numPr>
      </w:pPr>
      <w:r>
        <w:t xml:space="preserve">9,17 απολουνται [80%] || απολλυνται [20%] — czasownik jest ten sam i obie formy występują w trybie oznajmującym, pierwsza to czas przyszły strony zwrotnej, a druga to czas teraźniejszy strony biernej. W bezpośrednio poprzedzających zdaniach zarówno εκχεται, jak i ρηγνυνται występują w czasie teraźniejszym strony biernej i idą ze sobą w parze, po co więc drugie odniesienie do bukłaków? Każda różnica znaczeniowa jest niemal zbyt nieznaczna, by ją przetłumaczyć.</w:t>
      </w:r>
    </w:p>
    <w:p>
      <w:pPr>
        <w:numPr>
          <w:ilvl w:val="0"/>
          <w:numId w:val="1032"/>
        </w:numPr>
      </w:pPr>
      <w:r>
        <w:t xml:space="preserve">19,29 οικιας [66%] || οικιαν [30%] — liczba mnoga czy pojedyncza? Podobnie jak w przypadku braci, jeśli masz tylko jednego, jest to wszystko, co możesz opuścić, a jeśli nie masz żadnego, nie opuszczasz żadnego.</w:t>
      </w:r>
    </w:p>
    <w:p>
      <w:pPr>
        <w:numPr>
          <w:ilvl w:val="0"/>
          <w:numId w:val="1032"/>
        </w:numPr>
      </w:pPr>
      <w:r>
        <w:t xml:space="preserve">25,32 συναχθησονται [25%] || συναχθησεται [75%] — liczba mnoga czy pojedyncza, rzeczownik zbiorowy czy nie? Tłumaczenie jest takie samo.</w:t>
      </w:r>
    </w:p>
    <w:p>
      <w:pPr>
        <w:numPr>
          <w:ilvl w:val="0"/>
          <w:numId w:val="1032"/>
        </w:numPr>
      </w:pPr>
      <w:r>
        <w:t xml:space="preserve">26,29 γενηματος [30%] || γεννηματος [70%] — rzeczowniki są różne, pierwszy odnosi się do płodów roślinnych, a drugi do potomstwa zwierząt, jeśli drugi jest używany w odniesieniu do roślin, jest to znaczenie wtórne. Tłumaczenie jest takie samo.</w:t>
      </w:r>
    </w:p>
    <w:p>
      <w:pPr>
        <w:numPr>
          <w:ilvl w:val="0"/>
          <w:numId w:val="1032"/>
        </w:numPr>
      </w:pPr>
      <w:r>
        <w:t xml:space="preserve">27,35 βαλοντες [25%] || βαλλοντες [75%] — aoryst czy czas teraźniejszy? W kontekście każda różnica znaczeniowa jest tak niewielka, że tłumaczenie jest takie samo.</w:t>
      </w:r>
    </w:p>
    <w:p>
      <w:pPr>
        <w:pStyle w:val="FirstParagraph"/>
      </w:pPr>
      <w:r>
        <w:t xml:space="preserve">Jak jest typowe dla zróżnicowania w obrębie rodziny, różnica dotyczy jednej litery, z wyjątkiem jednej sylaby, a Ewangelia Mateusza nie jest małą księgą. Nazywam to niewiarygodnie starannym przekazem — w żadnym miejscu czytelnik nie zostanie wprowadzony w błąd co do zamierzonego znaczenia. Oryginalne sformułowania Ewangelii Mateusza zostały precyzyjnie zachowane aż do naszych czasów. (Wartości procentowe w nawiasach kwadratowych są szacunkami odnoszącymi się do ogółu zachowanych manuskryptów Ewangelii Mateusza).</w:t>
      </w:r>
    </w:p>
    <w:p>
      <w:pPr>
        <w:pStyle w:val="BodyText"/>
      </w:pPr>
      <w:r>
        <w:t xml:space="preserve">Sprawdziłem 114 przedstawicieli Rodziny 35 w odniesieniu do pięciu głównych podziałów, a wynik przedstawiono w poniższej tabeli. Ufam, że każda rozsądna osoba przyzna, iż próba ta jest odpowiednia do mojego celu (zachowanych przedstawicieli Rodziny 35 dla Ewangelii Mateusza jest co najmniej 250). ++ oznacza pierwszy odczyt, — drugi.</w:t>
      </w:r>
    </w:p>
    <w:tbl>
      <w:tblPr>
        <w:tblStyle w:val="Table"/>
        <w:tblW w:type="pct" w:w="5000"/>
        <w:tblLook w:firstRow="1" w:lastRow="0" w:firstColumn="0" w:lastColumn="0" w:noHBand="0" w:noVBand="0" w:val="0020"/>
        <w:jc w:val="start"/>
      </w:tblPr>
      <w:tblGrid>
        <w:gridCol w:w="856"/>
        <w:gridCol w:w="1070"/>
        <w:gridCol w:w="1070"/>
        <w:gridCol w:w="1070"/>
        <w:gridCol w:w="1070"/>
        <w:gridCol w:w="1070"/>
        <w:gridCol w:w="856"/>
        <w:gridCol w:w="856"/>
      </w:tblGrid>
      <w:tr>
        <w:trPr>
          <w:tblHeader w:val="true"/>
        </w:trPr>
        <w:tc>
          <w:tcPr/>
          <w:p>
            <w:pPr>
              <w:pStyle w:val="Compact"/>
              <w:jc w:val="right"/>
            </w:pPr>
            <w:r>
              <w:rPr>
                <w:bCs/>
                <w:b/>
              </w:rPr>
              <w:t xml:space="preserve">Manuskrypt</w:t>
            </w:r>
          </w:p>
        </w:tc>
        <w:tc>
          <w:tcPr/>
          <w:p>
            <w:pPr>
              <w:pStyle w:val="Compact"/>
              <w:jc w:val="center"/>
            </w:pPr>
            <w:r>
              <w:t xml:space="preserve">9,17</w:t>
            </w:r>
          </w:p>
        </w:tc>
        <w:tc>
          <w:tcPr/>
          <w:p>
            <w:pPr>
              <w:pStyle w:val="Compact"/>
              <w:jc w:val="center"/>
            </w:pPr>
            <w:r>
              <w:t xml:space="preserve">19,29</w:t>
            </w:r>
          </w:p>
        </w:tc>
        <w:tc>
          <w:tcPr/>
          <w:p>
            <w:pPr>
              <w:pStyle w:val="Compact"/>
              <w:jc w:val="center"/>
            </w:pPr>
            <w:r>
              <w:t xml:space="preserve">25,32</w:t>
            </w:r>
          </w:p>
        </w:tc>
        <w:tc>
          <w:tcPr/>
          <w:p>
            <w:pPr>
              <w:pStyle w:val="Compact"/>
              <w:jc w:val="center"/>
            </w:pPr>
            <w:r>
              <w:t xml:space="preserve">26,29</w:t>
            </w:r>
          </w:p>
        </w:tc>
        <w:tc>
          <w:tcPr/>
          <w:p>
            <w:pPr>
              <w:pStyle w:val="Compact"/>
              <w:jc w:val="center"/>
            </w:pPr>
            <w:r>
              <w:t xml:space="preserve">27,35</w:t>
            </w:r>
          </w:p>
        </w:tc>
        <w:tc>
          <w:tcPr/>
          <w:p>
            <w:pPr>
              <w:pStyle w:val="Compact"/>
              <w:jc w:val="left"/>
            </w:pPr>
            <w:r>
              <w:t xml:space="preserve">Miejsce</w:t>
            </w:r>
          </w:p>
        </w:tc>
        <w:tc>
          <w:tcPr/>
          <w:p>
            <w:pPr>
              <w:pStyle w:val="Compact"/>
              <w:jc w:val="left"/>
            </w:pPr>
            <w:r>
              <w:t xml:space="preserve">Data i zawartość</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1364 eapr</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obszar egejski</w:t>
            </w:r>
          </w:p>
        </w:tc>
        <w:tc>
          <w:tcPr/>
          <w:p>
            <w:pPr>
              <w:pStyle w:val="Compact"/>
              <w:jc w:val="left"/>
            </w:pPr>
            <w:r>
              <w:t xml:space="preserve">XI eapr</w:t>
            </w:r>
          </w:p>
        </w:tc>
      </w:tr>
      <w:tr>
        <w:tc>
          <w:tcPr/>
          <w:p>
            <w:pPr>
              <w:pStyle w:val="Compact"/>
              <w:jc w:val="right"/>
            </w:pPr>
            <w:r>
              <w:t xml:space="preserve">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Bodleian</w:t>
            </w:r>
          </w:p>
        </w:tc>
        <w:tc>
          <w:tcPr/>
          <w:p>
            <w:pPr>
              <w:pStyle w:val="Compact"/>
              <w:jc w:val="left"/>
            </w:pPr>
            <w:r>
              <w:t xml:space="preserve">XIV e</w:t>
            </w:r>
          </w:p>
        </w:tc>
      </w:tr>
      <w:tr>
        <w:tc>
          <w:tcPr/>
          <w:p>
            <w:pPr>
              <w:pStyle w:val="Compact"/>
              <w:jc w:val="right"/>
            </w:pPr>
            <w:r>
              <w:t xml:space="preserve">83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Monachium</w:t>
            </w:r>
          </w:p>
        </w:tc>
        <w:tc>
          <w:tcPr/>
          <w:p>
            <w:pPr>
              <w:pStyle w:val="Compact"/>
              <w:jc w:val="left"/>
            </w:pPr>
            <w:r>
              <w:t xml:space="preserve">XI e</w:t>
            </w:r>
          </w:p>
        </w:tc>
      </w:tr>
      <w:tr>
        <w:tc>
          <w:tcPr/>
          <w:p>
            <w:pPr>
              <w:pStyle w:val="Compact"/>
              <w:jc w:val="right"/>
            </w:pPr>
            <w:r>
              <w:t xml:space="preserve">125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Wiedeń</w:t>
            </w:r>
          </w:p>
        </w:tc>
        <w:tc>
          <w:tcPr/>
          <w:p>
            <w:pPr>
              <w:pStyle w:val="Compact"/>
              <w:jc w:val="left"/>
            </w:pPr>
            <w:r>
              <w:t xml:space="preserve">XI e</w:t>
            </w:r>
          </w:p>
        </w:tc>
      </w:tr>
      <w:tr>
        <w:tc>
          <w:tcPr/>
          <w:p>
            <w:pPr>
              <w:pStyle w:val="Compact"/>
              <w:jc w:val="right"/>
            </w:pPr>
            <w:r>
              <w:t xml:space="preserve">128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141</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eapr</w:t>
            </w:r>
          </w:p>
        </w:tc>
      </w:tr>
      <w:tr>
        <w:tc>
          <w:tcPr/>
          <w:p>
            <w:pPr>
              <w:pStyle w:val="Compact"/>
              <w:jc w:val="right"/>
            </w:pPr>
            <w:r>
              <w:t xml:space="preserve">155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XIII eap</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1357 eapr</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left"/>
            </w:pPr>
            <w:r>
              <w:t xml:space="preserve">XIII eap</w:t>
            </w:r>
          </w:p>
        </w:tc>
      </w:tr>
      <w:tr>
        <w:tc>
          <w:tcPr/>
          <w:p>
            <w:pPr>
              <w:pStyle w:val="Compact"/>
              <w:jc w:val="right"/>
            </w:pPr>
            <w:r>
              <w:t xml:space="preserve">214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XIV e</w:t>
            </w:r>
          </w:p>
        </w:tc>
      </w:tr>
      <w:tr>
        <w:tc>
          <w:tcPr/>
          <w:p>
            <w:pPr>
              <w:pStyle w:val="Compact"/>
              <w:jc w:val="right"/>
            </w:pPr>
            <w:r>
              <w:t xml:space="preserve">246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Moskwa</w:t>
            </w:r>
          </w:p>
        </w:tc>
        <w:tc>
          <w:tcPr/>
          <w:p>
            <w:pPr>
              <w:pStyle w:val="Compact"/>
              <w:jc w:val="left"/>
            </w:pPr>
            <w:r>
              <w:t xml:space="preserve">XIV e</w:t>
            </w:r>
          </w:p>
        </w:tc>
      </w:tr>
      <w:tr>
        <w:tc>
          <w:tcPr/>
          <w:p>
            <w:pPr>
              <w:pStyle w:val="Compact"/>
              <w:jc w:val="right"/>
            </w:pPr>
            <w:r>
              <w:t xml:space="preserve">363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XIV eap</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eapr</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Rzym</w:t>
            </w:r>
          </w:p>
        </w:tc>
        <w:tc>
          <w:tcPr/>
          <w:p>
            <w:pPr>
              <w:pStyle w:val="Compact"/>
              <w:jc w:val="left"/>
            </w:pPr>
            <w:r>
              <w:t xml:space="preserve">1330 eap</w:t>
            </w:r>
          </w:p>
        </w:tc>
      </w:tr>
      <w:tr>
        <w:tc>
          <w:tcPr/>
          <w:p>
            <w:pPr>
              <w:pStyle w:val="Compact"/>
              <w:jc w:val="right"/>
            </w:pPr>
            <w:r>
              <w:t xml:space="preserve">402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Neapol</w:t>
            </w:r>
          </w:p>
        </w:tc>
        <w:tc>
          <w:tcPr/>
          <w:p>
            <w:pPr>
              <w:pStyle w:val="Compact"/>
              <w:jc w:val="left"/>
            </w:pPr>
            <w:r>
              <w:t xml:space="preserve">XIV e</w:t>
            </w:r>
          </w:p>
        </w:tc>
      </w:tr>
      <w:tr>
        <w:tc>
          <w:tcPr/>
          <w:p>
            <w:pPr>
              <w:pStyle w:val="Compact"/>
              <w:jc w:val="right"/>
            </w:pPr>
            <w:r>
              <w:t xml:space="preserve">415</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1356 e</w:t>
            </w:r>
          </w:p>
        </w:tc>
      </w:tr>
      <w:tr>
        <w:tc>
          <w:tcPr/>
          <w:p>
            <w:pPr>
              <w:pStyle w:val="Compact"/>
              <w:jc w:val="right"/>
            </w:pPr>
            <w:r>
              <w:t xml:space="preserve">479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Birmingham</w:t>
            </w:r>
          </w:p>
        </w:tc>
        <w:tc>
          <w:tcPr/>
          <w:p>
            <w:pPr>
              <w:pStyle w:val="Compact"/>
              <w:jc w:val="left"/>
            </w:pPr>
            <w:r>
              <w:t xml:space="preserve">XIII eap</w:t>
            </w:r>
          </w:p>
        </w:tc>
      </w:tr>
      <w:tr>
        <w:tc>
          <w:tcPr/>
          <w:p>
            <w:pPr>
              <w:pStyle w:val="Compact"/>
              <w:jc w:val="right"/>
            </w:pPr>
            <w:r>
              <w:t xml:space="preserve">480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1366 e</w:t>
            </w:r>
          </w:p>
        </w:tc>
      </w:tr>
      <w:tr>
        <w:tc>
          <w:tcPr/>
          <w:p>
            <w:pPr>
              <w:pStyle w:val="Compact"/>
              <w:jc w:val="right"/>
            </w:pPr>
            <w:r>
              <w:t xml:space="preserve">510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 e</w:t>
            </w:r>
          </w:p>
        </w:tc>
      </w:tr>
      <w:tr>
        <w:tc>
          <w:tcPr/>
          <w:p>
            <w:pPr>
              <w:pStyle w:val="Compact"/>
              <w:jc w:val="right"/>
            </w:pPr>
            <w:r>
              <w:t xml:space="preserve">520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536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ea</w:t>
            </w:r>
          </w:p>
        </w:tc>
      </w:tr>
      <w:tr>
        <w:tc>
          <w:tcPr/>
          <w:p>
            <w:pPr>
              <w:pStyle w:val="Compact"/>
              <w:jc w:val="right"/>
            </w:pPr>
            <w:r>
              <w:t xml:space="preserve">547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 eap</w:t>
            </w:r>
          </w:p>
        </w:tc>
      </w:tr>
      <w:tr>
        <w:tc>
          <w:tcPr/>
          <w:p>
            <w:pPr>
              <w:pStyle w:val="Compact"/>
              <w:jc w:val="right"/>
            </w:pPr>
            <w:r>
              <w:t xml:space="preserve">553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586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Modena</w:t>
            </w:r>
          </w:p>
        </w:tc>
        <w:tc>
          <w:tcPr/>
          <w:p>
            <w:pPr>
              <w:pStyle w:val="Compact"/>
              <w:jc w:val="left"/>
            </w:pPr>
            <w:r>
              <w:t xml:space="preserve">XIV e</w:t>
            </w:r>
          </w:p>
        </w:tc>
      </w:tr>
      <w:tr>
        <w:tc>
          <w:tcPr/>
          <w:p>
            <w:pPr>
              <w:pStyle w:val="Compact"/>
              <w:jc w:val="right"/>
            </w:pPr>
            <w:r>
              <w:t xml:space="preserve">645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Cypr</w:t>
            </w:r>
          </w:p>
        </w:tc>
        <w:tc>
          <w:tcPr/>
          <w:p>
            <w:pPr>
              <w:pStyle w:val="Compact"/>
              <w:jc w:val="left"/>
            </w:pPr>
            <w:r>
              <w:t xml:space="preserve">1304 e</w:t>
            </w:r>
          </w:p>
        </w:tc>
      </w:tr>
      <w:tr>
        <w:tc>
          <w:tcPr/>
          <w:p>
            <w:pPr>
              <w:pStyle w:val="Compact"/>
              <w:jc w:val="right"/>
            </w:pPr>
            <w:r>
              <w:t xml:space="preserve">676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Münster</w:t>
            </w:r>
          </w:p>
        </w:tc>
        <w:tc>
          <w:tcPr/>
          <w:p>
            <w:pPr>
              <w:pStyle w:val="Compact"/>
              <w:jc w:val="left"/>
            </w:pPr>
            <w:r>
              <w:t xml:space="preserve">XIII eap</w:t>
            </w:r>
          </w:p>
        </w:tc>
      </w:tr>
      <w:tr>
        <w:tc>
          <w:tcPr/>
          <w:p>
            <w:pPr>
              <w:pStyle w:val="Compact"/>
              <w:jc w:val="right"/>
            </w:pPr>
            <w:r>
              <w:t xml:space="preserve">685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w:t>
            </w:r>
          </w:p>
        </w:tc>
      </w:tr>
      <w:tr>
        <w:tc>
          <w:tcPr/>
          <w:p>
            <w:pPr>
              <w:pStyle w:val="Compact"/>
              <w:jc w:val="right"/>
            </w:pPr>
            <w:r>
              <w:t xml:space="preserve">689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757</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eapr</w:t>
            </w:r>
          </w:p>
        </w:tc>
      </w:tr>
      <w:tr>
        <w:tc>
          <w:tcPr/>
          <w:p>
            <w:pPr>
              <w:pStyle w:val="Compact"/>
              <w:jc w:val="right"/>
            </w:pPr>
            <w:r>
              <w:t xml:space="preserve">758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left"/>
            </w:pPr>
            <w:r>
              <w:t xml:space="preserve">XIV eapr</w:t>
            </w:r>
          </w:p>
        </w:tc>
      </w:tr>
      <w:tr>
        <w:tc>
          <w:tcPr/>
          <w:p>
            <w:pPr>
              <w:pStyle w:val="Compact"/>
              <w:jc w:val="right"/>
            </w:pPr>
            <w:r>
              <w:t xml:space="preserve">867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w:t>
            </w:r>
          </w:p>
        </w:tc>
      </w:tr>
      <w:tr>
        <w:tc>
          <w:tcPr/>
          <w:p>
            <w:pPr>
              <w:pStyle w:val="Compact"/>
              <w:jc w:val="right"/>
            </w:pPr>
            <w:r>
              <w:t xml:space="preserve">897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Edynburg</w:t>
            </w:r>
          </w:p>
        </w:tc>
        <w:tc>
          <w:tcPr/>
          <w:p>
            <w:pPr>
              <w:pStyle w:val="Compact"/>
              <w:jc w:val="left"/>
            </w:pPr>
            <w:r>
              <w:t xml:space="preserve">XIII 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1304 eap</w:t>
            </w:r>
          </w:p>
        </w:tc>
      </w:tr>
      <w:tr>
        <w:tc>
          <w:tcPr/>
          <w:p>
            <w:pPr>
              <w:pStyle w:val="Compact"/>
              <w:jc w:val="right"/>
            </w:pPr>
            <w:r>
              <w:t xml:space="preserve">938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1318 e</w:t>
            </w:r>
          </w:p>
        </w:tc>
      </w:tr>
      <w:tr>
        <w:tc>
          <w:tcPr/>
          <w:p>
            <w:pPr>
              <w:pStyle w:val="Compact"/>
              <w:jc w:val="right"/>
            </w:pPr>
            <w:r>
              <w:t xml:space="preserve">959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1331 eap</w:t>
            </w:r>
          </w:p>
        </w:tc>
      </w:tr>
      <w:tr>
        <w:tc>
          <w:tcPr/>
          <w:p>
            <w:pPr>
              <w:pStyle w:val="Compact"/>
              <w:jc w:val="right"/>
            </w:pPr>
            <w:r>
              <w:t xml:space="preserve">986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Esfigmenu</w:t>
            </w:r>
          </w:p>
        </w:tc>
        <w:tc>
          <w:tcPr/>
          <w:p>
            <w:pPr>
              <w:pStyle w:val="Compact"/>
              <w:jc w:val="left"/>
            </w:pPr>
            <w:r>
              <w:t xml:space="preserve">XIV eapr</w:t>
            </w:r>
          </w:p>
        </w:tc>
      </w:tr>
      <w:tr>
        <w:tc>
          <w:tcPr/>
          <w:p>
            <w:pPr>
              <w:pStyle w:val="Compact"/>
              <w:jc w:val="right"/>
            </w:pPr>
            <w:r>
              <w:t xml:space="preserve">1023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1338 e</w:t>
            </w:r>
          </w:p>
        </w:tc>
      </w:tr>
      <w:tr>
        <w:tc>
          <w:tcPr/>
          <w:p>
            <w:pPr>
              <w:pStyle w:val="Compact"/>
              <w:jc w:val="right"/>
            </w:pPr>
            <w:r>
              <w:t xml:space="preserve">1040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XIV eap</w:t>
            </w:r>
          </w:p>
        </w:tc>
      </w:tr>
      <w:tr>
        <w:tc>
          <w:tcPr/>
          <w:p>
            <w:pPr>
              <w:pStyle w:val="Compact"/>
              <w:jc w:val="right"/>
            </w:pPr>
            <w:r>
              <w:t xml:space="preserve">1062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Kutlumusiu</w:t>
            </w:r>
          </w:p>
        </w:tc>
        <w:tc>
          <w:tcPr/>
          <w:p>
            <w:pPr>
              <w:pStyle w:val="Compact"/>
              <w:jc w:val="left"/>
            </w:pPr>
            <w:r>
              <w:t xml:space="preserve">XIV 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eapr</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1111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w:t>
            </w:r>
          </w:p>
        </w:tc>
        <w:tc>
          <w:tcPr/>
          <w:p>
            <w:pPr>
              <w:pStyle w:val="Compact"/>
              <w:jc w:val="left"/>
            </w:pPr>
            <w:r>
              <w:t xml:space="preserve">XIV e</w:t>
            </w:r>
          </w:p>
        </w:tc>
      </w:tr>
      <w:tr>
        <w:tc>
          <w:tcPr/>
          <w:p>
            <w:pPr>
              <w:pStyle w:val="Compact"/>
              <w:jc w:val="right"/>
            </w:pPr>
            <w:r>
              <w:t xml:space="preserve">1117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1147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1370 e</w:t>
            </w:r>
          </w:p>
        </w:tc>
      </w:tr>
      <w:tr>
        <w:tc>
          <w:tcPr/>
          <w:p>
            <w:pPr>
              <w:pStyle w:val="Compact"/>
              <w:jc w:val="right"/>
            </w:pPr>
            <w:r>
              <w:t xml:space="preserve">1158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XIV e</w:t>
            </w:r>
          </w:p>
        </w:tc>
      </w:tr>
      <w:tr>
        <w:tc>
          <w:tcPr/>
          <w:p>
            <w:pPr>
              <w:pStyle w:val="Compact"/>
              <w:jc w:val="right"/>
            </w:pPr>
            <w:r>
              <w:t xml:space="preserve">1189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1346 e</w:t>
            </w:r>
          </w:p>
        </w:tc>
      </w:tr>
      <w:tr>
        <w:tc>
          <w:tcPr/>
          <w:p>
            <w:pPr>
              <w:pStyle w:val="Compact"/>
              <w:jc w:val="right"/>
            </w:pPr>
            <w:r>
              <w:t xml:space="preserve">1199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 e</w:t>
            </w:r>
          </w:p>
        </w:tc>
      </w:tr>
      <w:tr>
        <w:tc>
          <w:tcPr/>
          <w:p>
            <w:pPr>
              <w:pStyle w:val="Compact"/>
              <w:jc w:val="right"/>
            </w:pPr>
            <w:r>
              <w:t xml:space="preserve">1234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1247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eapr</w:t>
            </w:r>
          </w:p>
        </w:tc>
      </w:tr>
      <w:tr>
        <w:tc>
          <w:tcPr/>
          <w:p>
            <w:pPr>
              <w:pStyle w:val="Compact"/>
              <w:jc w:val="right"/>
            </w:pPr>
            <w:r>
              <w:t xml:space="preserve">1250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XIII eap</w:t>
            </w:r>
          </w:p>
        </w:tc>
      </w:tr>
      <w:tr>
        <w:tc>
          <w:tcPr/>
          <w:p>
            <w:pPr>
              <w:pStyle w:val="Compact"/>
              <w:jc w:val="right"/>
            </w:pPr>
            <w:r>
              <w:t xml:space="preserve">1323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 e</w:t>
            </w:r>
          </w:p>
        </w:tc>
      </w:tr>
      <w:tr>
        <w:tc>
          <w:tcPr/>
          <w:p>
            <w:pPr>
              <w:pStyle w:val="Compact"/>
              <w:jc w:val="right"/>
            </w:pPr>
            <w:r>
              <w:t xml:space="preserve">1328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XIV er</w:t>
            </w:r>
          </w:p>
        </w:tc>
      </w:tr>
      <w:tr>
        <w:tc>
          <w:tcPr/>
          <w:p>
            <w:pPr>
              <w:pStyle w:val="Compact"/>
              <w:jc w:val="right"/>
            </w:pPr>
            <w:r>
              <w:t xml:space="preserve">1334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1339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Andros</w:t>
            </w:r>
          </w:p>
        </w:tc>
        <w:tc>
          <w:tcPr/>
          <w:p>
            <w:pPr>
              <w:pStyle w:val="Compact"/>
              <w:jc w:val="left"/>
            </w:pPr>
            <w:r>
              <w:t xml:space="preserve">XI eapr</w:t>
            </w:r>
          </w:p>
        </w:tc>
      </w:tr>
      <w:tr>
        <w:tc>
          <w:tcPr/>
          <w:p>
            <w:pPr>
              <w:pStyle w:val="Compact"/>
              <w:jc w:val="right"/>
            </w:pPr>
            <w:r>
              <w:t xml:space="preserve">1435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 e</w:t>
            </w:r>
          </w:p>
        </w:tc>
      </w:tr>
      <w:tr>
        <w:tc>
          <w:tcPr/>
          <w:p>
            <w:pPr>
              <w:pStyle w:val="Compact"/>
              <w:jc w:val="right"/>
            </w:pPr>
            <w:r>
              <w:t xml:space="preserve">1445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1323 e</w:t>
            </w:r>
          </w:p>
        </w:tc>
      </w:tr>
      <w:tr>
        <w:tc>
          <w:tcPr/>
          <w:p>
            <w:pPr>
              <w:pStyle w:val="Compact"/>
              <w:jc w:val="right"/>
            </w:pPr>
            <w:r>
              <w:t xml:space="preserve">1461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1482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1304 eap</w:t>
            </w:r>
          </w:p>
        </w:tc>
      </w:tr>
      <w:tr>
        <w:tc>
          <w:tcPr/>
          <w:p>
            <w:pPr>
              <w:pStyle w:val="Compact"/>
              <w:jc w:val="right"/>
            </w:pPr>
            <w:r>
              <w:t xml:space="preserve">1490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 eap</w:t>
            </w:r>
          </w:p>
        </w:tc>
      </w:tr>
      <w:tr>
        <w:tc>
          <w:tcPr/>
          <w:p>
            <w:pPr>
              <w:pStyle w:val="Compact"/>
              <w:jc w:val="right"/>
            </w:pPr>
            <w:r>
              <w:t xml:space="preserve">1496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1317 eapr</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1359 eap</w:t>
            </w:r>
          </w:p>
        </w:tc>
      </w:tr>
      <w:tr>
        <w:tc>
          <w:tcPr/>
          <w:p>
            <w:pPr>
              <w:pStyle w:val="Compact"/>
              <w:jc w:val="right"/>
            </w:pPr>
            <w:r>
              <w:t xml:space="preserve">1551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XIII er</w:t>
            </w:r>
          </w:p>
        </w:tc>
      </w:tr>
      <w:tr>
        <w:tc>
          <w:tcPr/>
          <w:p>
            <w:pPr>
              <w:pStyle w:val="Compact"/>
              <w:jc w:val="right"/>
            </w:pPr>
            <w:r>
              <w:t xml:space="preserve">1559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1304 e</w:t>
            </w:r>
          </w:p>
        </w:tc>
      </w:tr>
      <w:tr>
        <w:tc>
          <w:tcPr/>
          <w:p>
            <w:pPr>
              <w:pStyle w:val="Compact"/>
              <w:jc w:val="right"/>
            </w:pPr>
            <w:r>
              <w:t xml:space="preserve">1614</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1324 e</w:t>
            </w:r>
          </w:p>
        </w:tc>
      </w:tr>
      <w:tr>
        <w:tc>
          <w:tcPr/>
          <w:p>
            <w:pPr>
              <w:pStyle w:val="Compact"/>
              <w:jc w:val="right"/>
            </w:pPr>
            <w:r>
              <w:t xml:space="preserve">1617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1400 eap</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1328 eapr</w:t>
            </w:r>
          </w:p>
        </w:tc>
      </w:tr>
      <w:tr>
        <w:tc>
          <w:tcPr/>
          <w:p>
            <w:pPr>
              <w:pStyle w:val="Compact"/>
              <w:jc w:val="right"/>
            </w:pPr>
            <w:r>
              <w:t xml:space="preserve">1652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XVI eapr</w:t>
            </w:r>
          </w:p>
        </w:tc>
      </w:tr>
      <w:tr>
        <w:tc>
          <w:tcPr/>
          <w:p>
            <w:pPr>
              <w:pStyle w:val="Compact"/>
              <w:jc w:val="right"/>
            </w:pPr>
            <w:r>
              <w:t xml:space="preserve">1667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Panteleimonos</w:t>
            </w:r>
          </w:p>
        </w:tc>
        <w:tc>
          <w:tcPr/>
          <w:p>
            <w:pPr>
              <w:pStyle w:val="Compact"/>
              <w:jc w:val="left"/>
            </w:pPr>
            <w:r>
              <w:t xml:space="preserve">1309 e</w:t>
            </w:r>
          </w:p>
        </w:tc>
      </w:tr>
      <w:tr>
        <w:tc>
          <w:tcPr/>
          <w:p>
            <w:pPr>
              <w:pStyle w:val="Compact"/>
              <w:jc w:val="right"/>
            </w:pPr>
            <w:r>
              <w:t xml:space="preserve">1686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1418 e</w:t>
            </w:r>
          </w:p>
        </w:tc>
      </w:tr>
      <w:tr>
        <w:tc>
          <w:tcPr/>
          <w:p>
            <w:pPr>
              <w:pStyle w:val="Compact"/>
              <w:jc w:val="right"/>
            </w:pPr>
            <w:r>
              <w:t xml:space="preserve">1694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1698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1705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XIV e</w:t>
            </w:r>
          </w:p>
        </w:tc>
      </w:tr>
      <w:tr>
        <w:tc>
          <w:tcPr/>
          <w:p>
            <w:pPr>
              <w:pStyle w:val="Compact"/>
              <w:jc w:val="right"/>
            </w:pPr>
            <w:r>
              <w:t xml:space="preserve">1713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XV e</w:t>
            </w:r>
          </w:p>
        </w:tc>
      </w:tr>
      <w:tr>
        <w:tc>
          <w:tcPr/>
          <w:p>
            <w:pPr>
              <w:pStyle w:val="Compact"/>
              <w:jc w:val="right"/>
            </w:pPr>
            <w:r>
              <w:t xml:space="preserve">1813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Duke</w:t>
            </w:r>
          </w:p>
        </w:tc>
        <w:tc>
          <w:tcPr/>
          <w:p>
            <w:pPr>
              <w:pStyle w:val="Compact"/>
              <w:jc w:val="left"/>
            </w:pPr>
            <w:r>
              <w:t xml:space="preserve">XII e</w:t>
            </w:r>
          </w:p>
        </w:tc>
      </w:tr>
      <w:tr>
        <w:tc>
          <w:tcPr/>
          <w:p>
            <w:pPr>
              <w:pStyle w:val="Compact"/>
              <w:jc w:val="right"/>
            </w:pPr>
            <w:r>
              <w:t xml:space="preserve">2122</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 e</w:t>
            </w:r>
          </w:p>
        </w:tc>
      </w:tr>
      <w:tr>
        <w:tc>
          <w:tcPr/>
          <w:p>
            <w:pPr>
              <w:pStyle w:val="Compact"/>
              <w:jc w:val="right"/>
            </w:pPr>
            <w:r>
              <w:t xml:space="preserve">2175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Petersburg</w:t>
            </w:r>
          </w:p>
        </w:tc>
        <w:tc>
          <w:tcPr/>
          <w:p>
            <w:pPr>
              <w:pStyle w:val="Compact"/>
              <w:jc w:val="left"/>
            </w:pPr>
            <w:r>
              <w:t xml:space="preserve">XIV eap</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left"/>
            </w:pPr>
            <w:r>
              <w:t xml:space="preserve">1432 eap</w:t>
            </w:r>
          </w:p>
        </w:tc>
      </w:tr>
      <w:tr>
        <w:tc>
          <w:tcPr/>
          <w:p>
            <w:pPr>
              <w:pStyle w:val="Compact"/>
              <w:jc w:val="right"/>
            </w:pPr>
            <w:r>
              <w:t xml:space="preserve">2253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 e</w:t>
            </w:r>
          </w:p>
        </w:tc>
      </w:tr>
      <w:tr>
        <w:tc>
          <w:tcPr/>
          <w:p>
            <w:pPr>
              <w:pStyle w:val="Compact"/>
              <w:jc w:val="right"/>
            </w:pPr>
            <w:r>
              <w:t xml:space="preserve">2261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Kalawrita</w:t>
            </w:r>
          </w:p>
        </w:tc>
        <w:tc>
          <w:tcPr/>
          <w:p>
            <w:pPr>
              <w:pStyle w:val="Compact"/>
              <w:jc w:val="left"/>
            </w:pPr>
            <w:r>
              <w:t xml:space="preserve">XIV eap</w:t>
            </w:r>
          </w:p>
        </w:tc>
      </w:tr>
      <w:tr>
        <w:tc>
          <w:tcPr/>
          <w:p>
            <w:pPr>
              <w:pStyle w:val="Compact"/>
              <w:jc w:val="right"/>
            </w:pPr>
            <w:r>
              <w:t xml:space="preserve">2284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Manchester</w:t>
            </w:r>
          </w:p>
        </w:tc>
        <w:tc>
          <w:tcPr/>
          <w:p>
            <w:pPr>
              <w:pStyle w:val="Compact"/>
              <w:jc w:val="left"/>
            </w:pPr>
            <w:r>
              <w:t xml:space="preserve">XIII e</w:t>
            </w:r>
          </w:p>
        </w:tc>
      </w:tr>
      <w:tr>
        <w:tc>
          <w:tcPr/>
          <w:p>
            <w:pPr>
              <w:pStyle w:val="Compact"/>
              <w:jc w:val="right"/>
            </w:pPr>
            <w:r>
              <w:t xml:space="preserve">2322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wyspa Prinkipos</w:t>
            </w:r>
          </w:p>
        </w:tc>
        <w:tc>
          <w:tcPr/>
          <w:p>
            <w:pPr>
              <w:pStyle w:val="Compact"/>
              <w:jc w:val="left"/>
            </w:pPr>
            <w:r>
              <w:t xml:space="preserve">XII e</w:t>
            </w:r>
          </w:p>
        </w:tc>
      </w:tr>
      <w:tr>
        <w:tc>
          <w:tcPr/>
          <w:p>
            <w:pPr>
              <w:pStyle w:val="Compact"/>
              <w:jc w:val="right"/>
            </w:pPr>
            <w:r>
              <w:t xml:space="preserve">2323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Benaki (Ateny)</w:t>
            </w:r>
          </w:p>
        </w:tc>
        <w:tc>
          <w:tcPr/>
          <w:p>
            <w:pPr>
              <w:pStyle w:val="Compact"/>
              <w:jc w:val="left"/>
            </w:pPr>
            <w:r>
              <w:t xml:space="preserve">XIII er</w:t>
            </w:r>
          </w:p>
        </w:tc>
      </w:tr>
      <w:tr>
        <w:tc>
          <w:tcPr/>
          <w:p>
            <w:pPr>
              <w:pStyle w:val="Compact"/>
              <w:jc w:val="right"/>
            </w:pPr>
            <w:r>
              <w:t xml:space="preserve">2352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left"/>
            </w:pPr>
            <w:r>
              <w:t xml:space="preserve">XIV eapr</w:t>
            </w:r>
          </w:p>
        </w:tc>
      </w:tr>
      <w:tr>
        <w:tc>
          <w:tcPr/>
          <w:p>
            <w:pPr>
              <w:pStyle w:val="Compact"/>
              <w:jc w:val="right"/>
            </w:pPr>
            <w:r>
              <w:t xml:space="preserve">2367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Princeton</w:t>
            </w:r>
          </w:p>
        </w:tc>
        <w:tc>
          <w:tcPr/>
          <w:p>
            <w:pPr>
              <w:pStyle w:val="Compact"/>
              <w:jc w:val="left"/>
            </w:pPr>
            <w:r>
              <w:t xml:space="preserve">XII e</w:t>
            </w:r>
          </w:p>
        </w:tc>
      </w:tr>
      <w:tr>
        <w:tc>
          <w:tcPr/>
          <w:p>
            <w:pPr>
              <w:pStyle w:val="Compact"/>
              <w:jc w:val="right"/>
            </w:pPr>
            <w:r>
              <w:t xml:space="preserve">2382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2399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XIV e</w:t>
            </w:r>
          </w:p>
        </w:tc>
      </w:tr>
      <w:tr>
        <w:tc>
          <w:tcPr/>
          <w:p>
            <w:pPr>
              <w:pStyle w:val="Compact"/>
              <w:jc w:val="right"/>
            </w:pPr>
            <w:r>
              <w:t xml:space="preserve">2407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1332 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Patmos</w:t>
            </w:r>
          </w:p>
        </w:tc>
        <w:tc>
          <w:tcPr/>
          <w:p>
            <w:pPr>
              <w:pStyle w:val="Compact"/>
              <w:jc w:val="left"/>
            </w:pPr>
            <w:r>
              <w:t xml:space="preserve">1329 eap</w:t>
            </w:r>
          </w:p>
        </w:tc>
      </w:tr>
      <w:tr>
        <w:tc>
          <w:tcPr/>
          <w:p>
            <w:pPr>
              <w:pStyle w:val="Compact"/>
              <w:jc w:val="right"/>
            </w:pPr>
            <w:r>
              <w:t xml:space="preserve">2503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left"/>
            </w:pPr>
            <w:r>
              <w:t xml:space="preserve">1434 eapr</w:t>
            </w:r>
          </w:p>
        </w:tc>
      </w:tr>
      <w:tr>
        <w:tc>
          <w:tcPr/>
          <w:p>
            <w:pPr>
              <w:pStyle w:val="Compact"/>
              <w:jc w:val="right"/>
            </w:pPr>
            <w:r>
              <w:t xml:space="preserve">2559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Benaki (Ateny)</w:t>
            </w:r>
          </w:p>
        </w:tc>
        <w:tc>
          <w:tcPr/>
          <w:p>
            <w:pPr>
              <w:pStyle w:val="Compact"/>
              <w:jc w:val="left"/>
            </w:pPr>
            <w:r>
              <w:t xml:space="preserve">XII e</w:t>
            </w:r>
          </w:p>
        </w:tc>
      </w:tr>
      <w:tr>
        <w:tc>
          <w:tcPr/>
          <w:p>
            <w:pPr>
              <w:pStyle w:val="Compact"/>
              <w:jc w:val="right"/>
            </w:pPr>
            <w:r>
              <w:t xml:space="preserve">2765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Korynt? (Oksford)</w:t>
            </w:r>
          </w:p>
        </w:tc>
        <w:tc>
          <w:tcPr/>
          <w:p>
            <w:pPr>
              <w:pStyle w:val="Compact"/>
              <w:jc w:val="left"/>
            </w:pPr>
            <w:r>
              <w:t xml:space="preserve">XIV e</w:t>
            </w:r>
          </w:p>
        </w:tc>
      </w:tr>
      <w:tr>
        <w:tc>
          <w:tcPr/>
          <w:p>
            <w:pPr>
              <w:pStyle w:val="Compact"/>
              <w:jc w:val="right"/>
            </w:pPr>
            <w:r>
              <w:t xml:space="preserve">2897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Orlando</w:t>
            </w:r>
          </w:p>
        </w:tc>
        <w:tc>
          <w:tcPr/>
          <w:p>
            <w:pPr>
              <w:pStyle w:val="Compact"/>
              <w:jc w:val="left"/>
            </w:pPr>
            <w:r>
              <w:t xml:space="preserve">XIII e</w:t>
            </w:r>
          </w:p>
        </w:tc>
      </w:tr>
      <w:tr>
        <w:tc>
          <w:tcPr/>
          <w:p>
            <w:pPr>
              <w:pStyle w:val="Compact"/>
              <w:jc w:val="right"/>
            </w:pPr>
            <w:r>
              <w:t xml:space="preserve">2916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I.2110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1322 e</w:t>
            </w:r>
          </w:p>
        </w:tc>
      </w:tr>
      <w:tr>
        <w:tc>
          <w:tcPr/>
          <w:p>
            <w:pPr>
              <w:pStyle w:val="Compact"/>
              <w:jc w:val="right"/>
            </w:pPr>
            <w:r>
              <w:t xml:space="preserve">L.65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Leukosia</w:t>
            </w:r>
          </w:p>
        </w:tc>
        <w:tc>
          <w:tcPr/>
          <w:p>
            <w:pPr>
              <w:pStyle w:val="Compact"/>
              <w:jc w:val="left"/>
            </w:pPr>
            <w:r>
              <w:t xml:space="preserve">XIV e</w:t>
            </w:r>
          </w:p>
        </w:tc>
      </w:tr>
    </w:tbl>
    <w:p>
      <w:pPr>
        <w:pStyle w:val="BodyText"/>
      </w:pPr>
      <w:r>
        <w:t xml:space="preserve">Przedstawię teraz wzorce dla pięciu zestawów wariantów. Zauważyłem osiem „poprawek” i dziewięć „wariantów alternatywnych”, rozproszonych tu i ówdzie, zignorowałem je na potrzeby tego ćwiczenia (chociaż 12 spośród 17 zmienia „—” na „++”). Celem jest ocena, czy wzorce wskazują na niezależne linie przekazu w obrębie Rodziny 35. Oto wzorce. Liczby oznaczają pierwszy odczyt (++), — drugi.</w:t>
      </w:r>
    </w:p>
    <w:tbl>
      <w:tblPr>
        <w:tblStyle w:val="Table"/>
        <w:tblW w:type="pct" w:w="5000"/>
        <w:tblLook w:firstRow="1" w:lastRow="0" w:firstColumn="0" w:lastColumn="0" w:noHBand="0" w:noVBand="0" w:val="0020"/>
        <w:jc w:val="start"/>
      </w:tblPr>
      <w:tblGrid>
        <w:gridCol w:w="1200"/>
        <w:gridCol w:w="1200"/>
        <w:gridCol w:w="1200"/>
        <w:gridCol w:w="1200"/>
        <w:gridCol w:w="1200"/>
        <w:gridCol w:w="960"/>
        <w:gridCol w:w="960"/>
      </w:tblGrid>
      <w:tr>
        <w:trPr>
          <w:tblHeader w:val="true"/>
        </w:trP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Liczba manuskryptów</w:t>
            </w:r>
          </w:p>
        </w:tc>
        <w:tc>
          <w:tcPr/>
          <w:p>
            <w:pPr>
              <w:pStyle w:val="Compact"/>
              <w:jc w:val="left"/>
            </w:pPr>
            <w:r>
              <w:t xml:space="preserve">Uwagi</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23**</w:t>
            </w:r>
          </w:p>
        </w:tc>
        <w:tc>
          <w:tcPr/>
          <w:p>
            <w:pPr>
              <w:pStyle w:val="Compact"/>
              <w:jc w:val="left"/>
            </w:pPr>
            <w:r>
              <w:t xml:space="preserve">[+2]</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9*</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brak</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brak</w:t>
            </w:r>
          </w:p>
        </w:tc>
        <w:tc>
          <w:tcPr/>
          <w:p>
            <w:pPr>
              <w:pStyle w:val="Compact"/>
              <w:jc w:val="center"/>
            </w:pPr>
            <w:r>
              <w:t xml:space="preserve">4</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8*</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7*</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nieczyt.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nieczyt.</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6*</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7*</w:t>
            </w:r>
          </w:p>
        </w:tc>
        <w:tc>
          <w:tcPr/>
          <w:p>
            <w:pPr>
              <w:pStyle w:val="Compact"/>
              <w:jc w:val="left"/>
            </w:pPr>
            <w:r>
              <w:t xml:space="preserve">[+3]</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2</w:t>
            </w:r>
          </w:p>
        </w:tc>
        <w:tc>
          <w:tcPr/>
          <w:p>
            <w:pPr>
              <w:pStyle w:val="Compact"/>
              <w:jc w:val="left"/>
            </w:pPr>
            <w:r>
              <w:t xml:space="preserve">(egzemplarze prawdopodobnie nie miały żadnego)</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jc w:val="left"/>
            </w:pPr>
            <w:r>
              <w:t xml:space="preserve">(egzemplarz prawdopodobnie nie miał żadnego)</w:t>
            </w:r>
            <w:r>
              <w:rPr>
                <w:rStyle w:val="FootnoteReference"/>
              </w:rPr>
              <w:footnoteReference w:id="322"/>
            </w:r>
          </w:p>
        </w:tc>
      </w:tr>
    </w:tbl>
    <w:p>
      <w:pPr>
        <w:pStyle w:val="BodyText"/>
      </w:pPr>
      <w:r>
        <w:t xml:space="preserve">Odkładając na bok 14 niekompletnych manuskryptów, kolejnych 12 ma prywatny wzorzec (jak dotąd). Dwa wzorce wykazują po 2 manuskrypty, kolejne dwa po 3 manuskrypty, a jeden wykazuje 4 manuskrypty. Wszystkie te pominę. Zwracam uwagę na następujących siedem wzorców:</w:t>
      </w:r>
    </w:p>
    <w:p>
      <w:pPr>
        <w:numPr>
          <w:ilvl w:val="0"/>
          <w:numId w:val="1033"/>
        </w:numPr>
      </w:pPr>
      <w:r>
        <w:t xml:space="preserve">1, 2, 3, 4, 5 = 23 [+2] manuskrypty</w:t>
      </w:r>
    </w:p>
    <w:p>
      <w:pPr>
        <w:numPr>
          <w:ilvl w:val="0"/>
          <w:numId w:val="1033"/>
        </w:numPr>
      </w:pPr>
      <w:r>
        <w:t xml:space="preserve">—, —, —, 4, — = 14 manuskryptów</w:t>
      </w:r>
    </w:p>
    <w:p>
      <w:pPr>
        <w:numPr>
          <w:ilvl w:val="0"/>
          <w:numId w:val="1033"/>
        </w:numPr>
      </w:pPr>
      <w:r>
        <w:t xml:space="preserve">—, —, —, —, — = 7 [+3] manuskryptów</w:t>
      </w:r>
    </w:p>
    <w:p>
      <w:pPr>
        <w:numPr>
          <w:ilvl w:val="0"/>
          <w:numId w:val="1033"/>
        </w:numPr>
      </w:pPr>
      <w:r>
        <w:t xml:space="preserve">1, 2, 3, —, 5 = 9 manuskryptów</w:t>
      </w:r>
    </w:p>
    <w:p>
      <w:pPr>
        <w:numPr>
          <w:ilvl w:val="0"/>
          <w:numId w:val="1033"/>
        </w:numPr>
      </w:pPr>
      <w:r>
        <w:t xml:space="preserve">1, —, —, —, 5 = 8 manuskryptów</w:t>
      </w:r>
    </w:p>
    <w:p>
      <w:pPr>
        <w:numPr>
          <w:ilvl w:val="0"/>
          <w:numId w:val="1033"/>
        </w:numPr>
      </w:pPr>
      <w:r>
        <w:t xml:space="preserve">1, —, —, 4, — = 7 manuskryptów</w:t>
      </w:r>
    </w:p>
    <w:p>
      <w:pPr>
        <w:numPr>
          <w:ilvl w:val="0"/>
          <w:numId w:val="1033"/>
        </w:numPr>
      </w:pPr>
      <w:r>
        <w:t xml:space="preserve">—, —, 3, —, — = 6 manuskryptów</w:t>
      </w:r>
    </w:p>
    <w:p>
      <w:pPr>
        <w:pStyle w:val="FirstParagraph"/>
      </w:pPr>
      <w:r>
        <w:t xml:space="preserve">Uważam, że wzorzec 1) reprezentuje archetyp rodziny, jest zdecydowanie najsilniejszym wzorcem i z konieczności reprezentuje linię przekazu. Co jednak ze wzorcem 2), czy 14 kopistów przypadkiem dokonało niezależnie tego samego zestawu wyborów? Czy nie jest znacznie bardziej prawdopodobne, że reprezentują niezależną linię przekazu? W rzeczy samej, skolacjonowałem wiele dziesiątek manuskryptów</w:t>
      </w:r>
      <w:r>
        <w:t xml:space="preserve"> </w:t>
      </w:r>
      <w:r>
        <w:rPr>
          <w:bCs/>
          <w:b/>
        </w:rPr>
        <w:t xml:space="preserve">f</w:t>
      </w:r>
      <w:r>
        <w:rPr>
          <w:vertAlign w:val="superscript"/>
          <w:bCs/>
          <w:b/>
        </w:rPr>
        <w:t xml:space="preserve">35</w:t>
      </w:r>
      <w:r>
        <w:t xml:space="preserve"> </w:t>
      </w:r>
      <w:r>
        <w:t xml:space="preserve">i z nielicznymi wyjątkami kopiści byli wierni swojemu egzemplarzowi. Rozważmy na przykład następujące dowody dla sześciu spośród wyżej wymienionych wzorców:</w:t>
      </w:r>
    </w:p>
    <w:p>
      <w:pPr>
        <w:numPr>
          <w:ilvl w:val="0"/>
          <w:numId w:val="1034"/>
        </w:numPr>
      </w:pPr>
      <w:r>
        <w:t xml:space="preserve">Wzorzec 1) — GA 2554 (Bukareszt, 1434, eapr) jest precyzyjnie doskonałą kopią linii przekazu mającej wzorzec 1). Istnieje kilka innych, które są niemal doskonałe.</w:t>
      </w:r>
    </w:p>
    <w:p>
      <w:pPr>
        <w:numPr>
          <w:ilvl w:val="0"/>
          <w:numId w:val="1034"/>
        </w:numPr>
      </w:pPr>
      <w:r>
        <w:t xml:space="preserve">Wzorzec 2) — w GA 867 (Watykan, XIV, e) brakuje pierwszych pięciu rozdziałów Ewangelii Mateusza, lecz poza tym jest precyzyjnie doskonałą kopią linii przekazu mającej wzorzec 2). GA 128 (Watykan, XIII, e) jest prawie doskonały.</w:t>
      </w:r>
    </w:p>
    <w:p>
      <w:pPr>
        <w:numPr>
          <w:ilvl w:val="0"/>
          <w:numId w:val="1034"/>
        </w:numPr>
      </w:pPr>
      <w:r>
        <w:t xml:space="preserve">Wzorzec 3) — GA 1189 (Synaj, 1346, e) jest praktycznie doskonałą kopią linii przekazu mającej wzorzec 3). GA 928 (Dionysiu, 1304, eap), GA 1572 (Vatopediu, 1304, e) i GA 2466 (Patmos, 1329, eap) są wszystkie dobre.</w:t>
      </w:r>
    </w:p>
    <w:p>
      <w:pPr>
        <w:numPr>
          <w:ilvl w:val="0"/>
          <w:numId w:val="1034"/>
        </w:numPr>
      </w:pPr>
      <w:r>
        <w:t xml:space="preserve">Wzorzec 4) — GA 1072 (M. Lavras, XIII, eapr) jest niemal doskonałą kopią linii przekazu mającej wzorzec 4). GA 246 (Moskwa, XIV, e) jest prawie doskonały.</w:t>
      </w:r>
    </w:p>
    <w:p>
      <w:pPr>
        <w:numPr>
          <w:ilvl w:val="0"/>
          <w:numId w:val="1034"/>
        </w:numPr>
      </w:pPr>
      <w:r>
        <w:t xml:space="preserve">Wzorzec 5) — GA 18 (Konstantynopol, 1364, eapr) i GA 2503 (Synaj, XIV, e) są prawie doskonałymi kopiami linii przekazu mającej wzorzec 5).</w:t>
      </w:r>
    </w:p>
    <w:p>
      <w:pPr>
        <w:numPr>
          <w:ilvl w:val="0"/>
          <w:numId w:val="1034"/>
        </w:numPr>
      </w:pPr>
      <w:r>
        <w:t xml:space="preserve">Wzorzec 6) — GA 586 (Modena, XIV, e) jest doskonałą kopią linii przekazu mającej wzorzec 6). GA 2382 (Konstantynopol, XII, e) jest prawie doskonały, a GA 510 (Oksford-cc, XII, e) praktycznie taki jest.</w:t>
      </w:r>
    </w:p>
    <w:p>
      <w:pPr>
        <w:pStyle w:val="FirstParagraph"/>
      </w:pPr>
      <w:r>
        <w:t xml:space="preserve">Kopiści najwyraźniej wiernie odtwarzali swoje egzemplarze, które reprezentowały odrębne linie przekazu. Trzy wzorce mają jawne poświadczenie z XI wieku, kolejny ma jawne poświadczenie z XII wieku, a wszystkie mają rozproszone rozmieszczenie geograficzne. Stojące przed nami dowody po prostu wymagają wniosku, że archetyp Rodziny 35 musiał istnieć w okresie uncjalnym, i to prawdopodobnie dość daleko wstecz w tym okresie. W innym miejscu argumentowałem, że dostępne dowody wskazują, iż istniał już w III wieku, jeśli nie jeszcze wcześniej.</w:t>
      </w:r>
      <w:r>
        <w:t xml:space="preserve"> </w:t>
      </w:r>
      <w:r>
        <w:rPr>
          <w:bCs/>
          <w:b/>
        </w:rPr>
        <w:t xml:space="preserve">Należy odrzucić wszystkie z góry przyjęte poglądy dotyczące K</w:t>
      </w:r>
      <w:r>
        <w:rPr>
          <w:vertAlign w:val="superscript"/>
          <w:bCs/>
          <w:b/>
        </w:rPr>
        <w:t xml:space="preserve">r</w:t>
      </w:r>
      <w:r>
        <w:rPr>
          <w:bCs/>
          <w:b/>
        </w:rPr>
        <w:t xml:space="preserve"> </w:t>
      </w:r>
      <w:r>
        <w:rPr>
          <w:bCs/>
          <w:b/>
        </w:rPr>
        <w:t xml:space="preserve">von Sodena.</w:t>
      </w:r>
    </w:p>
    <w:p>
      <w:pPr>
        <w:pStyle w:val="BodyText"/>
      </w:pPr>
      <w:r>
        <w:t xml:space="preserve">Jeśli ktoś zada sobie trud policzenia manuskryptów za i przeciw, odkryje, że forma, którą wybrałem jako archetypalną, ma większość liczbową tylko w dwóch spośród pięciu przypadków. Licząc wyłącznie manuskrypty uwzględnione w siedmiu wiodących wzorcach, mój wybór ma przewagę w czterech spośród pięciu. Poza dominującą naturą wzorca 1) mój wybór w każdym przypadku podyktowany był jakością manuskryptu i rozmieszczeniem geograficznym. Jak jednak wskazano na początku, różnica znaczeniowa jest tak niewielka, że w każdym przypadku jedno tłumaczenie może obejmować oba odczyty.</w:t>
      </w:r>
      <w:r>
        <w:t xml:space="preserve"> </w:t>
      </w:r>
      <w:r>
        <w:rPr>
          <w:bCs/>
          <w:b/>
        </w:rPr>
        <w:t xml:space="preserve">Bóg zachował swój Tekst!</w:t>
      </w:r>
    </w:p>
    <w:bookmarkEnd w:id="323"/>
    <w:bookmarkStart w:id="340" w:name="Xde6e4061a08dc5aa27d42892f0f4e85991bac47"/>
    <w:p>
      <w:pPr>
        <w:pStyle w:val="Heading2"/>
      </w:pPr>
      <w:r>
        <w:t xml:space="preserve">Boskie zachowanie oryginalnych sformułowań Listów Ogólnych</w:t>
      </w:r>
    </w:p>
    <w:p>
      <w:pPr>
        <w:pStyle w:val="FirstParagraph"/>
      </w:pPr>
      <w:r>
        <w:t xml:space="preserve">Jako punkt wyjścia dla tego omówienia posłużę się definicją „zachowania” napisaną przez Barta D. Ehrmana:</w:t>
      </w:r>
    </w:p>
    <w:p>
      <w:pPr>
        <w:pStyle w:val="BlockText"/>
      </w:pPr>
      <w:r>
        <w:t xml:space="preserve">Każde twierdzenie, że Bóg zachował tekst Nowego Testamentu w stanie nienaruszonym, dając swojemu Kościołowi rzeczywiste, nie zaś teoretyczne posiadanie go,</w:t>
      </w:r>
      <w:r>
        <w:t xml:space="preserve"> </w:t>
      </w:r>
      <w:r>
        <w:rPr>
          <w:u w:val="single"/>
        </w:rPr>
        <w:t xml:space="preserve">musi (wyróżnienie dodane) oznaczać jedną z trzech rzeczy — albo 1) Bóg</w:t>
      </w:r>
      <w:r>
        <w:t xml:space="preserve"> </w:t>
      </w:r>
      <w:r>
        <w:t xml:space="preserve">zachował go we wszystkich zachowanych manuskryptach, tak że żaden z nich nie zawiera żadnych skażeń tekstu, albo 2) zachował go w grupie manuskryptów, z których żaden nie zawiera żadnych skażeń, albo 3) zachował go w jednym manuskrypcie, który jako jedyny nie zawiera żadnych skażeń.</w:t>
      </w:r>
      <w:r>
        <w:rPr>
          <w:rStyle w:val="FootnoteReference"/>
        </w:rPr>
        <w:footnoteReference w:id="324"/>
      </w:r>
    </w:p>
    <w:p>
      <w:pPr>
        <w:pStyle w:val="FirstParagraph"/>
      </w:pPr>
      <w:r>
        <w:t xml:space="preserve">Ogranicza on pojęcie zachowania w sposób graniczący ze stworzeniem chochoła, lecz jego definicja bardzo dobrze służy mojemu obecnemu celowi. Oczywiste jest, że możliwość 1) nie może się ostać, lecz co z 2) i 3)? Jak wskazuje tytuł, niniejsza część ogranicza się do Listów Ogólnych, ta grupa siedmiu ksiąg jest jedną z części, na które skrybowie dzielili Nowy Testament w celu sporządzania kopii.</w:t>
      </w:r>
      <w:r>
        <w:rPr>
          <w:rStyle w:val="FootnoteReference"/>
        </w:rPr>
        <w:footnoteReference w:id="325"/>
      </w:r>
      <w:r>
        <w:t xml:space="preserve"> </w:t>
      </w:r>
      <w:r>
        <w:t xml:space="preserve">Ponieważ spośród trzech możliwości Ehrmana trzecia wydaje się najłatwiejsza do spełnienia, jeśli możemy ją spełnić, od niej zacznę.</w:t>
      </w:r>
      <w:r>
        <w:rPr>
          <w:rStyle w:val="FootnoteReference"/>
        </w:rPr>
        <w:footnoteReference w:id="326"/>
      </w:r>
    </w:p>
    <w:p>
      <w:pPr>
        <w:pStyle w:val="BodyText"/>
      </w:pPr>
      <w:r>
        <w:t xml:space="preserve">Najpierw musimy określić zakres — czy szukamy manuskryptu doskonałego dla całej księgi,</w:t>
      </w:r>
      <w:r>
        <w:rPr>
          <w:rStyle w:val="FootnoteReference"/>
        </w:rPr>
        <w:footnoteReference w:id="327"/>
      </w:r>
      <w:r>
        <w:t xml:space="preserve"> </w:t>
      </w:r>
      <w:r>
        <w:t xml:space="preserve">całej części czy całego Nowego Testamentu? Sądzę, że jest dość jasne, iż poprawną odpowiedzią jest cała księga, w końcu właśnie tak napisano Nowy Testament, wynika z tego, że pierwsze kopie sporządzano księga po księdze (a wszystkie późniejsze kopie są od nich zależne). O ile mi wiadomo, nikt nie przypisuje Boskiego natchnienia podziałowi na części — na przestrzeni stuleci kopiowania stało się to przyjętą odpowiedzią na ograniczenia materiału i czasu. Ponieważ jednak większość zachowanych kopii odzwierciedla ten podział, interesujące będzie sprawdzenie, czy możemy znaleźć manuskrypt doskonały dla całej części. Formalne uznanie pełnego kanonu Nowego Testamentu nastąpiło dopiero pod koniec IV wieku, choć nieformalnie był on znany w II wieku (a do tego czasu istniało wiele setek, jeśli nie tysięcy kopii — w rzeczywistości główne linie przekazu ustaliły się już dawno), lecz pytanie dotyczyło dokładnego wykazu ksiąg, które należy uwzględnić, nie zaś precyzyjnych sformułowań poszczególnych ksiąg. Chociaż wielu z nas wierzy, że Bóg z pewnością nadzorował ten wybór ksiąg, sformułowania nie były przedmiotem sporu. Szukamy zatem manuskryptów doskonałych dla całej księgi.</w:t>
      </w:r>
    </w:p>
    <w:p>
      <w:pPr>
        <w:pStyle w:val="BodyText"/>
      </w:pPr>
      <w:r>
        <w:t xml:space="preserve">Następnie musimy zdefiniować tekst — jakiego dokładnie profilu szukamy, skąd możemy wiedzieć, czy manuskrypt jest „doskonały”? Pytanie to sprowadza nas wprost do gniazda węży krytyki tekstu Nowego Testamentu (a większość węży jest jadowita). To, co sądzę na ten temat, zaczęło ukazywać się drukiem w 1977 roku</w:t>
      </w:r>
      <w:r>
        <w:rPr>
          <w:rStyle w:val="FootnoteReference"/>
        </w:rPr>
        <w:footnoteReference w:id="328"/>
      </w:r>
      <w:r>
        <w:t xml:space="preserve"> </w:t>
      </w:r>
      <w:r>
        <w:t xml:space="preserve">i nie będę tutaj powtarzał tego, co jest dostępne gdzie indziej. Dokonując taktycznego odwrotu, wycofam się do łatwiejszego pytania (lecz wrócę do głównego): skąd możemy wiedzieć, czy manuskrypt jest doskonałym przedstawicielem swojego typu tekstu, to znaczy archetypu swojej rodziny? Aby zyskać na czasie, zilustruję teorię konkretnym przykładem. Zwracam uwagę na poniższą tabelę:</w:t>
      </w:r>
    </w:p>
    <w:bookmarkStart w:id="333" w:name="X1d3a324f5a8db0ec6a014c62025bac490a89b77"/>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poszczególnych księgach Listów Ogólnych</w:t>
      </w:r>
      <w:r>
        <w:rPr>
          <w:rStyle w:val="FootnoteReference"/>
        </w:rPr>
        <w:footnoteReference w:id="329"/>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w:t>
            </w:r>
          </w:p>
        </w:tc>
      </w:tr>
      <w:tr>
        <w:tc>
          <w:tcPr/>
          <w:p>
            <w:pPr>
              <w:pStyle w:val="Compact"/>
              <w:jc w:val="center"/>
            </w:pPr>
            <w:r>
              <w:t xml:space="preserve">/</w:t>
            </w:r>
          </w:p>
        </w:tc>
        <w:tc>
          <w:tcPr/>
          <w:p>
            <w:pPr>
              <w:pStyle w:val="Compact"/>
              <w:jc w:val="left"/>
            </w:pPr>
            <w:r>
              <w:t xml:space="preserve">rodzina jest podzielona (grupa odłamowa)</w:t>
            </w:r>
          </w:p>
        </w:tc>
      </w:tr>
      <w:tr>
        <w:tc>
          <w:tcPr/>
          <w:p>
            <w:pPr>
              <w:pStyle w:val="Compact"/>
              <w:jc w:val="center"/>
            </w:pPr>
            <w:r>
              <w:t xml:space="preserve">h</w:t>
            </w:r>
          </w:p>
        </w:tc>
        <w:tc>
          <w:tcPr/>
          <w:p>
            <w:pPr>
              <w:pStyle w:val="Compact"/>
              <w:jc w:val="left"/>
            </w:pPr>
            <w:r>
              <w:t xml:space="preserve">oczywisty przypadek homoioteleutonu (lub homoioarktonu), obejmujący wiersz lub więcej</w:t>
            </w:r>
          </w:p>
        </w:tc>
      </w:tr>
      <w:tr>
        <w:tc>
          <w:tcPr/>
          <w:p>
            <w:pPr>
              <w:pStyle w:val="Compact"/>
              <w:jc w:val="center"/>
            </w:pPr>
            <w:r>
              <w:t xml:space="preserve">i</w:t>
            </w:r>
          </w:p>
        </w:tc>
        <w:tc>
          <w:tcPr/>
          <w:p>
            <w:pPr>
              <w:pStyle w:val="Compact"/>
              <w:jc w:val="left"/>
            </w:pPr>
            <w:r>
              <w:t xml:space="preserve">zwykła nieuwaga (zazwyczaj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tbl>
      <w:tblPr>
        <w:tblStyle w:val="Table"/>
        <w:tblW w:type="pct" w:w="5000"/>
        <w:tblLook w:firstRow="1" w:lastRow="0" w:firstColumn="0" w:lastColumn="0" w:noHBand="0" w:noVBand="0" w:val="0020"/>
        <w:jc w:val="start"/>
      </w:tblPr>
      <w:tblGrid>
        <w:gridCol w:w="597"/>
        <w:gridCol w:w="747"/>
        <w:gridCol w:w="747"/>
        <w:gridCol w:w="747"/>
        <w:gridCol w:w="747"/>
        <w:gridCol w:w="747"/>
        <w:gridCol w:w="747"/>
        <w:gridCol w:w="747"/>
        <w:gridCol w:w="747"/>
        <w:gridCol w:w="597"/>
        <w:gridCol w:w="747"/>
      </w:tblGrid>
      <w:tr>
        <w:trPr>
          <w:tblHeader w:val="true"/>
        </w:trPr>
        <w:tc>
          <w:tcPr/>
          <w:p>
            <w:pPr>
              <w:pStyle w:val="Compact"/>
              <w:jc w:val="right"/>
            </w:pPr>
            <w:r>
              <w:rPr>
                <w:bCs/>
                <w:b/>
              </w:rPr>
              <w:t xml:space="preserve">Manuskrypt</w:t>
            </w:r>
          </w:p>
        </w:tc>
        <w:tc>
          <w:tcPr/>
          <w:p>
            <w:pPr>
              <w:pStyle w:val="Compact"/>
              <w:jc w:val="center"/>
            </w:pPr>
            <w:r>
              <w:t xml:space="preserve">List Jakuba</w:t>
            </w:r>
          </w:p>
        </w:tc>
        <w:tc>
          <w:tcPr/>
          <w:p>
            <w:pPr>
              <w:pStyle w:val="Compact"/>
              <w:jc w:val="center"/>
            </w:pPr>
            <w:r>
              <w:t xml:space="preserve">1 List Piotra</w:t>
            </w:r>
          </w:p>
        </w:tc>
        <w:tc>
          <w:tcPr/>
          <w:p>
            <w:pPr>
              <w:pStyle w:val="Compact"/>
              <w:jc w:val="center"/>
            </w:pPr>
            <w:r>
              <w:t xml:space="preserve">2 List Piotra</w:t>
            </w:r>
          </w:p>
        </w:tc>
        <w:tc>
          <w:tcPr/>
          <w:p>
            <w:pPr>
              <w:pStyle w:val="Compact"/>
              <w:jc w:val="center"/>
            </w:pPr>
            <w:r>
              <w:t xml:space="preserve">1 List Jana</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center"/>
            </w:pPr>
            <w:r>
              <w:t xml:space="preserve">Data</w:t>
            </w:r>
          </w:p>
        </w:tc>
        <w:tc>
          <w:tcPr/>
          <w:p>
            <w:pPr>
              <w:pStyle w:val="Compact"/>
              <w:jc w:val="left"/>
            </w:pPr>
            <w:r>
              <w:t xml:space="preserve">Miejsce</w:t>
            </w:r>
          </w:p>
        </w:tc>
        <w:tc>
          <w:tcPr/>
          <w:p>
            <w:pPr>
              <w:pStyle w:val="Compact"/>
              <w:jc w:val="center"/>
            </w:pPr>
            <w:r>
              <w:t xml:space="preserve">Egzemplarz korpusu</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1x, 2/</w:t>
            </w:r>
          </w:p>
        </w:tc>
        <w:tc>
          <w:tcPr/>
          <w:p>
            <w:pPr>
              <w:pStyle w:val="Compact"/>
              <w:jc w:val="center"/>
            </w:pPr>
            <w:r>
              <w:t xml:space="preserve">1s</w:t>
            </w:r>
          </w:p>
        </w:tc>
        <w:tc>
          <w:tcPr/>
          <w:p>
            <w:pPr>
              <w:pStyle w:val="Compact"/>
              <w:jc w:val="center"/>
            </w:pPr>
            <w:r>
              <w:t xml:space="preserve">1x, 2/</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2x, 4/</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1/, 2s</w:t>
            </w:r>
          </w:p>
        </w:tc>
        <w:tc>
          <w:tcPr/>
          <w:p>
            <w:pPr>
              <w:pStyle w:val="Compact"/>
              <w:jc w:val="center"/>
            </w:pPr>
            <w:r>
              <w:t xml:space="preserve">1x, 4/, 2s</w:t>
            </w:r>
          </w:p>
        </w:tc>
        <w:tc>
          <w:tcPr/>
          <w:p>
            <w:pPr>
              <w:pStyle w:val="Compact"/>
              <w:jc w:val="center"/>
            </w:pPr>
            <w:r>
              <w:t xml:space="preserve">1c, 1s</w:t>
            </w:r>
          </w:p>
        </w:tc>
        <w:tc>
          <w:tcPr/>
          <w:p>
            <w:pPr>
              <w:pStyle w:val="Compact"/>
              <w:jc w:val="center"/>
            </w:pPr>
            <w:r>
              <w:t xml:space="preserve">1/, 3s, 2h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1x, 6/</w:t>
            </w:r>
          </w:p>
        </w:tc>
      </w:tr>
      <w:tr>
        <w:tc>
          <w:tcPr/>
          <w:p>
            <w:pPr>
              <w:pStyle w:val="Compact"/>
              <w:jc w:val="right"/>
            </w:pPr>
            <w:r>
              <w:t xml:space="preserve">149</w:t>
            </w:r>
          </w:p>
        </w:tc>
        <w:tc>
          <w:tcPr/>
          <w:p>
            <w:pPr>
              <w:pStyle w:val="Compact"/>
              <w:jc w:val="center"/>
            </w:pPr>
            <w:r>
              <w:t xml:space="preserve">1x, 5/, 1c, 7s</w:t>
            </w:r>
          </w:p>
        </w:tc>
        <w:tc>
          <w:tcPr/>
          <w:p>
            <w:pPr>
              <w:pStyle w:val="Compact"/>
              <w:jc w:val="center"/>
            </w:pPr>
            <w:r>
              <w:t xml:space="preserve">1x, 8/, 3s</w:t>
            </w:r>
          </w:p>
        </w:tc>
        <w:tc>
          <w:tcPr/>
          <w:p>
            <w:pPr>
              <w:pStyle w:val="Compact"/>
              <w:jc w:val="center"/>
            </w:pPr>
            <w:r>
              <w:t xml:space="preserve">5/, 2s</w:t>
            </w:r>
          </w:p>
        </w:tc>
        <w:tc>
          <w:tcPr/>
          <w:p>
            <w:pPr>
              <w:pStyle w:val="Compact"/>
              <w:jc w:val="center"/>
            </w:pPr>
            <w:r>
              <w:t xml:space="preserve">4/, 1c, 3s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24/</w:t>
            </w:r>
          </w:p>
        </w:tc>
      </w:tr>
      <w:tr>
        <w:tc>
          <w:tcPr/>
          <w:p>
            <w:pPr>
              <w:pStyle w:val="Compact"/>
              <w:jc w:val="right"/>
            </w:pPr>
            <w:r>
              <w:t xml:space="preserve">201</w:t>
            </w:r>
          </w:p>
        </w:tc>
        <w:tc>
          <w:tcPr/>
          <w:p>
            <w:pPr>
              <w:pStyle w:val="Compact"/>
              <w:jc w:val="center"/>
            </w:pPr>
            <w:r>
              <w:t xml:space="preserve">5/, 1s</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1357</w:t>
            </w:r>
          </w:p>
        </w:tc>
        <w:tc>
          <w:tcPr/>
          <w:p>
            <w:pPr>
              <w:pStyle w:val="Compact"/>
              <w:jc w:val="left"/>
            </w:pPr>
            <w:r>
              <w:t xml:space="preserve">Londyn</w:t>
            </w:r>
          </w:p>
        </w:tc>
        <w:tc>
          <w:tcPr/>
          <w:p>
            <w:pPr>
              <w:pStyle w:val="Compact"/>
              <w:jc w:val="center"/>
            </w:pPr>
            <w:r>
              <w:t xml:space="preserve">19/</w:t>
            </w:r>
          </w:p>
        </w:tc>
      </w:tr>
      <w:tr>
        <w:tc>
          <w:tcPr/>
          <w:p>
            <w:pPr>
              <w:pStyle w:val="Compact"/>
              <w:jc w:val="right"/>
            </w:pPr>
            <w:r>
              <w:t xml:space="preserve">204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2/,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1x, 3/</w:t>
            </w:r>
          </w:p>
        </w:tc>
      </w:tr>
      <w:tr>
        <w:tc>
          <w:tcPr/>
          <w:p>
            <w:pPr>
              <w:pStyle w:val="Compact"/>
              <w:jc w:val="right"/>
            </w:pPr>
            <w:r>
              <w:t xml:space="preserve">328</w:t>
            </w:r>
          </w:p>
        </w:tc>
        <w:tc>
          <w:tcPr/>
          <w:p>
            <w:pPr>
              <w:pStyle w:val="Compact"/>
              <w:jc w:val="center"/>
            </w:pPr>
            <w:r>
              <w:t xml:space="preserve">1x, 5/, 2s</w:t>
            </w:r>
          </w:p>
        </w:tc>
        <w:tc>
          <w:tcPr/>
          <w:p>
            <w:pPr>
              <w:pStyle w:val="Compact"/>
              <w:jc w:val="center"/>
            </w:pPr>
            <w:r>
              <w:t xml:space="preserve">5/, 4s</w:t>
            </w:r>
          </w:p>
        </w:tc>
        <w:tc>
          <w:tcPr/>
          <w:p>
            <w:pPr>
              <w:pStyle w:val="Compact"/>
              <w:jc w:val="center"/>
            </w:pPr>
            <w:r>
              <w:t xml:space="preserve">1x, 2/, 1s</w:t>
            </w:r>
          </w:p>
        </w:tc>
        <w:tc>
          <w:tcPr/>
          <w:p>
            <w:pPr>
              <w:pStyle w:val="Compact"/>
              <w:jc w:val="center"/>
            </w:pPr>
            <w:r>
              <w:t xml:space="preserve">2x, 4/, 1c,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center"/>
            </w:pPr>
            <w:r>
              <w:t xml:space="preserve">XIII</w:t>
            </w:r>
          </w:p>
        </w:tc>
        <w:tc>
          <w:tcPr/>
          <w:p>
            <w:pPr>
              <w:pStyle w:val="Compact"/>
              <w:jc w:val="left"/>
            </w:pPr>
            <w:r>
              <w:t xml:space="preserve">Lejda</w:t>
            </w:r>
          </w:p>
        </w:tc>
        <w:tc>
          <w:tcPr/>
          <w:p>
            <w:pPr>
              <w:pStyle w:val="Compact"/>
              <w:jc w:val="center"/>
            </w:pPr>
            <w:r>
              <w:t xml:space="preserve">5x, 16/</w:t>
            </w:r>
          </w:p>
        </w:tc>
      </w:tr>
      <w:tr>
        <w:tc>
          <w:tcPr/>
          <w:p>
            <w:pPr>
              <w:pStyle w:val="Compact"/>
              <w:jc w:val="right"/>
            </w:pPr>
            <w:r>
              <w:t xml:space="preserve">386</w:t>
            </w:r>
          </w:p>
        </w:tc>
        <w:tc>
          <w:tcPr/>
          <w:p>
            <w:pPr>
              <w:pStyle w:val="Compact"/>
              <w:jc w:val="center"/>
            </w:pPr>
            <w:r>
              <w:t xml:space="preserve">2/</w:t>
            </w:r>
          </w:p>
        </w:tc>
        <w:tc>
          <w:tcPr/>
          <w:p>
            <w:pPr>
              <w:pStyle w:val="Compact"/>
              <w:jc w:val="center"/>
            </w:pPr>
            <w:r>
              <w:t xml:space="preserve">1/, 1s</w:t>
            </w:r>
          </w:p>
        </w:tc>
        <w:tc>
          <w:tcPr/>
          <w:p>
            <w:pPr>
              <w:pStyle w:val="Compact"/>
              <w:jc w:val="center"/>
            </w:pPr>
            <w:r>
              <w:t xml:space="preserve">1/, 2s</w:t>
            </w:r>
          </w:p>
        </w:tc>
        <w:tc>
          <w:tcPr/>
          <w:p>
            <w:pPr>
              <w:pStyle w:val="Compact"/>
              <w:jc w:val="center"/>
            </w:pPr>
            <w:r>
              <w:t xml:space="preserve">3/, 3s, 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7/</w:t>
            </w:r>
          </w:p>
        </w:tc>
      </w:tr>
      <w:tr>
        <w:tc>
          <w:tcPr/>
          <w:p>
            <w:pPr>
              <w:pStyle w:val="Compact"/>
              <w:jc w:val="right"/>
            </w:pPr>
            <w:r>
              <w:t xml:space="preserve">394</w:t>
            </w:r>
          </w:p>
        </w:tc>
        <w:tc>
          <w:tcPr/>
          <w:p>
            <w:pPr>
              <w:pStyle w:val="Compact"/>
              <w:jc w:val="center"/>
            </w:pPr>
            <w:r>
              <w:t xml:space="preserve">2/</w:t>
            </w:r>
          </w:p>
        </w:tc>
        <w:tc>
          <w:tcPr/>
          <w:p>
            <w:pPr>
              <w:pStyle w:val="Compact"/>
              <w:jc w:val="center"/>
            </w:pPr>
            <w:r>
              <w:t xml:space="preserve">4/, 1c, 1i</w:t>
            </w:r>
          </w:p>
        </w:tc>
        <w:tc>
          <w:tcPr/>
          <w:p>
            <w:pPr>
              <w:pStyle w:val="Compact"/>
              <w:jc w:val="center"/>
            </w:pPr>
            <w:r>
              <w:t xml:space="preserve">4/</w:t>
            </w:r>
          </w:p>
        </w:tc>
        <w:tc>
          <w:tcPr/>
          <w:p>
            <w:pPr>
              <w:pStyle w:val="Compact"/>
              <w:jc w:val="center"/>
            </w:pPr>
            <w:r>
              <w:t xml:space="preserve">4/, 1s</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14/</w:t>
            </w:r>
          </w:p>
        </w:tc>
      </w:tr>
      <w:tr>
        <w:tc>
          <w:tcPr/>
          <w:p>
            <w:pPr>
              <w:pStyle w:val="Compact"/>
              <w:jc w:val="right"/>
            </w:pPr>
            <w:r>
              <w:t xml:space="preserve">432</w:t>
            </w:r>
          </w:p>
        </w:tc>
        <w:tc>
          <w:tcPr/>
          <w:p>
            <w:pPr>
              <w:pStyle w:val="Compact"/>
              <w:jc w:val="center"/>
            </w:pPr>
            <w:r>
              <w:t xml:space="preserve">5/, 3s, 1h</w:t>
            </w:r>
          </w:p>
        </w:tc>
        <w:tc>
          <w:tcPr/>
          <w:p>
            <w:pPr>
              <w:pStyle w:val="Compact"/>
              <w:jc w:val="center"/>
            </w:pPr>
            <w:r>
              <w:t xml:space="preserve">10/, 6s</w:t>
            </w:r>
          </w:p>
        </w:tc>
        <w:tc>
          <w:tcPr/>
          <w:p>
            <w:pPr>
              <w:pStyle w:val="Compact"/>
              <w:jc w:val="center"/>
            </w:pPr>
            <w:r>
              <w:t xml:space="preserve">1x, 2/, 1c, 1s</w:t>
            </w:r>
          </w:p>
        </w:tc>
        <w:tc>
          <w:tcPr/>
          <w:p>
            <w:pPr>
              <w:pStyle w:val="Compact"/>
              <w:jc w:val="center"/>
            </w:pPr>
            <w:r>
              <w:t xml:space="preserve">1x, 5/, 1c, 1s, 1h</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23/</w:t>
            </w:r>
          </w:p>
        </w:tc>
      </w:tr>
      <w:tr>
        <w:tc>
          <w:tcPr/>
          <w:p>
            <w:pPr>
              <w:pStyle w:val="Compact"/>
              <w:jc w:val="right"/>
            </w:pPr>
            <w:r>
              <w:t xml:space="preserve">604</w:t>
            </w:r>
          </w:p>
        </w:tc>
        <w:tc>
          <w:tcPr/>
          <w:p>
            <w:pPr>
              <w:pStyle w:val="Compact"/>
              <w:jc w:val="center"/>
            </w:pPr>
            <w:r>
              <w:t xml:space="preserve">6/, 1s</w:t>
            </w:r>
          </w:p>
        </w:tc>
        <w:tc>
          <w:tcPr/>
          <w:p>
            <w:pPr>
              <w:pStyle w:val="Compact"/>
              <w:jc w:val="center"/>
            </w:pPr>
            <w:r>
              <w:t xml:space="preserve">1x, 11/, 1s</w:t>
            </w:r>
          </w:p>
        </w:tc>
        <w:tc>
          <w:tcPr/>
          <w:p>
            <w:pPr>
              <w:pStyle w:val="Compact"/>
              <w:jc w:val="center"/>
            </w:pPr>
            <w:r>
              <w:t xml:space="preserve">4/, 1c, 1s</w:t>
            </w:r>
          </w:p>
        </w:tc>
        <w:tc>
          <w:tcPr/>
          <w:p>
            <w:pPr>
              <w:pStyle w:val="Compact"/>
              <w:jc w:val="center"/>
            </w:pPr>
            <w:r>
              <w:t xml:space="preserve">7/, 1s</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Paryż</w:t>
            </w:r>
          </w:p>
        </w:tc>
        <w:tc>
          <w:tcPr/>
          <w:p>
            <w:pPr>
              <w:pStyle w:val="Compact"/>
              <w:jc w:val="center"/>
            </w:pPr>
            <w:r>
              <w:t xml:space="preserve">2x, 29/</w:t>
            </w:r>
          </w:p>
        </w:tc>
      </w:tr>
      <w:tr>
        <w:tc>
          <w:tcPr/>
          <w:p>
            <w:pPr>
              <w:pStyle w:val="Compact"/>
              <w:jc w:val="right"/>
            </w:pPr>
            <w:r>
              <w:t xml:space="preserve">664</w:t>
            </w:r>
            <w:r>
              <w:rPr>
                <w:rStyle w:val="FootnoteReference"/>
              </w:rPr>
              <w:footnoteReference w:id="330"/>
            </w:r>
          </w:p>
        </w:tc>
        <w:tc>
          <w:tcPr/>
          <w:p>
            <w:pPr>
              <w:pStyle w:val="Compact"/>
              <w:jc w:val="center"/>
            </w:pPr>
            <w:r>
              <w:t xml:space="preserve">4x, 5/, 21s</w:t>
            </w:r>
          </w:p>
        </w:tc>
        <w:tc>
          <w:tcPr/>
          <w:p>
            <w:pPr>
              <w:pStyle w:val="Compact"/>
              <w:jc w:val="center"/>
            </w:pPr>
            <w:r>
              <w:t xml:space="preserve">5x, 9/, 1c, 25s</w:t>
            </w:r>
          </w:p>
        </w:tc>
        <w:tc>
          <w:tcPr/>
          <w:p>
            <w:pPr>
              <w:pStyle w:val="Compact"/>
              <w:jc w:val="center"/>
            </w:pPr>
            <w:r>
              <w:t xml:space="preserve">4/, 1c, 14s</w:t>
            </w:r>
          </w:p>
        </w:tc>
        <w:tc>
          <w:tcPr/>
          <w:p>
            <w:pPr>
              <w:pStyle w:val="Compact"/>
              <w:jc w:val="center"/>
            </w:pPr>
            <w:r>
              <w:t xml:space="preserve">6x, 6/, 14s, 1h</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Żytawa</w:t>
            </w:r>
          </w:p>
        </w:tc>
        <w:tc>
          <w:tcPr/>
          <w:p>
            <w:pPr>
              <w:pStyle w:val="Compact"/>
              <w:jc w:val="center"/>
            </w:pPr>
            <w:r>
              <w:t xml:space="preserve">16x, 24</w:t>
            </w:r>
          </w:p>
        </w:tc>
      </w:tr>
      <w:tr>
        <w:tc>
          <w:tcPr/>
          <w:p>
            <w:pPr>
              <w:pStyle w:val="Compact"/>
              <w:jc w:val="right"/>
            </w:pPr>
            <w:r>
              <w:t xml:space="preserve">757</w:t>
            </w:r>
          </w:p>
        </w:tc>
        <w:tc>
          <w:tcPr/>
          <w:p>
            <w:pPr>
              <w:pStyle w:val="Compact"/>
              <w:jc w:val="center"/>
            </w:pPr>
            <w:r>
              <w:t xml:space="preserve">1x</w:t>
            </w:r>
          </w:p>
        </w:tc>
        <w:tc>
          <w:tcPr/>
          <w:p>
            <w:pPr>
              <w:pStyle w:val="Compact"/>
              <w:jc w:val="center"/>
            </w:pPr>
            <w:r>
              <w:t xml:space="preserve">3/, 1c, 1s</w:t>
            </w:r>
          </w:p>
        </w:tc>
        <w:tc>
          <w:tcPr/>
          <w:p>
            <w:pPr>
              <w:pStyle w:val="Compact"/>
              <w:jc w:val="center"/>
            </w:pPr>
            <w:r>
              <w:t xml:space="preserve">1x, 1s</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2x, 4/</w:t>
            </w:r>
          </w:p>
        </w:tc>
      </w:tr>
      <w:tr>
        <w:tc>
          <w:tcPr/>
          <w:p>
            <w:pPr>
              <w:pStyle w:val="Compact"/>
              <w:jc w:val="right"/>
            </w:pPr>
            <w:r>
              <w:t xml:space="preserve">824</w:t>
            </w:r>
          </w:p>
        </w:tc>
        <w:tc>
          <w:tcPr/>
          <w:p>
            <w:pPr>
              <w:pStyle w:val="Compact"/>
              <w:jc w:val="center"/>
            </w:pPr>
            <w:r>
              <w:t xml:space="preserve">1x, 2s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1x</w:t>
            </w:r>
          </w:p>
        </w:tc>
      </w:tr>
      <w:tr>
        <w:tc>
          <w:tcPr/>
          <w:p>
            <w:pPr>
              <w:pStyle w:val="Compact"/>
              <w:jc w:val="right"/>
            </w:pPr>
            <w:r>
              <w:t xml:space="preserve">928</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9/</w:t>
            </w:r>
          </w:p>
        </w:tc>
      </w:tr>
      <w:tr>
        <w:tc>
          <w:tcPr/>
          <w:p>
            <w:pPr>
              <w:pStyle w:val="Compact"/>
              <w:jc w:val="right"/>
            </w:pPr>
            <w:r>
              <w:t xml:space="preserve">986</w:t>
            </w:r>
            <w:r>
              <w:rPr>
                <w:rStyle w:val="FootnoteReference"/>
              </w:rPr>
              <w:footnoteReference w:id="331"/>
            </w:r>
          </w:p>
        </w:tc>
        <w:tc>
          <w:tcPr/>
          <w:p>
            <w:pPr>
              <w:pStyle w:val="Compact"/>
              <w:jc w:val="center"/>
            </w:pPr>
            <w:r>
              <w:t xml:space="preserve">4/, 2s, 1i</w:t>
            </w:r>
          </w:p>
        </w:tc>
        <w:tc>
          <w:tcPr/>
          <w:p>
            <w:pPr>
              <w:pStyle w:val="Compact"/>
              <w:jc w:val="center"/>
            </w:pPr>
            <w:r>
              <w:t xml:space="preserve">6/, 4s</w:t>
            </w:r>
          </w:p>
        </w:tc>
        <w:tc>
          <w:tcPr/>
          <w:p>
            <w:pPr>
              <w:pStyle w:val="Compact"/>
              <w:jc w:val="center"/>
            </w:pPr>
            <w:r>
              <w:t xml:space="preserve">1/, 1s</w:t>
            </w:r>
          </w:p>
        </w:tc>
        <w:tc>
          <w:tcPr/>
          <w:p>
            <w:pPr>
              <w:pStyle w:val="Compact"/>
              <w:jc w:val="center"/>
            </w:pPr>
            <w:r>
              <w:t xml:space="preserve">3/, 3s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14/</w:t>
            </w:r>
          </w:p>
        </w:tc>
      </w:tr>
      <w:tr>
        <w:tc>
          <w:tcPr/>
          <w:p>
            <w:pPr>
              <w:pStyle w:val="Compact"/>
              <w:jc w:val="right"/>
            </w:pPr>
            <w:r>
              <w:t xml:space="preserve">1072</w:t>
            </w:r>
          </w:p>
        </w:tc>
        <w:tc>
          <w:tcPr/>
          <w:p>
            <w:pPr>
              <w:pStyle w:val="Compact"/>
              <w:jc w:val="center"/>
            </w:pPr>
            <w:r>
              <w:t xml:space="preserve">2/, 1h, 1i</w:t>
            </w:r>
          </w:p>
        </w:tc>
        <w:tc>
          <w:tcPr/>
          <w:p>
            <w:pPr>
              <w:pStyle w:val="Compact"/>
              <w:jc w:val="center"/>
            </w:pPr>
            <w:r>
              <w:t xml:space="preserve">3/, 2c, 1s</w:t>
            </w:r>
          </w:p>
        </w:tc>
        <w:tc>
          <w:tcPr/>
          <w:p>
            <w:pPr>
              <w:pStyle w:val="Compact"/>
              <w:jc w:val="center"/>
            </w:pPr>
            <w:r>
              <w:t xml:space="preserve">1s</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1075</w:t>
            </w:r>
          </w:p>
        </w:tc>
        <w:tc>
          <w:tcPr/>
          <w:p>
            <w:pPr>
              <w:pStyle w:val="Compact"/>
              <w:jc w:val="center"/>
            </w:pPr>
            <w:r>
              <w:t xml:space="preserve">1/, 1s</w:t>
            </w:r>
          </w:p>
        </w:tc>
        <w:tc>
          <w:tcPr/>
          <w:p>
            <w:pPr>
              <w:pStyle w:val="Compact"/>
              <w:jc w:val="center"/>
            </w:pPr>
            <w:r>
              <w:t xml:space="preserve">7/, 2s</w:t>
            </w:r>
          </w:p>
        </w:tc>
        <w:tc>
          <w:tcPr/>
          <w:p>
            <w:pPr>
              <w:pStyle w:val="Compact"/>
              <w:jc w:val="center"/>
            </w:pPr>
            <w:r>
              <w:t xml:space="preserve">1s</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9/</w:t>
            </w:r>
          </w:p>
        </w:tc>
      </w:tr>
      <w:tr>
        <w:tc>
          <w:tcPr/>
          <w:p>
            <w:pPr>
              <w:pStyle w:val="Compact"/>
              <w:jc w:val="right"/>
            </w:pPr>
            <w:r>
              <w:t xml:space="preserve">1100</w:t>
            </w:r>
          </w:p>
        </w:tc>
        <w:tc>
          <w:tcPr/>
          <w:p>
            <w:pPr>
              <w:pStyle w:val="Compact"/>
              <w:jc w:val="center"/>
            </w:pPr>
            <w:r>
              <w:t xml:space="preserve">2x, 1s</w:t>
            </w:r>
          </w:p>
        </w:tc>
        <w:tc>
          <w:tcPr/>
          <w:p>
            <w:pPr>
              <w:pStyle w:val="Compact"/>
              <w:jc w:val="center"/>
            </w:pPr>
            <w:r>
              <w:t xml:space="preserve">1/, 1i</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2x, 2/</w:t>
            </w:r>
          </w:p>
        </w:tc>
      </w:tr>
      <w:tr>
        <w:tc>
          <w:tcPr/>
          <w:p>
            <w:pPr>
              <w:pStyle w:val="Compact"/>
              <w:jc w:val="right"/>
            </w:pPr>
            <w:r>
              <w:t xml:space="preserve">1248</w:t>
            </w:r>
          </w:p>
        </w:tc>
        <w:tc>
          <w:tcPr/>
          <w:p>
            <w:pPr>
              <w:pStyle w:val="Compact"/>
              <w:jc w:val="center"/>
            </w:pPr>
            <w:r>
              <w:t xml:space="preserve">1x, 2/, 2c, 2s, 2h</w:t>
            </w:r>
          </w:p>
        </w:tc>
        <w:tc>
          <w:tcPr/>
          <w:p>
            <w:pPr>
              <w:pStyle w:val="Compact"/>
              <w:jc w:val="center"/>
            </w:pPr>
            <w:r>
              <w:t xml:space="preserve">1x, 5/, 2c, 3s, 1h</w:t>
            </w:r>
          </w:p>
        </w:tc>
        <w:tc>
          <w:tcPr/>
          <w:p>
            <w:pPr>
              <w:pStyle w:val="Compact"/>
              <w:jc w:val="center"/>
            </w:pPr>
            <w:r>
              <w:t xml:space="preserve">2x, 1/, 7s</w:t>
            </w:r>
          </w:p>
        </w:tc>
        <w:tc>
          <w:tcPr/>
          <w:p>
            <w:pPr>
              <w:pStyle w:val="Compact"/>
              <w:jc w:val="center"/>
            </w:pPr>
            <w:r>
              <w:t xml:space="preserve">4s, 2h</w:t>
            </w:r>
          </w:p>
        </w:tc>
        <w:tc>
          <w:tcPr/>
          <w:p>
            <w:pPr>
              <w:pStyle w:val="Compact"/>
              <w:jc w:val="center"/>
            </w:pPr>
            <w:r>
              <w:t xml:space="preserve">2/</w:t>
            </w:r>
          </w:p>
        </w:tc>
        <w:tc>
          <w:tcPr/>
          <w:p>
            <w:pPr>
              <w:pStyle w:val="Compact"/>
              <w:jc w:val="center"/>
            </w:pPr>
            <w:r>
              <w:t xml:space="preserve">1/, 2s, 1h</w:t>
            </w:r>
          </w:p>
        </w:tc>
        <w:tc>
          <w:tcPr/>
          <w:p>
            <w:pPr>
              <w:pStyle w:val="Compact"/>
              <w:jc w:val="center"/>
            </w:pPr>
            <w:r>
              <w:t xml:space="preserve">2s, 2h</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4x, 11/</w:t>
            </w:r>
          </w:p>
        </w:tc>
      </w:tr>
      <w:tr>
        <w:tc>
          <w:tcPr/>
          <w:p>
            <w:pPr>
              <w:pStyle w:val="Compact"/>
              <w:jc w:val="right"/>
            </w:pPr>
            <w:r>
              <w:t xml:space="preserve">1249</w:t>
            </w:r>
          </w:p>
        </w:tc>
        <w:tc>
          <w:tcPr/>
          <w:p>
            <w:pPr>
              <w:pStyle w:val="Compact"/>
              <w:jc w:val="center"/>
            </w:pPr>
            <w:r>
              <w:t xml:space="preserve">3/</w:t>
            </w:r>
          </w:p>
        </w:tc>
        <w:tc>
          <w:tcPr/>
          <w:p>
            <w:pPr>
              <w:pStyle w:val="Compact"/>
              <w:jc w:val="center"/>
            </w:pPr>
            <w:r>
              <w:t xml:space="preserve">1x, 5/, 2s</w:t>
            </w:r>
          </w:p>
        </w:tc>
        <w:tc>
          <w:tcPr/>
          <w:p>
            <w:pPr>
              <w:pStyle w:val="Compact"/>
              <w:jc w:val="center"/>
            </w:pPr>
            <w:r>
              <w:t xml:space="preserve">4/</w:t>
            </w:r>
          </w:p>
        </w:tc>
        <w:tc>
          <w:tcPr/>
          <w:p>
            <w:pPr>
              <w:pStyle w:val="Compact"/>
              <w:jc w:val="center"/>
            </w:pPr>
            <w:r>
              <w:t xml:space="preserve">1x, 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2x, 17/</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3/, 1c</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3/</w:t>
            </w:r>
          </w:p>
        </w:tc>
      </w:tr>
      <w:tr>
        <w:tc>
          <w:tcPr/>
          <w:p>
            <w:pPr>
              <w:pStyle w:val="Compact"/>
              <w:jc w:val="right"/>
            </w:pPr>
            <w:r>
              <w:t xml:space="preserve">1548</w:t>
            </w:r>
          </w:p>
        </w:tc>
        <w:tc>
          <w:tcPr/>
          <w:p>
            <w:pPr>
              <w:pStyle w:val="Compact"/>
              <w:jc w:val="center"/>
            </w:pPr>
            <w:r>
              <w:t xml:space="preserve">2/, 2s</w:t>
            </w:r>
          </w:p>
        </w:tc>
        <w:tc>
          <w:tcPr/>
          <w:p>
            <w:pPr>
              <w:pStyle w:val="Compact"/>
              <w:jc w:val="center"/>
            </w:pPr>
            <w:r>
              <w:t xml:space="preserve">1x, 6/, 1c, 2s</w:t>
            </w:r>
          </w:p>
        </w:tc>
        <w:tc>
          <w:tcPr/>
          <w:p>
            <w:pPr>
              <w:pStyle w:val="Compact"/>
              <w:jc w:val="center"/>
            </w:pPr>
            <w:r>
              <w:t xml:space="preserve">1/, 2s</w:t>
            </w:r>
          </w:p>
        </w:tc>
        <w:tc>
          <w:tcPr/>
          <w:p>
            <w:pPr>
              <w:pStyle w:val="Compact"/>
              <w:jc w:val="center"/>
            </w:pPr>
            <w:r>
              <w:t xml:space="preserve">1/,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1x, 10/</w:t>
            </w:r>
          </w:p>
        </w:tc>
      </w:tr>
      <w:tr>
        <w:tc>
          <w:tcPr/>
          <w:p>
            <w:pPr>
              <w:pStyle w:val="Compact"/>
              <w:jc w:val="right"/>
            </w:pPr>
            <w:r>
              <w:t xml:space="preserve">1637</w:t>
            </w:r>
          </w:p>
        </w:tc>
        <w:tc>
          <w:tcPr/>
          <w:p>
            <w:pPr>
              <w:pStyle w:val="Compact"/>
              <w:jc w:val="center"/>
            </w:pPr>
            <w:r>
              <w:t xml:space="preserve">1/, 1s</w:t>
            </w:r>
          </w:p>
        </w:tc>
        <w:tc>
          <w:tcPr/>
          <w:p>
            <w:pPr>
              <w:pStyle w:val="Compact"/>
              <w:jc w:val="center"/>
            </w:pPr>
            <w:r>
              <w:t xml:space="preserve">4/, 1c, 1s</w:t>
            </w:r>
          </w:p>
        </w:tc>
        <w:tc>
          <w:tcPr/>
          <w:p>
            <w:pPr>
              <w:pStyle w:val="Compact"/>
              <w:jc w:val="center"/>
            </w:pPr>
            <w:r>
              <w:t xml:space="preserve">1/</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2s</w:t>
            </w:r>
          </w:p>
        </w:tc>
        <w:tc>
          <w:tcPr/>
          <w:p>
            <w:pPr>
              <w:pStyle w:val="Compact"/>
              <w:jc w:val="center"/>
            </w:pPr>
            <w:r>
              <w:t xml:space="preserve">1/, 2s</w:t>
            </w:r>
          </w:p>
        </w:tc>
        <w:tc>
          <w:tcPr/>
          <w:p>
            <w:pPr>
              <w:pStyle w:val="Compact"/>
              <w:jc w:val="center"/>
            </w:pPr>
            <w:r>
              <w:t xml:space="preserve">1/, 1i</w:t>
            </w:r>
          </w:p>
        </w:tc>
        <w:tc>
          <w:tcPr/>
          <w:p>
            <w:pPr>
              <w:pStyle w:val="Compact"/>
              <w:jc w:val="center"/>
            </w:pPr>
            <w:r>
              <w:t xml:space="preserve">2s</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2/</w:t>
            </w:r>
          </w:p>
        </w:tc>
      </w:tr>
      <w:tr>
        <w:tc>
          <w:tcPr/>
          <w:p>
            <w:pPr>
              <w:pStyle w:val="Compact"/>
              <w:jc w:val="right"/>
            </w:pPr>
            <w:r>
              <w:t xml:space="preserve">1754</w:t>
            </w:r>
            <w:r>
              <w:rPr>
                <w:rStyle w:val="FootnoteReference"/>
              </w:rPr>
              <w:footnoteReference w:id="332"/>
            </w:r>
          </w:p>
        </w:tc>
        <w:tc>
          <w:tcPr/>
          <w:p>
            <w:pPr>
              <w:pStyle w:val="Compact"/>
              <w:jc w:val="center"/>
            </w:pPr>
            <w:r>
              <w:t xml:space="preserve">2/, 16s</w:t>
            </w:r>
          </w:p>
        </w:tc>
        <w:tc>
          <w:tcPr/>
          <w:p>
            <w:pPr>
              <w:pStyle w:val="Compact"/>
              <w:jc w:val="center"/>
            </w:pPr>
            <w:r>
              <w:t xml:space="preserve">3/, 8s</w:t>
            </w:r>
          </w:p>
        </w:tc>
        <w:tc>
          <w:tcPr/>
          <w:p>
            <w:pPr>
              <w:pStyle w:val="Compact"/>
              <w:jc w:val="center"/>
            </w:pPr>
            <w:r>
              <w:t xml:space="preserve">2/, 9s</w:t>
            </w:r>
          </w:p>
        </w:tc>
        <w:tc>
          <w:tcPr/>
          <w:p>
            <w:pPr>
              <w:pStyle w:val="Compact"/>
              <w:jc w:val="center"/>
            </w:pPr>
            <w:r>
              <w:t xml:space="preserve">2x, 1/, 13s, 3h</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center"/>
            </w:pPr>
            <w:r>
              <w:t xml:space="preserve">XII</w:t>
            </w:r>
          </w:p>
        </w:tc>
        <w:tc>
          <w:tcPr/>
          <w:p>
            <w:pPr>
              <w:pStyle w:val="Compact"/>
              <w:jc w:val="left"/>
            </w:pPr>
            <w:r>
              <w:t xml:space="preserve">Panteleimonos</w:t>
            </w:r>
          </w:p>
        </w:tc>
        <w:tc>
          <w:tcPr/>
          <w:p>
            <w:pPr>
              <w:pStyle w:val="Compact"/>
              <w:jc w:val="center"/>
            </w:pPr>
            <w:r>
              <w:t xml:space="preserve">2x, 9/</w:t>
            </w:r>
          </w:p>
        </w:tc>
      </w:tr>
      <w:tr>
        <w:tc>
          <w:tcPr/>
          <w:p>
            <w:pPr>
              <w:pStyle w:val="Compact"/>
              <w:jc w:val="right"/>
            </w:pPr>
            <w:r>
              <w:t xml:space="preserve">1761</w:t>
            </w:r>
          </w:p>
        </w:tc>
        <w:tc>
          <w:tcPr/>
          <w:p>
            <w:pPr>
              <w:pStyle w:val="Compact"/>
              <w:jc w:val="center"/>
            </w:pPr>
            <w:r>
              <w:t xml:space="preserve">2x, 2s</w:t>
            </w:r>
          </w:p>
        </w:tc>
        <w:tc>
          <w:tcPr/>
          <w:p>
            <w:pPr>
              <w:pStyle w:val="Compact"/>
              <w:jc w:val="center"/>
            </w:pPr>
            <w:r>
              <w:t xml:space="preserve">2x, 4/, 3s</w:t>
            </w:r>
          </w:p>
        </w:tc>
        <w:tc>
          <w:tcPr/>
          <w:p>
            <w:pPr>
              <w:pStyle w:val="Compact"/>
              <w:jc w:val="center"/>
            </w:pPr>
            <w:r>
              <w:t xml:space="preserve">1/</w:t>
            </w:r>
          </w:p>
        </w:tc>
        <w:tc>
          <w:tcPr/>
          <w:p>
            <w:pPr>
              <w:pStyle w:val="Compact"/>
              <w:jc w:val="center"/>
            </w:pPr>
            <w:r>
              <w:t xml:space="preserve">1/, 1s, 1h</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4x, 6/</w:t>
            </w:r>
          </w:p>
        </w:tc>
      </w:tr>
      <w:tr>
        <w:tc>
          <w:tcPr/>
          <w:p>
            <w:pPr>
              <w:pStyle w:val="Compact"/>
              <w:jc w:val="right"/>
            </w:pPr>
            <w:r>
              <w:t xml:space="preserve">1768</w:t>
            </w:r>
          </w:p>
        </w:tc>
        <w:tc>
          <w:tcPr/>
          <w:p>
            <w:pPr>
              <w:pStyle w:val="Compact"/>
              <w:jc w:val="center"/>
            </w:pPr>
            <w:r>
              <w:t xml:space="preserve">7/, 2c, 1s</w:t>
            </w:r>
          </w:p>
        </w:tc>
        <w:tc>
          <w:tcPr/>
          <w:p>
            <w:pPr>
              <w:pStyle w:val="Compact"/>
              <w:jc w:val="center"/>
            </w:pPr>
            <w:r>
              <w:t xml:space="preserve">12/, 1i</w:t>
            </w:r>
          </w:p>
        </w:tc>
        <w:tc>
          <w:tcPr/>
          <w:p>
            <w:pPr>
              <w:pStyle w:val="Compact"/>
              <w:jc w:val="center"/>
            </w:pPr>
            <w:r>
              <w:t xml:space="preserve">6/, 2i</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1s</w:t>
            </w:r>
          </w:p>
        </w:tc>
        <w:tc>
          <w:tcPr/>
          <w:p>
            <w:pPr>
              <w:pStyle w:val="Compact"/>
              <w:jc w:val="center"/>
            </w:pPr>
            <w:r>
              <w:t xml:space="preserve">1516</w:t>
            </w:r>
          </w:p>
        </w:tc>
        <w:tc>
          <w:tcPr/>
          <w:p>
            <w:pPr>
              <w:pStyle w:val="Compact"/>
              <w:jc w:val="left"/>
            </w:pPr>
            <w:r>
              <w:t xml:space="preserve">Iviron</w:t>
            </w:r>
          </w:p>
        </w:tc>
        <w:tc>
          <w:tcPr/>
          <w:p>
            <w:pPr>
              <w:pStyle w:val="Compact"/>
              <w:jc w:val="center"/>
            </w:pPr>
            <w:r>
              <w:t xml:space="preserve">26/</w:t>
            </w:r>
          </w:p>
        </w:tc>
      </w:tr>
      <w:tr>
        <w:tc>
          <w:tcPr/>
          <w:p>
            <w:pPr>
              <w:pStyle w:val="Compact"/>
              <w:jc w:val="right"/>
            </w:pPr>
            <w:r>
              <w:t xml:space="preserve">1855</w:t>
            </w:r>
          </w:p>
        </w:tc>
        <w:tc>
          <w:tcPr/>
          <w:p>
            <w:pPr>
              <w:pStyle w:val="Compact"/>
              <w:jc w:val="center"/>
            </w:pPr>
            <w:r>
              <w:t xml:space="preserve">1/, 1s</w:t>
            </w:r>
          </w:p>
        </w:tc>
        <w:tc>
          <w:tcPr/>
          <w:p>
            <w:pPr>
              <w:pStyle w:val="Compact"/>
              <w:jc w:val="center"/>
            </w:pPr>
            <w:r>
              <w:t xml:space="preserve">1x, 2/</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1x, 6/</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3/, 2c</w:t>
            </w:r>
          </w:p>
        </w:tc>
        <w:tc>
          <w:tcPr/>
          <w:p>
            <w:pPr>
              <w:pStyle w:val="Compact"/>
              <w:jc w:val="center"/>
            </w:pPr>
            <w:r>
              <w:t xml:space="preserve">---</w:t>
            </w:r>
          </w:p>
        </w:tc>
        <w:tc>
          <w:tcPr/>
          <w:p>
            <w:pPr>
              <w:pStyle w:val="Compact"/>
              <w:jc w:val="center"/>
            </w:pPr>
            <w:r>
              <w:t xml:space="preserve">1c,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3/</w:t>
            </w:r>
          </w:p>
        </w:tc>
      </w:tr>
      <w:tr>
        <w:tc>
          <w:tcPr/>
          <w:p>
            <w:pPr>
              <w:pStyle w:val="Compact"/>
              <w:jc w:val="right"/>
            </w:pPr>
            <w:r>
              <w:t xml:space="preserve">1865</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2s</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1x, 4/, 3s</w:t>
            </w:r>
          </w:p>
        </w:tc>
        <w:tc>
          <w:tcPr/>
          <w:p>
            <w:pPr>
              <w:pStyle w:val="Compact"/>
              <w:jc w:val="center"/>
            </w:pPr>
            <w:r>
              <w:t xml:space="preserve">2x, 4/, 3s, 1h</w:t>
            </w:r>
          </w:p>
        </w:tc>
        <w:tc>
          <w:tcPr/>
          <w:p>
            <w:pPr>
              <w:pStyle w:val="Compact"/>
              <w:jc w:val="center"/>
            </w:pPr>
            <w:r>
              <w:t xml:space="preserve">4/, 1s</w:t>
            </w:r>
          </w:p>
        </w:tc>
        <w:tc>
          <w:tcPr/>
          <w:p>
            <w:pPr>
              <w:pStyle w:val="Compact"/>
              <w:jc w:val="center"/>
            </w:pPr>
            <w:r>
              <w:t xml:space="preserve">1x, 3/, 1c, 2s</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4x, 19/</w:t>
            </w:r>
          </w:p>
        </w:tc>
      </w:tr>
      <w:tr>
        <w:tc>
          <w:tcPr/>
          <w:p>
            <w:pPr>
              <w:pStyle w:val="Compact"/>
              <w:jc w:val="right"/>
            </w:pPr>
            <w:r>
              <w:t xml:space="preserve">1892</w:t>
            </w:r>
          </w:p>
        </w:tc>
        <w:tc>
          <w:tcPr/>
          <w:p>
            <w:pPr>
              <w:pStyle w:val="Compact"/>
              <w:jc w:val="center"/>
            </w:pPr>
            <w:r>
              <w:t xml:space="preserve">1x, 4/, 2c, 1s</w:t>
            </w:r>
          </w:p>
        </w:tc>
        <w:tc>
          <w:tcPr/>
          <w:p>
            <w:pPr>
              <w:pStyle w:val="Compact"/>
              <w:jc w:val="center"/>
            </w:pPr>
            <w:r>
              <w:t xml:space="preserve">3x, 4/, 4s</w:t>
            </w:r>
          </w:p>
        </w:tc>
        <w:tc>
          <w:tcPr/>
          <w:p>
            <w:pPr>
              <w:pStyle w:val="Compact"/>
              <w:jc w:val="center"/>
            </w:pPr>
            <w:r>
              <w:t xml:space="preserve">1x, 2/, 1c</w:t>
            </w:r>
          </w:p>
        </w:tc>
        <w:tc>
          <w:tcPr/>
          <w:p>
            <w:pPr>
              <w:pStyle w:val="Compact"/>
              <w:jc w:val="center"/>
            </w:pPr>
            <w:r>
              <w:t xml:space="preserve">1/, 1c, 2s</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1c, 1s</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6x, 11/</w:t>
            </w:r>
          </w:p>
        </w:tc>
      </w:tr>
      <w:tr>
        <w:tc>
          <w:tcPr/>
          <w:p>
            <w:pPr>
              <w:pStyle w:val="Compact"/>
              <w:jc w:val="right"/>
            </w:pPr>
            <w:r>
              <w:t xml:space="preserve">1897</w:t>
            </w:r>
          </w:p>
        </w:tc>
        <w:tc>
          <w:tcPr/>
          <w:p>
            <w:pPr>
              <w:pStyle w:val="Compact"/>
              <w:jc w:val="center"/>
            </w:pPr>
            <w:r>
              <w:t xml:space="preserve">2/, 3s</w:t>
            </w:r>
          </w:p>
        </w:tc>
        <w:tc>
          <w:tcPr/>
          <w:p>
            <w:pPr>
              <w:pStyle w:val="Compact"/>
              <w:jc w:val="center"/>
            </w:pPr>
            <w:r>
              <w:t xml:space="preserve">1/, 3s</w:t>
            </w:r>
          </w:p>
        </w:tc>
        <w:tc>
          <w:tcPr/>
          <w:p>
            <w:pPr>
              <w:pStyle w:val="Compact"/>
              <w:jc w:val="center"/>
            </w:pPr>
            <w:r>
              <w:t xml:space="preserve">2s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4/</w:t>
            </w:r>
          </w:p>
        </w:tc>
      </w:tr>
      <w:tr>
        <w:tc>
          <w:tcPr/>
          <w:p>
            <w:pPr>
              <w:pStyle w:val="Compact"/>
              <w:jc w:val="right"/>
            </w:pPr>
            <w:r>
              <w:t xml:space="preserve">2221</w:t>
            </w:r>
          </w:p>
        </w:tc>
        <w:tc>
          <w:tcPr/>
          <w:p>
            <w:pPr>
              <w:pStyle w:val="Compact"/>
              <w:jc w:val="center"/>
            </w:pPr>
            <w:r>
              <w:t xml:space="preserve">1s</w:t>
            </w:r>
          </w:p>
        </w:tc>
        <w:tc>
          <w:tcPr/>
          <w:p>
            <w:pPr>
              <w:pStyle w:val="Compact"/>
              <w:jc w:val="center"/>
            </w:pPr>
            <w:r>
              <w:t xml:space="preserve">2x</w:t>
            </w:r>
          </w:p>
        </w:tc>
        <w:tc>
          <w:tcPr/>
          <w:p>
            <w:pPr>
              <w:pStyle w:val="Compact"/>
              <w:jc w:val="center"/>
            </w:pPr>
            <w:r>
              <w:t xml:space="preserve">1x, 3/, 1s</w:t>
            </w:r>
          </w:p>
        </w:tc>
        <w:tc>
          <w:tcPr/>
          <w:p>
            <w:pPr>
              <w:pStyle w:val="Compact"/>
              <w:jc w:val="center"/>
            </w:pPr>
            <w:r>
              <w:t xml:space="preserve">1x, 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4x, 4/</w:t>
            </w:r>
          </w:p>
        </w:tc>
      </w:tr>
      <w:tr>
        <w:tc>
          <w:tcPr/>
          <w:p>
            <w:pPr>
              <w:pStyle w:val="Compact"/>
              <w:jc w:val="right"/>
            </w:pPr>
            <w:r>
              <w:t xml:space="preserve">2352</w:t>
            </w:r>
          </w:p>
        </w:tc>
        <w:tc>
          <w:tcPr/>
          <w:p>
            <w:pPr>
              <w:pStyle w:val="Compact"/>
              <w:jc w:val="center"/>
            </w:pPr>
            <w:r>
              <w:t xml:space="preserve">1/, 1c, 1i</w:t>
            </w:r>
          </w:p>
        </w:tc>
        <w:tc>
          <w:tcPr/>
          <w:p>
            <w:pPr>
              <w:pStyle w:val="Compact"/>
              <w:jc w:val="center"/>
            </w:pPr>
            <w:r>
              <w:t xml:space="preserve">6/, 1c, 1s, 1i</w:t>
            </w:r>
          </w:p>
        </w:tc>
        <w:tc>
          <w:tcPr/>
          <w:p>
            <w:pPr>
              <w:pStyle w:val="Compact"/>
              <w:jc w:val="center"/>
            </w:pPr>
            <w:r>
              <w:t xml:space="preserve">3/, 1c</w:t>
            </w:r>
          </w:p>
        </w:tc>
        <w:tc>
          <w:tcPr/>
          <w:p>
            <w:pPr>
              <w:pStyle w:val="Compact"/>
              <w:jc w:val="center"/>
            </w:pPr>
            <w:r>
              <w:t xml:space="preserve">2/, 1c</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12/</w:t>
            </w:r>
          </w:p>
        </w:tc>
      </w:tr>
      <w:tr>
        <w:tc>
          <w:tcPr/>
          <w:p>
            <w:pPr>
              <w:pStyle w:val="Compact"/>
              <w:jc w:val="right"/>
            </w:pPr>
            <w:r>
              <w:t xml:space="preserve">2431</w:t>
            </w:r>
          </w:p>
        </w:tc>
        <w:tc>
          <w:tcPr/>
          <w:p>
            <w:pPr>
              <w:pStyle w:val="Compact"/>
              <w:jc w:val="center"/>
            </w:pPr>
            <w:r>
              <w:t xml:space="preserve">4/, 4s, 1i</w:t>
            </w:r>
          </w:p>
        </w:tc>
        <w:tc>
          <w:tcPr/>
          <w:p>
            <w:pPr>
              <w:pStyle w:val="Compact"/>
              <w:jc w:val="center"/>
            </w:pPr>
            <w:r>
              <w:t xml:space="preserve">11/, 2s, 2i</w:t>
            </w:r>
          </w:p>
        </w:tc>
        <w:tc>
          <w:tcPr/>
          <w:p>
            <w:pPr>
              <w:pStyle w:val="Compact"/>
              <w:jc w:val="center"/>
            </w:pPr>
            <w:r>
              <w:t xml:space="preserve">2/, 1c, 2s, 2i</w:t>
            </w:r>
          </w:p>
        </w:tc>
        <w:tc>
          <w:tcPr/>
          <w:p>
            <w:pPr>
              <w:pStyle w:val="Compact"/>
              <w:jc w:val="center"/>
            </w:pPr>
            <w:r>
              <w:t xml:space="preserve">2/, 2s, 2i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1332</w:t>
            </w:r>
          </w:p>
        </w:tc>
        <w:tc>
          <w:tcPr/>
          <w:p>
            <w:pPr>
              <w:pStyle w:val="Compact"/>
              <w:jc w:val="left"/>
            </w:pPr>
            <w:r>
              <w:t xml:space="preserve">Kavsokalyvia</w:t>
            </w:r>
          </w:p>
        </w:tc>
        <w:tc>
          <w:tcPr/>
          <w:p>
            <w:pPr>
              <w:pStyle w:val="Compact"/>
              <w:jc w:val="center"/>
            </w:pPr>
            <w:r>
              <w:t xml:space="preserve">19/</w:t>
            </w:r>
          </w:p>
        </w:tc>
      </w:tr>
      <w:tr>
        <w:tc>
          <w:tcPr/>
          <w:p>
            <w:pPr>
              <w:pStyle w:val="Compact"/>
              <w:jc w:val="right"/>
            </w:pPr>
            <w:r>
              <w:t xml:space="preserve">2466</w:t>
            </w:r>
          </w:p>
        </w:tc>
        <w:tc>
          <w:tcPr/>
          <w:p>
            <w:pPr>
              <w:pStyle w:val="Compact"/>
              <w:jc w:val="center"/>
            </w:pPr>
            <w:r>
              <w:t xml:space="preserve">1/, 1s</w:t>
            </w:r>
          </w:p>
        </w:tc>
        <w:tc>
          <w:tcPr/>
          <w:p>
            <w:pPr>
              <w:pStyle w:val="Compact"/>
              <w:jc w:val="center"/>
            </w:pPr>
            <w:r>
              <w:t xml:space="preserve">1x, 1/, 1c, 4s</w:t>
            </w:r>
          </w:p>
        </w:tc>
        <w:tc>
          <w:tcPr/>
          <w:p>
            <w:pPr>
              <w:pStyle w:val="Compact"/>
              <w:jc w:val="center"/>
            </w:pPr>
            <w:r>
              <w:t xml:space="preserve">1x, 2s</w:t>
            </w:r>
          </w:p>
        </w:tc>
        <w:tc>
          <w:tcPr/>
          <w:p>
            <w:pPr>
              <w:pStyle w:val="Compact"/>
              <w:jc w:val="center"/>
            </w:pPr>
            <w:r>
              <w:t xml:space="preserve">3/, 1s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2x, 6/</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9/</w:t>
            </w:r>
          </w:p>
        </w:tc>
      </w:tr>
      <w:tr>
        <w:tc>
          <w:tcPr/>
          <w:p>
            <w:pPr>
              <w:pStyle w:val="Compact"/>
              <w:jc w:val="right"/>
            </w:pPr>
            <w:r>
              <w:t xml:space="preserve">2626</w:t>
            </w:r>
          </w:p>
        </w:tc>
        <w:tc>
          <w:tcPr/>
          <w:p>
            <w:pPr>
              <w:pStyle w:val="Compact"/>
              <w:jc w:val="center"/>
            </w:pPr>
            <w:r>
              <w:t xml:space="preserve">1/, 1s</w:t>
            </w:r>
          </w:p>
        </w:tc>
        <w:tc>
          <w:tcPr/>
          <w:p>
            <w:pPr>
              <w:pStyle w:val="Compact"/>
              <w:jc w:val="center"/>
            </w:pPr>
            <w:r>
              <w:t xml:space="preserve">1x, 5/</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XIV</w:t>
            </w:r>
          </w:p>
        </w:tc>
        <w:tc>
          <w:tcPr/>
          <w:p>
            <w:pPr>
              <w:pStyle w:val="Compact"/>
              <w:jc w:val="left"/>
            </w:pPr>
            <w:r>
              <w:t xml:space="preserve">Ochryda</w:t>
            </w:r>
          </w:p>
        </w:tc>
        <w:tc>
          <w:tcPr/>
          <w:p>
            <w:pPr>
              <w:pStyle w:val="Compact"/>
              <w:jc w:val="center"/>
            </w:pPr>
            <w:r>
              <w:t xml:space="preserve">1x, 13/</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w:t>
            </w:r>
          </w:p>
        </w:tc>
      </w:tr>
    </w:tbl>
    <w:bookmarkEnd w:id="333"/>
    <w:bookmarkStart w:id="339" w:name="interpretacja"/>
    <w:p>
      <w:pPr>
        <w:pStyle w:val="Heading3"/>
      </w:pPr>
      <w:r>
        <w:t xml:space="preserve">Interpretacja</w:t>
      </w:r>
    </w:p>
    <w:p>
      <w:pPr>
        <w:pStyle w:val="FirstParagraph"/>
      </w:pPr>
      <w:r>
        <w:t xml:space="preserve">Otóż typ tekstu, który nazywam Rodziną 35 (</w:t>
      </w:r>
      <w:r>
        <w:rPr>
          <w:bCs/>
          <w:b/>
        </w:rPr>
        <w:t xml:space="preserve">f</w:t>
      </w:r>
      <w:r>
        <w:rPr>
          <w:vertAlign w:val="superscript"/>
          <w:bCs/>
          <w:b/>
        </w:rPr>
        <w:t xml:space="preserve">35</w:t>
      </w:r>
      <w:r>
        <w:t xml:space="preserve">), reprezentowany jest w Listach Ogólnych przez około 84 (zachowane) manuskrypty. Ta próba czterdziestu trzech członków rodziny jest z pewnością reprezentatywna dla całego typu tekstu, stanowi bowiem pełną połowę jego przedstawicieli, a dodatkowo uwzględnia rozmieszczenie geograficzne. Pytanie stojące bezpośrednio przed nami brzmi: skąd możemy wiedzieć, czy manuskrypt jest doskonałym przedstawicielem swojego typu tekstu? Odpowiedź musi odnosić się do całej księgi.</w:t>
      </w:r>
    </w:p>
    <w:p>
      <w:pPr>
        <w:pStyle w:val="BodyText"/>
      </w:pPr>
      <w:r>
        <w:t xml:space="preserve">Pierwszą księgą tej części jest List Jakuba. Patrząc na tabelę, zauważamy, że rękopisy kursywne 18, 1864, 2554 i 2723 są w obecnym stanie przypuszczalnie doskonałymi przedstawicielami — nie mają odejść od domniemanego profilu archetypalnego.</w:t>
      </w:r>
      <w:r>
        <w:rPr>
          <w:rStyle w:val="FootnoteReference"/>
        </w:rPr>
        <w:footnoteReference w:id="334"/>
      </w:r>
      <w:r>
        <w:t xml:space="preserve"> </w:t>
      </w:r>
      <w:r>
        <w:t xml:space="preserve">Ponieważ 35 był systematycznie poprawiany, jego egzemplarz również był doskonały. Jeśli przypiszemy odczyty singularne kopiście, wówczas egzemplarze 1503, 1732, 1865 i 2221 także były doskonałe. Jeśli 18, 1864, 2554 i 2723 są kopiami, nie zaś oryginalnymi tworami, ich egzemplarze również były doskonałe, a egzemplarze egzemplarzy także były doskonałe, i tak dalej. Konsekwencje znalezienia doskonałego przedstawiciela jakiegokolwiek tekstu archetypalnego są dość doniosłe. Wszystkie „kanony” krytyki tekstu stają się nieistotne dla każdego punktu późniejszego od powstania tego tekstu (nadal mogłyby mieć zastosowanie przy badaniu powstania tekstu, zależnie od okoliczności). Spośród pozostałych manuskryptów 204 i 757 mają tylko jedno odejście, 386, 394, 928, 1075, 1637, 1725, 1732, 1855, 2466 i 2587 mają tylko dwa, i tak dalej. (Manuskrypt 664 ma trzydzieści, z których większość to niestaranne błędy, 664 poświadcza podstawowy profil (warianty diagnostyczne odróżniające go od wszystkich innych profili), a zatem jest wyraźnie członkiem rodziny, choć niedbałym).</w:t>
      </w:r>
    </w:p>
    <w:p>
      <w:pPr>
        <w:pStyle w:val="BodyText"/>
      </w:pPr>
      <w:r>
        <w:t xml:space="preserve">Odwoływałem się do „domniemanego profilu archetypalnego”. Jak zatem go zidentyfikowałem? Uczyniłem to na podstawie fundamentalnej zasady. Jeśli mamy rodzinę złożoną z 50 manuskryptów, wszędzie tam, gdzie wszystkie są zgodne, nie może być żadnych wątpliwości co do odczytu rodziny. Tam, gdzie pojedynczy manuskrypt błądzi przeciwko wszystkim pozostałym, nadal nie może być żadnych wątpliwości — właśnie to argumentuję wyżej w odniesieniu do Listu Jakuba. Wszędzie tam, gdzie zgadzają się choćby dwa (przeciwko pozostałym), mamy grupę odłamową — powiedziałbym od ręki, że wszystko do 20% ogółu rodziny pozostałoby grupą odłamową, praktycznie bez szans na reprezentowanie odczytu archetypalnego (jeśli pozostałe 80% jest jednomyślne). Gdy poświadczenie spada poniżej 80%, tym bardziej jeśli istnieje kilka konkurujących wariantów, muszą wejść w grę inne względy.</w:t>
      </w:r>
    </w:p>
    <w:p>
      <w:pPr>
        <w:pStyle w:val="BodyText"/>
      </w:pPr>
      <w:r>
        <w:t xml:space="preserve">Wracając do Listu Jakuba, twierdzę, że mamy rozsądną pewność co do precyzyjnego profilu rodziny dla tej księgi.</w:t>
      </w:r>
      <w:r>
        <w:rPr>
          <w:rStyle w:val="FootnoteReference"/>
        </w:rPr>
        <w:footnoteReference w:id="335"/>
      </w:r>
      <w:r>
        <w:t xml:space="preserve"> </w:t>
      </w:r>
      <w:r>
        <w:t xml:space="preserve">Skoro tak, możemy teraz ocenić poszczególne manuskrypty. Dlatego twierdzę, że egzemplarze 18, 35, 1503, 1732, 1864, 1865, 2221, 2554 i 2723 są doskonałymi przedstawicielami rodziny. Dziewięć doskonałych egzemplarzy spośród czterdziestu trzech to prawdopodobnie więcej, niż większość z nas by oczekiwała! W Liście Jakuba mamy więc kilka manuskryptów spełniających możliwość 3) Ehrmana w odniesieniu do tekstu archetypalnego.</w:t>
      </w:r>
    </w:p>
    <w:p>
      <w:pPr>
        <w:pStyle w:val="BodyText"/>
      </w:pPr>
      <w:r>
        <w:t xml:space="preserve">A co z drugą możliwością Ehrmana? Gdy mówi o „grupie” manuskryptów w odróżnieniu od „pojedynczego” manuskryptu (możliwość 3), przypuszczalnie ma na myśli rodzinę, ponieważ wszystkie z konieczności miałyby ten sam profil. Jeśli jednak ma na myśli rodzinę, przedkładam, że możliwość 2) wymaga ponownego sformułowania. Proponuję: „Zachował go w rodzinie manuskryptów, której tekst archetypalny nie zawiera żadnych skażeń — pod warunkiem że jego precyzyjny profil można potwierdzić ponad rozsądną wątpliwość”. (Przypomnijmy, że mówimy o</w:t>
      </w:r>
      <w:r>
        <w:t xml:space="preserve"> </w:t>
      </w:r>
      <w:r>
        <w:rPr>
          <w:u w:val="single"/>
        </w:rPr>
        <w:t xml:space="preserve">rzeczywistym</w:t>
      </w:r>
      <w:r>
        <w:t xml:space="preserve"> </w:t>
      </w:r>
      <w:r>
        <w:t xml:space="preserve">posiadaniu profilu). Oczywiste błędy poszczególnych przedstawicieli można bez obaw odjąć, pozostawiając świadectwo rodziny nienaruszone. Po takim ponownym sformułowaniu druga możliwość Ehrmana zostaje spełniona przez</w:t>
      </w:r>
      <w:r>
        <w:t xml:space="preserve"> </w:t>
      </w:r>
      <w:r>
        <w:rPr>
          <w:bCs/>
          <w:b/>
        </w:rPr>
        <w:t xml:space="preserve">f</w:t>
      </w:r>
      <w:r>
        <w:rPr>
          <w:vertAlign w:val="superscript"/>
          <w:bCs/>
          <w:b/>
        </w:rPr>
        <w:t xml:space="preserve">35</w:t>
      </w:r>
      <w:r>
        <w:t xml:space="preserve"> </w:t>
      </w:r>
      <w:r>
        <w:t xml:space="preserve">w Liście Jakuba w odniesieniu do tekstu archetypalnego. Przejdźmy do 1 Listu Piotra.</w:t>
      </w:r>
    </w:p>
    <w:p>
      <w:pPr>
        <w:pStyle w:val="BodyText"/>
      </w:pPr>
      <w:r>
        <w:t xml:space="preserve">Patrząc na tabelę, rękopisy kursywne 1865, 2554 i 2723 są doskonałymi przedstawicielami domniemanego profilu archetypalnego, ponieważ jednak 35 był systematycznie poprawiany, jego egzemplarz także był doskonały.</w:t>
      </w:r>
      <w:r>
        <w:rPr>
          <w:rStyle w:val="FootnoteReference"/>
        </w:rPr>
        <w:footnoteReference w:id="336"/>
      </w:r>
      <w:r>
        <w:t xml:space="preserve"> </w:t>
      </w:r>
      <w:r>
        <w:t xml:space="preserve">Jeśli przypiszemy odczyty singularne kopiście, wówczas egzemplarz 824 również był doskonały. Spośród pozostałych manuskryptów 204 ma tylko jedno odejście, 386, 1100, 1725 i 2221 mają tylko dwa, i tak dalej. Argumentując tak, jak w przypadku Listu Jakuba, w 1 Liście Piotra mamy pięć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Piotra.</w:t>
      </w:r>
    </w:p>
    <w:p>
      <w:pPr>
        <w:pStyle w:val="BodyText"/>
      </w:pPr>
      <w:r>
        <w:t xml:space="preserve">Patrząc na tabelę, rękopisy kursywne 35, 1725, 1864, 2554 i 2723 są doskonałymi przedstawicielami domniemanego profilu archetypalnego.</w:t>
      </w:r>
      <w:r>
        <w:rPr>
          <w:rStyle w:val="FootnoteReference"/>
        </w:rPr>
        <w:footnoteReference w:id="337"/>
      </w:r>
      <w:r>
        <w:t xml:space="preserve"> </w:t>
      </w:r>
      <w:r>
        <w:t xml:space="preserve">Jeśli przypiszemy odczyty singularne kopiście, wówczas egzemplarze 18, 824, 1072, 1075, 1503, 1865 i 1897 również były doskonałe. Spośród pozostałych manuskryptów 1100, 1637 i 1761 mają tylko jedno odejście, 141, 757, 986, 1732, 1855 i 2626 mają tylko dwa, i tak dalej. Argumentując tak, jak w przypadku Listu Jakuba, w 2 Liście Piotra mamy dwanaście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1 Listu Jana.</w:t>
      </w:r>
    </w:p>
    <w:p>
      <w:pPr>
        <w:pStyle w:val="BodyText"/>
      </w:pPr>
      <w:r>
        <w:t xml:space="preserve">Patrząc na tabelę, rękopisy kursywne 204, 824, 1100 i 2554 są doskonałymi przedstawicielami domniemanego profilu archetypalnego, ponieważ jednak 35, 1637, 1768 i 1865 były systematycznie poprawiane, ich egzemplarze także były doskonałe.</w:t>
      </w:r>
      <w:r>
        <w:rPr>
          <w:rStyle w:val="FootnoteReference"/>
        </w:rPr>
        <w:footnoteReference w:id="338"/>
      </w:r>
      <w:r>
        <w:t xml:space="preserve"> </w:t>
      </w:r>
      <w:r>
        <w:t xml:space="preserve">Jedyna odmienność w 2723 jest pominięciem całego wiersza w oczywistym przypadku homoioteleutonu, co według mnie nie stanowi właściwego wariantowego odczytu. W każdym razie jego egzemplarz byłby doskonały. Jeśli przypiszemy odczyty singularne kopiście, wówczas egzemplarze 1503, 1725, 1732 i 1897 również były doskonałe. Spośród pozostałych manuskryptów 757, 1075 i 2587 mają tylko jedno odejście, 201, 928, 1072, 1548, 1855, 2221 i 2626 mają tylko dwa, i tak dalej. Argumentując tak, jak w przypadku Listu Jakuba, w 1 Liście Jana mamy trzynaście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Jana.</w:t>
      </w:r>
    </w:p>
    <w:p>
      <w:pPr>
        <w:pStyle w:val="BodyText"/>
      </w:pPr>
      <w:r>
        <w:t xml:space="preserve">Patrząc na tabelę, większość rękopisów kursywnych jest doskonałymi przedstawicielami domniemanego profilu archetypalnego. Argumentując tak, jak w przypadku Listu Jakuba, w 2 Liście Jana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3 Listu Jana.</w:t>
      </w:r>
    </w:p>
    <w:p>
      <w:pPr>
        <w:pStyle w:val="BodyText"/>
      </w:pPr>
      <w:r>
        <w:t xml:space="preserve">Patrząc na tabelę, większość rękopisów kursywnych jest doskonałymi przedstawicielami domniemanego profilu archetypalnego. Argumentując tak, jak w przypadku Listu Jakuba, w 3 Liście Jana mamy trzydzieści dwa egzemplarze spełniające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Listu Judy.</w:t>
      </w:r>
    </w:p>
    <w:p>
      <w:pPr>
        <w:pStyle w:val="BodyText"/>
      </w:pPr>
      <w:r>
        <w:t xml:space="preserve">Patrząc na tabelę, połowa rękopisów kursywnych jest doskonałymi przedstawicielami domniemanego profilu archetypalnego. Argumentując tak, jak w przypadku Listu Jakuba, w Liście Judy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w:t>
      </w:r>
    </w:p>
    <w:p>
      <w:pPr>
        <w:pStyle w:val="BodyText"/>
      </w:pPr>
      <w:r>
        <w:t xml:space="preserve">Następującą część należy postrzegać jako kontynuację niniejszej.</w:t>
      </w:r>
    </w:p>
    <w:bookmarkEnd w:id="339"/>
    <w:bookmarkEnd w:id="340"/>
    <w:bookmarkStart w:id="343" w:name="X6ab50af76d9004b6e6e9f72e420df7088429cff"/>
    <w:p>
      <w:pPr>
        <w:pStyle w:val="Heading2"/>
      </w:pPr>
      <w:r>
        <w:t xml:space="preserve">Czy archetypalny tekst</w:t>
      </w:r>
      <w:r>
        <w:t xml:space="preserve"> </w:t>
      </w:r>
      <w:r>
        <w:rPr>
          <w:bCs/>
          <w:b/>
        </w:rPr>
        <w:t xml:space="preserve">f</w:t>
      </w:r>
      <w:r>
        <w:rPr>
          <w:vertAlign w:val="superscript"/>
          <w:bCs/>
          <w:b/>
        </w:rPr>
        <w:t xml:space="preserve">35</w:t>
      </w:r>
      <w:r>
        <w:t xml:space="preserve"> </w:t>
      </w:r>
      <w:r>
        <w:t xml:space="preserve">jest Autografem?</w:t>
      </w:r>
    </w:p>
    <w:p>
      <w:pPr>
        <w:pStyle w:val="FirstParagraph"/>
      </w:pPr>
      <w:r>
        <w:t xml:space="preserve">Jak mawiano w innym, dawno minionym świecie: „To pytanie za 64 dolary”. W części III przedstawiam dalsze obiektywne dowody na poparcie twierdzenia, że tekst</w:t>
      </w:r>
      <w:r>
        <w:t xml:space="preserve"> </w:t>
      </w:r>
      <w:r>
        <w:rPr>
          <w:bCs/>
          <w:b/>
        </w:rPr>
        <w:t xml:space="preserve">f</w:t>
      </w:r>
      <w:r>
        <w:rPr>
          <w:vertAlign w:val="superscript"/>
          <w:bCs/>
          <w:b/>
        </w:rPr>
        <w:t xml:space="preserve">35</w:t>
      </w:r>
      <w:r>
        <w:t xml:space="preserve"> </w:t>
      </w:r>
      <w:r>
        <w:t xml:space="preserve">jest starożytny i niezależny od wszystkich innych linii przekazu. Jeśli</w:t>
      </w:r>
      <w:r>
        <w:t xml:space="preserve"> </w:t>
      </w:r>
      <w:r>
        <w:rPr>
          <w:bCs/>
          <w:b/>
        </w:rPr>
        <w:t xml:space="preserve">f</w:t>
      </w:r>
      <w:r>
        <w:rPr>
          <w:vertAlign w:val="superscript"/>
          <w:bCs/>
          <w:b/>
        </w:rPr>
        <w:t xml:space="preserve">35</w:t>
      </w:r>
      <w:r>
        <w:t xml:space="preserve"> </w:t>
      </w:r>
      <w:r>
        <w:t xml:space="preserve">jest niezależna od wszystkich innych linii przekazu, musi sięgać Autografów. Jakie inne rozsądne wyjaśnienie istnieje? Jeśli ktoś ma odmienne wyjaśnienie, które lepiej niż moje (lub równie dobrze) tłumaczy dowody, chciałbym je zobaczyć.</w:t>
      </w:r>
      <w:r>
        <w:rPr>
          <w:rStyle w:val="FootnoteReference"/>
        </w:rPr>
        <w:footnoteReference w:id="341"/>
      </w:r>
    </w:p>
    <w:p>
      <w:pPr>
        <w:pStyle w:val="BodyText"/>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rPr>
          <w:u w:val="single"/>
        </w:rPr>
        <w:t xml:space="preserve">jest starożytny (a także niezależny)</w:t>
      </w:r>
      <w:r>
        <w:t xml:space="preserve">.</w:t>
      </w:r>
    </w:p>
    <w:p>
      <w:pPr>
        <w:pStyle w:val="BodyText"/>
      </w:pPr>
      <w:r>
        <w:t xml:space="preserve">Twierdzę, że wykazałem wyższość Rodziny 35 na podstawie</w:t>
      </w:r>
      <w:r>
        <w:t xml:space="preserve"> </w:t>
      </w:r>
      <w:r>
        <w:rPr>
          <w:u w:val="single"/>
        </w:rPr>
        <w:t xml:space="preserve">wielkości</w:t>
      </w:r>
      <w:r>
        <w:t xml:space="preserve"> </w:t>
      </w:r>
      <w:r>
        <w:t xml:space="preserve">(liczby przedstawicieli),</w:t>
      </w:r>
      <w:r>
        <w:t xml:space="preserve"> </w:t>
      </w:r>
      <w:r>
        <w:rPr>
          <w:u w:val="single"/>
        </w:rPr>
        <w:t xml:space="preserve">niezależności</w:t>
      </w:r>
      <w:r>
        <w:t xml:space="preserve">,</w:t>
      </w:r>
      <w:r>
        <w:t xml:space="preserve"> </w:t>
      </w:r>
      <w:r>
        <w:rPr>
          <w:u w:val="single"/>
        </w:rPr>
        <w:t xml:space="preserve">wieku</w:t>
      </w:r>
      <w:r>
        <w:t xml:space="preserve">,</w:t>
      </w:r>
      <w:r>
        <w:t xml:space="preserve"> </w:t>
      </w:r>
      <w:r>
        <w:rPr>
          <w:u w:val="single"/>
        </w:rPr>
        <w:t xml:space="preserve">rozmieszczenia geograficznego</w:t>
      </w:r>
      <w:r>
        <w:t xml:space="preserve">,</w:t>
      </w:r>
      <w:r>
        <w:t xml:space="preserve"> </w:t>
      </w:r>
      <w:r>
        <w:rPr>
          <w:u w:val="single"/>
        </w:rPr>
        <w:t xml:space="preserve">profilu</w:t>
      </w:r>
      <w:r>
        <w:t xml:space="preserve"> </w:t>
      </w:r>
      <w:r>
        <w:t xml:space="preserve">(ustalonego empirycznie),</w:t>
      </w:r>
      <w:r>
        <w:t xml:space="preserve"> </w:t>
      </w:r>
      <w:r>
        <w:rPr>
          <w:u w:val="single"/>
        </w:rPr>
        <w:t xml:space="preserve">staranności</w:t>
      </w:r>
      <w:r>
        <w:t xml:space="preserve"> </w:t>
      </w:r>
      <w:r>
        <w:t xml:space="preserve">(zobacz wyżej) oraz</w:t>
      </w:r>
      <w:r>
        <w:t xml:space="preserve"> </w:t>
      </w:r>
      <w:r>
        <w:rPr>
          <w:u w:val="single"/>
        </w:rPr>
        <w:t xml:space="preserve">zakresu</w:t>
      </w:r>
      <w:r>
        <w:t xml:space="preserve"> </w:t>
      </w:r>
      <w:r>
        <w:t xml:space="preserve">(wszystkie 27 ksiąg). Rzucam każdemu i wszystkim wyzwanie, aby uczynili to samo dla jakiejkolwiek innej linii przekazu!</w:t>
      </w:r>
    </w:p>
    <w:p>
      <w:pPr>
        <w:pStyle w:val="BodyText"/>
      </w:pPr>
      <w:r>
        <w:t xml:space="preserve">Jeśli zatem archetypalny tekst</w:t>
      </w:r>
      <w:r>
        <w:t xml:space="preserve"> </w:t>
      </w:r>
      <w:r>
        <w:rPr>
          <w:bCs/>
          <w:b/>
        </w:rPr>
        <w:t xml:space="preserve">f</w:t>
      </w:r>
      <w:r>
        <w:rPr>
          <w:vertAlign w:val="superscript"/>
          <w:bCs/>
          <w:b/>
        </w:rPr>
        <w:t xml:space="preserve">35</w:t>
      </w:r>
      <w:r>
        <w:t xml:space="preserve"> </w:t>
      </w:r>
      <w:r>
        <w:t xml:space="preserve">jest Autografem, spełniliśmy dwie spośród trzech możliwości Ehrmana dla każdego z siedmiu Listów Ogólnych. Utrzymuję, że w tym roku Pańskim rzeczywiście (nie teoretycznie) posiadamy precyzyjne oryginalne sformułowania Listu Jakuba, 1 Listu Piotra, 2 Listu Piotra, 1 Listu Jana, 2 Listu Jana, 3 Listu Jana i Listu Judy!! Co więcej, jestem przygotowany przedstawić tego samego rodzaju dowód dla każdej z 27 ksiąg tworzących nasz Nowy Testament. W konsekwencji utrzymuję, że w tym roku Pańskim rzeczywiście (nie teoretycznie) posiadamy precyzyjne oryginalne sformułowania całego Nowego Testamentu!!! Zostały one odtworzone w moim opublikowanym Tekście greckim,</w:t>
      </w:r>
      <w:r>
        <w:t xml:space="preserve"> </w:t>
      </w:r>
      <w:r>
        <w:rPr>
          <w:iCs/>
          <w:i/>
        </w:rPr>
        <w:t xml:space="preserve">The Greek New Testament According to Family 35</w:t>
      </w:r>
      <w:r>
        <w:t xml:space="preserve">.</w:t>
      </w:r>
    </w:p>
    <w:p>
      <w:pPr>
        <w:pStyle w:val="BodyText"/>
      </w:pPr>
      <w:r>
        <w:t xml:space="preserve">Argumentowałem wyżej, że zachowanie należy wykazywać księga po księdze, czy jednak nie byłoby interesujące, gdybyśmy mogli uczynić to samo dla całej części? Oczywiście już to uczyniliśmy — możliwość 2) Ehrmana, sformułowana ponownie, zachodzi dla całej części siedmiu ksiąg. Znalezienie jednego manuskryptu doskonałego w całej części siedmiu ksiąg byłoby nie tylko interesujące, lecz zdumiewające!</w:t>
      </w:r>
      <w:r>
        <w:rPr>
          <w:rStyle w:val="FootnoteReference"/>
        </w:rPr>
        <w:footnoteReference w:id="342"/>
      </w:r>
      <w:r>
        <w:t xml:space="preserve"> </w:t>
      </w:r>
      <w:r>
        <w:t xml:space="preserve">I ponownie taki mamy!! 2554 spełnia wymagania, podobnie jak egzemplarze 35 i 2723, a także praktycznie sam 2723. Jeszcze dwanaście lat temu nie śniłbym o czymś takim.</w:t>
      </w:r>
    </w:p>
    <w:p>
      <w:pPr>
        <w:pStyle w:val="BodyText"/>
      </w:pPr>
      <w:r>
        <w:t xml:space="preserve">Jeśli Bóg w sposób możliwy do wykazania zachował precyzyjne sformułowania tekstu przez dwa tysiąclecia, dość mocno sugeruje to, że przede wszystkim go natchnął — po co w przeciwnym razie się nim zajmować? Jeśli zaś zadał sobie tyle trudu, podejrzewam, że oczekuje od nas zwracania na niego ścisłej uwagi. Gdy staniemy przed Sprawiedliwym Sędzią — który jest również Stwórcą, Zbawicielem i Tym, który natchnął — zażąda On zdania sprawy na podstawie</w:t>
      </w:r>
      <w:r>
        <w:t xml:space="preserve"> </w:t>
      </w:r>
      <w:r>
        <w:rPr>
          <w:u w:val="single"/>
        </w:rPr>
        <w:t xml:space="preserve">obiektywnego autorytetu tego Tekstu</w:t>
      </w:r>
      <w:r>
        <w:t xml:space="preserve">.</w:t>
      </w:r>
    </w:p>
    <w:bookmarkEnd w:id="343"/>
    <w:bookmarkEnd w:id="344"/>
    <w:bookmarkStart w:id="498" w:name="część-iii-dalsze-rozważania"/>
    <w:p>
      <w:pPr>
        <w:pStyle w:val="Heading1"/>
      </w:pPr>
      <w:r>
        <w:t xml:space="preserve">CZĘŚĆ III: Dalsze rozważania</w:t>
      </w:r>
    </w:p>
    <w:bookmarkStart w:id="345" w:name="czy-f35-jest-starożytna"/>
    <w:p>
      <w:pPr>
        <w:pStyle w:val="Heading2"/>
      </w:pPr>
      <w:r>
        <w:t xml:space="preserve">Czy</w:t>
      </w:r>
      <w:r>
        <w:t xml:space="preserve"> </w:t>
      </w:r>
      <w:r>
        <w:rPr>
          <w:bCs/>
          <w:b/>
        </w:rPr>
        <w:t xml:space="preserve">f</w:t>
      </w:r>
      <w:r>
        <w:rPr>
          <w:vertAlign w:val="superscript"/>
          <w:bCs/>
          <w:b/>
        </w:rPr>
        <w:t xml:space="preserve">35</w:t>
      </w:r>
      <w:r>
        <w:t xml:space="preserve"> </w:t>
      </w:r>
      <w:r>
        <w:t xml:space="preserve">jest starożytna?</w:t>
      </w:r>
    </w:p>
    <w:p>
      <w:pPr>
        <w:pStyle w:val="FirstParagraph"/>
      </w:pPr>
      <w:r>
        <w:t xml:space="preserve">Otrzymałem informację zwrotną mniej więcej takiej treści: „Dobrze, przedstawione przez pana dowody wskazują, że</w:t>
      </w:r>
      <w:r>
        <w:t xml:space="preserve"> </w:t>
      </w:r>
      <w:r>
        <w:rPr>
          <w:bCs/>
          <w:b/>
        </w:rPr>
        <w:t xml:space="preserve">f</w:t>
      </w:r>
      <w:r>
        <w:rPr>
          <w:vertAlign w:val="superscript"/>
          <w:bCs/>
          <w:b/>
        </w:rPr>
        <w:t xml:space="preserve">35</w:t>
      </w:r>
      <w:r>
        <w:t xml:space="preserve"> </w:t>
      </w:r>
      <w:r>
        <w:t xml:space="preserve">jest niezależna, lecz nie dowodzą, że jest starożytna” (twierdzę jedno i drugie). Uważam, że punkt ten zasługuje na odrobinę „przeżucia”. Na przykład minuskuły 35, 2587 i 2723 są na ogół datowane na XI wiek, chociaż minuskuł 1897 jest na ogół datowany na XII wiek, skolacjonowałem go i muszę powiedzieć, że wygląda mi na starszy, równie stary jak pozostałe trzy, dlatego przypisuję go także do XI wieku. A co z ich pochodzeniem? 35 znajduje się obecnie w Paryżu, lecz został pozyskany na obszarze egejskim (18, również znajdujący się w Paryżu, został sporządzony w Konstantynopolu), 1897 znajduje się w Jerozolimie i przypuszczalnie został tam sporządzony, 2587 znajduje się w Watykanie i równie dobrze mógł zostać tam sporządzony, 2723 znajduje się w Trikali i bez wątpienia został tam sporządzony.</w:t>
      </w:r>
    </w:p>
    <w:p>
      <w:pPr>
        <w:pStyle w:val="BodyText"/>
      </w:pPr>
      <w:r>
        <w:t xml:space="preserve">Rozważę teraz ich wyniki w siedmiu Listach Ogólnych (korpusie o wystarczającej wielkości i różnorodności, aby wykluczyć rozsądne zakwestionowanie — dokonałem pełnego kolacjonowania wszystkich czterech manuskryptów w całym tym korpusie). O ile potrafię stwierdzić, egzemplarze 35 i 2723 były doskonałymi przedstawicielami domniemanego archetypu rodziny — ani jednego wariantu we wszystkich siedmiu księgach. Egzemplarz 1897 uczestniczy w grupie odłamowej (w obrębie rodziny) w trzech miejscach, bez dalszych wariantów. Egzemplarz 2587 uczestniczy w grupie odłamowej w sześciu miejscach, bez dalszych wariantów. Czterej mnisi, którzy sporządzili nasze cztery kopie z XI wieku, patrzyli więc każdy na doskonałego (praktycznie) przedstawiciela archetypalnego tekstu rodziny (</w:t>
      </w:r>
      <w:r>
        <w:rPr>
          <w:bCs/>
          <w:b/>
        </w:rPr>
        <w:t xml:space="preserve">f</w:t>
      </w:r>
      <w:r>
        <w:rPr>
          <w:vertAlign w:val="superscript"/>
          <w:bCs/>
          <w:b/>
        </w:rPr>
        <w:t xml:space="preserve">35</w:t>
      </w:r>
      <w:r>
        <w:t xml:space="preserve">). Jak stare były jednak te egzemplarze?</w:t>
      </w:r>
    </w:p>
    <w:p>
      <w:pPr>
        <w:pStyle w:val="BodyText"/>
      </w:pPr>
      <w:r>
        <w:t xml:space="preserve">Gdyby manuskrypt nie był w stałym lub regularnym użyciu, bez trudu przetrwałby stulecie lub więcej, nawet kilka. Czy greckie manuskrypty w Rzymie były w tamtym czasie zapewne często używane? Prawdopodobnie nie, egzemplarz 2587 mógł więc bez trudu być uncjałem. A Jerozolima? Szanse na częstsze używanie były tam prawdopodobnie niewiele większe niż w Rzymie. W Konstantynopolu (35?) i Trikali greka z pewnością nadal była używana. Czy jednak wiemy, w jakim stopniu chrześcijanie rzeczywiście czytali Pismo w tamtych latach? Sądzę, że możemy rozsądnie założyć, iż egzemplarze były co najmniej o stulecie starsze niż ich kopie. 1897 i 2587 przyłączają się jednak do grup odłamowych, patrzymy więc na pewną historię przekazu — między naszym egzemplarzem a archetypem musi znajdować się rodzic odłamu.</w:t>
      </w:r>
    </w:p>
    <w:p>
      <w:pPr>
        <w:pStyle w:val="BodyText"/>
      </w:pPr>
      <w:r>
        <w:t xml:space="preserve">Egzemplarze pochodziły więc przypuszczalnie najpóźniej z X wieku. Jeśli dopuścimy jedno pokolenie na powstanie odłamów, pokolenie to pochodziłoby najpóźniej z IX wieku, a archetyp najpóźniej z VIII. (Podałem absolutne minimum, lecz oczywiście mogła istnieć dowolna liczba dalszych pokoleń pośrednich, co umieszczałoby archetyp znacznie wcześniej). Jakie jednak są konsekwencje istnienia doskonałych przedstawicieli rodziny w X wieku w czterech różnych miejscach? Jak w X wieku mogły istnieć</w:t>
      </w:r>
      <w:r>
        <w:t xml:space="preserve"> </w:t>
      </w:r>
      <w:r>
        <w:rPr>
          <w:bCs/>
          <w:b/>
        </w:rPr>
        <w:t xml:space="preserve">doskonałe</w:t>
      </w:r>
      <w:r>
        <w:t xml:space="preserve"> </w:t>
      </w:r>
      <w:r>
        <w:t xml:space="preserve">kopie</w:t>
      </w:r>
      <w:r>
        <w:t xml:space="preserve"> </w:t>
      </w:r>
      <w:r>
        <w:rPr>
          <w:iCs/>
          <w:i/>
        </w:rPr>
        <w:t xml:space="preserve">czegokolwiek</w:t>
      </w:r>
      <w:r>
        <w:t xml:space="preserve">? Faktem jest, że w X wieku w różnych miejscach istniało czterech doskonałych (praktycznie) przedstawicieli archetypu</w:t>
      </w:r>
      <w:r>
        <w:t xml:space="preserve"> </w:t>
      </w:r>
      <w:r>
        <w:rPr>
          <w:bCs/>
          <w:b/>
        </w:rPr>
        <w:t xml:space="preserve">f</w:t>
      </w:r>
      <w:r>
        <w:rPr>
          <w:vertAlign w:val="superscript"/>
          <w:bCs/>
          <w:b/>
        </w:rPr>
        <w:t xml:space="preserve">35</w:t>
      </w:r>
      <w:r>
        <w:t xml:space="preserve">. Faktem jest również, że od archetypu dzieliło ich co najmniej jedno pokolenie pośrednie. Jak zatem możemy ich wyjaśnić?</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 Masa bizantyjska (</w:t>
      </w:r>
      <w:r>
        <w:rPr>
          <w:bCs/>
          <w:b/>
        </w:rPr>
        <w:t xml:space="preserve">K</w:t>
      </w:r>
      <w:r>
        <w:rPr>
          <w:vertAlign w:val="superscript"/>
          <w:bCs/>
          <w:b/>
        </w:rPr>
        <w:t xml:space="preserve">x</w:t>
      </w:r>
      <w:r>
        <w:t xml:space="preserve">) kontrolowała jednak co najmniej 60% strumienia przekazu (</w:t>
      </w:r>
      <w:r>
        <w:rPr>
          <w:bCs/>
          <w:b/>
        </w:rPr>
        <w:t xml:space="preserve">f</w:t>
      </w:r>
      <w:r>
        <w:rPr>
          <w:vertAlign w:val="superscript"/>
          <w:bCs/>
          <w:b/>
        </w:rPr>
        <w:t xml:space="preserve">35</w:t>
      </w:r>
      <w:r>
        <w:t xml:space="preserve"> </w:t>
      </w:r>
      <w:r>
        <w:t xml:space="preserve">= około 16%),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p>
    <w:p>
      <w:pPr>
        <w:pStyle w:val="BodyText"/>
      </w:pPr>
      <w:r>
        <w:t xml:space="preserve">Chociaż jednak wykazano, że</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t>
      </w:r>
      <w:r>
        <w:t xml:space="preserve">(masy bizantyjskiej), są one naprawdę bardzo zbliżone i muszą mieć wspólne źródło. (Powiedziałbym, że</w:t>
      </w:r>
      <w:r>
        <w:t xml:space="preserve"> </w:t>
      </w:r>
      <w:r>
        <w:rPr>
          <w:bCs/>
          <w:b/>
        </w:rPr>
        <w:t xml:space="preserve">K</w:t>
      </w:r>
      <w:r>
        <w:rPr>
          <w:vertAlign w:val="superscript"/>
          <w:bCs/>
          <w:b/>
        </w:rPr>
        <w:t xml:space="preserve">x</w:t>
      </w:r>
      <w:r>
        <w:t xml:space="preserve"> </w:t>
      </w:r>
      <w:r>
        <w:t xml:space="preserve">reprezentuje odejście od</w:t>
      </w:r>
      <w:r>
        <w:t xml:space="preserve"> </w:t>
      </w:r>
      <w:r>
        <w:rPr>
          <w:bCs/>
          <w:b/>
        </w:rPr>
        <w:t xml:space="preserve">f</w:t>
      </w:r>
      <w:r>
        <w:rPr>
          <w:vertAlign w:val="superscript"/>
          <w:bCs/>
          <w:b/>
        </w:rPr>
        <w:t xml:space="preserve">35</w:t>
      </w:r>
      <w:r>
        <w:t xml:space="preserve">, a zatem</w:t>
      </w:r>
      <w:r>
        <w:t xml:space="preserve"> </w:t>
      </w:r>
      <w:r>
        <w:rPr>
          <w:bCs/>
          <w:b/>
        </w:rPr>
        <w:t xml:space="preserve">f</w:t>
      </w:r>
      <w:r>
        <w:rPr>
          <w:vertAlign w:val="superscript"/>
          <w:bCs/>
          <w:b/>
        </w:rPr>
        <w:t xml:space="preserve">35</w:t>
      </w:r>
      <w:r>
        <w:t xml:space="preserve"> </w:t>
      </w:r>
      <w:r>
        <w:t xml:space="preserve">jest starsza). W Listach Ogólnych</w:t>
      </w:r>
      <w:r>
        <w:t xml:space="preserve"> </w:t>
      </w:r>
      <w:r>
        <w:rPr>
          <w:bCs/>
          <w:b/>
        </w:rPr>
        <w:t xml:space="preserve">f</w:t>
      </w:r>
      <w:r>
        <w:rPr>
          <w:vertAlign w:val="superscript"/>
          <w:bCs/>
          <w:b/>
        </w:rPr>
        <w:t xml:space="preserve">35</w:t>
      </w:r>
      <w:r>
        <w:t xml:space="preserve"> </w:t>
      </w:r>
      <w:r>
        <w:t xml:space="preserve">nie różni się zbytnio od Tekstu Większościowego H-F. Na przykład w Liście Jakuba</w:t>
      </w:r>
      <w:r>
        <w:t xml:space="preserve"> </w:t>
      </w:r>
      <w:r>
        <w:rPr>
          <w:bCs/>
          <w:b/>
        </w:rPr>
        <w:t xml:space="preserve">f</w:t>
      </w:r>
      <w:r>
        <w:rPr>
          <w:vertAlign w:val="superscript"/>
          <w:bCs/>
          <w:b/>
        </w:rPr>
        <w:t xml:space="preserve">35</w:t>
      </w:r>
      <w:r>
        <w:t xml:space="preserve"> </w:t>
      </w:r>
      <w:r>
        <w:t xml:space="preserve">różni się od H-F dziewiętnaście razy, z czego tylko dwa wpływają na znaczenie (nie w poważnym stopniu). Jeśli</w:t>
      </w:r>
      <w:r>
        <w:t xml:space="preserve"> </w:t>
      </w:r>
      <w:r>
        <w:rPr>
          <w:bCs/>
          <w:b/>
        </w:rPr>
        <w:t xml:space="preserve">f</w:t>
      </w:r>
      <w:r>
        <w:rPr>
          <w:vertAlign w:val="superscript"/>
          <w:bCs/>
          <w:b/>
        </w:rPr>
        <w:t xml:space="preserve">35</w:t>
      </w:r>
      <w:r>
        <w:t xml:space="preserve"> </w:t>
      </w:r>
      <w:r>
        <w:t xml:space="preserve">i</w:t>
      </w:r>
      <w:r>
        <w:t xml:space="preserve"> </w:t>
      </w:r>
      <w:r>
        <w:rPr>
          <w:bCs/>
          <w:b/>
        </w:rPr>
        <w:t xml:space="preserve">K</w:t>
      </w:r>
      <w:r>
        <w:rPr>
          <w:vertAlign w:val="superscript"/>
          <w:bCs/>
          <w:b/>
        </w:rPr>
        <w:t xml:space="preserve">x</w:t>
      </w:r>
      <w:r>
        <w:t xml:space="preserve"> </w:t>
      </w:r>
      <w:r>
        <w:t xml:space="preserve">mają wspólne źródło, lecz</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wówczas</w:t>
      </w:r>
      <w:r>
        <w:t xml:space="preserve"> </w:t>
      </w:r>
      <w:r>
        <w:rPr>
          <w:bCs/>
          <w:b/>
        </w:rPr>
        <w:t xml:space="preserve">f</w:t>
      </w:r>
      <w:r>
        <w:rPr>
          <w:vertAlign w:val="superscript"/>
          <w:bCs/>
          <w:b/>
        </w:rPr>
        <w:t xml:space="preserve">35</w:t>
      </w:r>
      <w:r>
        <w:t xml:space="preserve"> </w:t>
      </w:r>
      <w:r>
        <w:t xml:space="preserve">musi być co najmniej tak stara jak</w:t>
      </w:r>
      <w:r>
        <w:t xml:space="preserve"> </w:t>
      </w:r>
      <w:r>
        <w:rPr>
          <w:bCs/>
          <w:b/>
        </w:rPr>
        <w:t xml:space="preserve">K</w:t>
      </w:r>
      <w:r>
        <w:rPr>
          <w:vertAlign w:val="superscript"/>
          <w:bCs/>
          <w:b/>
        </w:rPr>
        <w:t xml:space="preserve">x</w:t>
      </w:r>
      <w:r>
        <w:t xml:space="preserve"> </w:t>
      </w:r>
      <w:r>
        <w:t xml:space="preserve">— Q.E.D. (</w:t>
      </w:r>
      <w:r>
        <w:rPr>
          <w:iCs/>
          <w:i/>
        </w:rPr>
        <w:t xml:space="preserve">quod erat demonstrandum</w:t>
      </w:r>
      <w:r>
        <w:t xml:space="preserve"> </w:t>
      </w:r>
      <w:r>
        <w:t xml:space="preserve">dla tych, którzy czytają po łacinie, „czego należało dowieść” dla pozostałych, a jeszcze prostszym angielskim: „punkt, którego należało dowieść, został dowiedziony”).</w:t>
      </w:r>
    </w:p>
    <w:p>
      <w:pPr>
        <w:pStyle w:val="BodyText"/>
      </w:pPr>
      <w:r>
        <w:t xml:space="preserve">Co więcej, jeśli</w:t>
      </w:r>
      <w:r>
        <w:t xml:space="preserve"> </w:t>
      </w:r>
      <w:r>
        <w:rPr>
          <w:bCs/>
          <w:b/>
        </w:rPr>
        <w:t xml:space="preserve">f</w:t>
      </w:r>
      <w:r>
        <w:rPr>
          <w:vertAlign w:val="superscript"/>
          <w:bCs/>
          <w:b/>
        </w:rPr>
        <w:t xml:space="preserve">35</w:t>
      </w:r>
      <w:r>
        <w:t xml:space="preserve"> </w:t>
      </w:r>
      <w:r>
        <w:t xml:space="preserve">jest niezależna od wszystkich innych znanych linii przekazu, musi sięgać Autografów. Jeśli została stworzona z istniejących materiałów w którymś punkcie linii, jest od tych materiałów zależna i powinno być możliwe wykazanie tej zależności. O ile mi wiadomo, żadnej takiej zależności nie wykazano, a w takim zakresie, w jakim przeanalizowałem dowody, nie można jej wykazać.</w:t>
      </w:r>
    </w:p>
    <w:bookmarkEnd w:id="345"/>
    <w:bookmarkStart w:id="348" w:name="znaczenie-obiektywnych-dowodów"/>
    <w:p>
      <w:pPr>
        <w:pStyle w:val="Heading2"/>
      </w:pPr>
      <w:r>
        <w:t xml:space="preserve">Znaczenie obiektywnych dowodów</w:t>
      </w:r>
    </w:p>
    <w:p>
      <w:pPr>
        <w:pStyle w:val="FirstParagraph"/>
      </w:pPr>
      <w:r>
        <w:t xml:space="preserve">Nawet gdy manuskrypty są kolacjonowane przez osoby o negatywnym nastawieniu (nastawieniu przeciwko manuskryptom), jeśli dokładnie zapiszą kolacjonowanie, rezultat jest wartościowy. Manuskrypty tekstu ciągłego są głównymi świadkami Tekstu Nowego Testamentu. Aby móc prześledzić historię przekazu poszczególnych odczytów, potrzebujemy pełnych kolacjonowań dużej liczby zachowanych manuskryptów, im więcej, tym lepiej. Chcę zilustrować to, co stwierdziłem, kolacjonowaniami</w:t>
      </w:r>
      <w:r>
        <w:t xml:space="preserve"> </w:t>
      </w:r>
      <w:r>
        <w:rPr>
          <w:iCs/>
          <w:i/>
        </w:rPr>
        <w:t xml:space="preserve">Editio Critica Maior</w:t>
      </w:r>
      <w:r>
        <w:t xml:space="preserve"> </w:t>
      </w:r>
      <w:r>
        <w:t xml:space="preserve">(</w:t>
      </w:r>
      <w:r>
        <w:rPr>
          <w:iCs/>
          <w:i/>
        </w:rPr>
        <w:t xml:space="preserve">ECM</w:t>
      </w:r>
      <w:r>
        <w:t xml:space="preserve">) dla Listu Jakuba i 1 Listu Jana. Dokonano ich, gdy Kurt Aland nadal kierował Instytutem Badań Tekstu Nowego Testamentu w Münster (</w:t>
      </w:r>
      <w:r>
        <w:rPr>
          <w:iCs/>
          <w:i/>
        </w:rPr>
        <w:t xml:space="preserve">INTF</w:t>
      </w:r>
      <w:r>
        <w:t xml:space="preserve">), a praca odzwierciedla jego nastawienie przeciwko manuskryptom bizantyjskim. (Do czasu opublikowania</w:t>
      </w:r>
      <w:r>
        <w:t xml:space="preserve"> </w:t>
      </w:r>
      <w:r>
        <w:rPr>
          <w:iCs/>
          <w:i/>
        </w:rPr>
        <w:t xml:space="preserve">ECM</w:t>
      </w:r>
      <w:r>
        <w:t xml:space="preserve"> </w:t>
      </w:r>
      <w:r>
        <w:t xml:space="preserve">Listów Ogólnych w 1997 roku Kurt zmarł, ponieważ jednak jego żona Barbara zastąpiła go na stanowisku dyrektora Instytutu,</w:t>
      </w:r>
      <w:r>
        <w:t xml:space="preserve"> </w:t>
      </w:r>
      <w:r>
        <w:rPr>
          <w:iCs/>
          <w:i/>
        </w:rPr>
        <w:t xml:space="preserve">INTF</w:t>
      </w:r>
      <w:r>
        <w:t xml:space="preserve">, orientacja teoretyczna nie uległa zmianie).</w:t>
      </w:r>
      <w:r>
        <w:rPr>
          <w:rStyle w:val="FootnoteReference"/>
        </w:rPr>
        <w:footnoteReference w:id="346"/>
      </w:r>
    </w:p>
    <w:p>
      <w:pPr>
        <w:pStyle w:val="BodyText"/>
      </w:pPr>
      <w:r>
        <w:t xml:space="preserve">Do maja 1988 roku Kurt i Barbara Aland wykluczyli „ponad 1175 minuskułów” (s. 138) jako wykazujących „czysto lub przeważnie bizantyjski tekst”. Następnie mówią: „wszystkie są nieistotne dla krytyki tekstu, przynajmniej dla ustalenia oryginalnej formy tekstu i jego rozwoju we wczesnych wiekach” (s. 142). (</w:t>
      </w:r>
      <w:r>
        <w:rPr>
          <w:iCs/>
          <w:i/>
        </w:rPr>
        <w:t xml:space="preserve">The Text of the New Testament</w:t>
      </w:r>
      <w:r>
        <w:t xml:space="preserve">, Eerdmans, 1989). To, że nastawienie to przeważało w</w:t>
      </w:r>
      <w:r>
        <w:t xml:space="preserve"> </w:t>
      </w:r>
      <w:r>
        <w:rPr>
          <w:iCs/>
          <w:i/>
        </w:rPr>
        <w:t xml:space="preserve">Editio Critica Maior</w:t>
      </w:r>
      <w:r>
        <w:t xml:space="preserve"> </w:t>
      </w:r>
      <w:r>
        <w:t xml:space="preserve">dla Listu Jakuba, jest zupełnie jasne. Bez przeprosin redaktorzy wykluczyli około 340 spośród 522 ocenianych manuskryptów, ponieważ „poświadczają Tekst Większościowy w co najmniej 90% miejsc testowych” (s. 12). „Miejsca testowe” odnoszą się do 98 zestawów wariantów zaczerpniętych z siedmiu Listów Ogólnych i przedstawionych w</w:t>
      </w:r>
      <w:r>
        <w:t xml:space="preserve"> </w:t>
      </w:r>
      <w:r>
        <w:rPr>
          <w:iCs/>
          <w:i/>
        </w:rPr>
        <w:t xml:space="preserve">Text und Textwert</w:t>
      </w:r>
      <w:r>
        <w:t xml:space="preserve">. Uwzględnili jednak GA 18 i 35, aby reprezentowały</w:t>
      </w:r>
      <w:r>
        <w:t xml:space="preserve"> </w:t>
      </w:r>
      <w:r>
        <w:rPr>
          <w:bCs/>
          <w:b/>
        </w:rPr>
        <w:t xml:space="preserve">K</w:t>
      </w:r>
      <w:r>
        <w:rPr>
          <w:vertAlign w:val="superscript"/>
          <w:bCs/>
          <w:b/>
        </w:rPr>
        <w:t xml:space="preserve">r</w:t>
      </w:r>
      <w:r>
        <w:t xml:space="preserve"> </w:t>
      </w:r>
      <w:r>
        <w:t xml:space="preserve">Sodena (moją Rodzinę 35), oraz GA 1, 424, 607, 617 i 2423, aby reprezentowały rdzeń wykluczonych manuskryptów bizantyjskich. Poza tymi siedmioma klasyfikują kolejnych 70 (spośród uwzględnionych manuskryptów) jako bizantyjskie, choć znajdujące się poniżej progu 90%.</w:t>
      </w:r>
    </w:p>
    <w:p>
      <w:pPr>
        <w:pStyle w:val="BodyText"/>
      </w:pPr>
      <w:r>
        <w:t xml:space="preserve">Dlaczego więc mówię, że ich praca jest wartościowa pomimo ich nastawienia? Spieszę z wyjaśnieniem. W aparacie krytycznym mojego</w:t>
      </w:r>
      <w:r>
        <w:t xml:space="preserve"> </w:t>
      </w:r>
      <w:r>
        <w:rPr>
          <w:iCs/>
          <w:i/>
        </w:rPr>
        <w:t xml:space="preserve">The Greek New Testament According to Family 35</w:t>
      </w:r>
      <w:r>
        <w:t xml:space="preserve"> </w:t>
      </w:r>
      <w:r>
        <w:t xml:space="preserve">wymieniam osiem odczytów</w:t>
      </w:r>
      <w:r>
        <w:t xml:space="preserve"> </w:t>
      </w:r>
      <w:r>
        <w:rPr>
          <w:bCs/>
          <w:b/>
        </w:rPr>
        <w:t xml:space="preserve">f</w:t>
      </w:r>
      <w:r>
        <w:rPr>
          <w:vertAlign w:val="superscript"/>
          <w:bCs/>
          <w:b/>
        </w:rPr>
        <w:t xml:space="preserve">35</w:t>
      </w:r>
      <w:r>
        <w:t xml:space="preserve"> </w:t>
      </w:r>
      <w:r>
        <w:t xml:space="preserve">(dla Listu Jakuba) jako mających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Rodzina 35 reprezentuje około 16% ogółu zachowanych manuskryptów, lecz prawie nigdy nie jest całkowicie sama. Jak jednak pokazano niżej, rozproszenie innych manuskryptów prawie nigdy nie jest takie samo. Pytam więc:</w:t>
      </w:r>
      <w:r>
        <w:t xml:space="preserve"> </w:t>
      </w:r>
      <w:r>
        <w:rPr>
          <w:bCs/>
          <w:b/>
        </w:rPr>
        <w:t xml:space="preserve">Jak należy wyjaśnić to zróżnicowane rozproszenie?</w:t>
      </w:r>
      <w:r>
        <w:t xml:space="preserve"> </w:t>
      </w:r>
      <w:r>
        <w:t xml:space="preserve">W poniższej tabeli osiem odczytów tworzy pierwszy wiersz, a pod każdym odczytem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center"/>
            </w:pPr>
            <w:r>
              <w:t xml:space="preserve">3,4</w:t>
            </w:r>
            <w:r>
              <w:t xml:space="preserve">ιθυνοντος</w:t>
            </w:r>
          </w:p>
        </w:tc>
        <w:tc>
          <w:tcPr/>
          <w:p>
            <w:pPr>
              <w:pStyle w:val="Compact"/>
              <w:jc w:val="center"/>
            </w:pPr>
            <w:r>
              <w:t xml:space="preserve">1,23</w:t>
            </w:r>
            <w:r>
              <w:t xml:space="preserve">νομου</w:t>
            </w:r>
          </w:p>
        </w:tc>
        <w:tc>
          <w:tcPr/>
          <w:p>
            <w:pPr>
              <w:pStyle w:val="Compact"/>
              <w:jc w:val="center"/>
            </w:pPr>
            <w:r>
              <w:t xml:space="preserve">4,14</w:t>
            </w:r>
            <w:r>
              <w:t xml:space="preserve">ημων</w:t>
            </w:r>
          </w:p>
        </w:tc>
        <w:tc>
          <w:tcPr/>
          <w:p>
            <w:pPr>
              <w:pStyle w:val="Compact"/>
              <w:jc w:val="center"/>
            </w:pPr>
            <w:r>
              <w:t xml:space="preserve">4,14</w:t>
            </w:r>
            <w:r>
              <w:t xml:space="preserve">επειτα</w:t>
            </w:r>
          </w:p>
        </w:tc>
        <w:tc>
          <w:tcPr/>
          <w:p>
            <w:pPr>
              <w:pStyle w:val="Compact"/>
              <w:jc w:val="center"/>
            </w:pPr>
            <w:r>
              <w:t xml:space="preserve">3,2</w:t>
            </w:r>
            <w:r>
              <w:t xml:space="preserve">δυναμενος</w:t>
            </w:r>
          </w:p>
        </w:tc>
        <w:tc>
          <w:tcPr/>
          <w:p>
            <w:pPr>
              <w:pStyle w:val="Compact"/>
              <w:jc w:val="center"/>
            </w:pPr>
            <w:r>
              <w:t xml:space="preserve">2,3</w:t>
            </w:r>
            <w:r>
              <w:t xml:space="preserve">λαμπ. εσθ.</w:t>
            </w:r>
          </w:p>
        </w:tc>
        <w:tc>
          <w:tcPr/>
          <w:p>
            <w:pPr>
              <w:pStyle w:val="Compact"/>
              <w:jc w:val="center"/>
            </w:pPr>
            <w:r>
              <w:t xml:space="preserve">4,11</w:t>
            </w:r>
            <w:r>
              <w:t xml:space="preserve">γαρ</w:t>
            </w:r>
          </w:p>
        </w:tc>
        <w:tc>
          <w:tcPr/>
          <w:p>
            <w:pPr>
              <w:pStyle w:val="Compact"/>
              <w:jc w:val="center"/>
            </w:pPr>
            <w:r>
              <w:t xml:space="preserve">2,4</w:t>
            </w:r>
            <w:r>
              <w:t xml:space="preserve">ου</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A</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C</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81</w:t>
            </w:r>
          </w:p>
        </w:tc>
      </w:tr>
      <w:tr>
        <w:tc>
          <w:tcPr/>
          <w:p>
            <w:pPr>
              <w:pStyle w:val="Compact"/>
              <w:jc w:val="center"/>
            </w:pPr>
            <w:r>
              <w:t xml:space="preserve">---</w:t>
            </w:r>
          </w:p>
        </w:tc>
        <w:tc>
          <w:tcPr/>
          <w:p>
            <w:pPr>
              <w:pStyle w:val="Compact"/>
              <w:jc w:val="center"/>
            </w:pPr>
            <w:r>
              <w:t xml:space="preserve">88</w:t>
            </w:r>
          </w:p>
        </w:tc>
        <w:tc>
          <w:tcPr/>
          <w:p>
            <w:pPr>
              <w:pStyle w:val="Compact"/>
              <w:jc w:val="center"/>
            </w:pPr>
            <w:r>
              <w:t xml:space="preserve">88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254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321*</w:t>
            </w:r>
          </w:p>
        </w:tc>
        <w:tc>
          <w:tcPr/>
          <w:p>
            <w:pPr>
              <w:pStyle w:val="Compact"/>
              <w:jc w:val="center"/>
            </w:pPr>
            <w:r>
              <w:t xml:space="preserve">321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436</w:t>
            </w:r>
          </w:p>
        </w:tc>
      </w:tr>
      <w:tr>
        <w:tc>
          <w:tcPr/>
          <w:p>
            <w:pPr>
              <w:pStyle w:val="Compact"/>
              <w:jc w:val="center"/>
            </w:pPr>
            <w:r>
              <w:t xml:space="preserve">442*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442</w:t>
            </w:r>
          </w:p>
        </w:tc>
      </w:tr>
      <w:tr>
        <w:tc>
          <w:tcPr/>
          <w:p>
            <w:pPr>
              <w:pStyle w:val="Compact"/>
              <w:jc w:val="center"/>
            </w:pPr>
            <w:r>
              <w:t xml:space="preserve">---</w:t>
            </w:r>
          </w:p>
        </w:tc>
        <w:tc>
          <w:tcPr/>
          <w:p>
            <w:pPr>
              <w:pStyle w:val="Compact"/>
              <w:jc w:val="center"/>
            </w:pPr>
            <w:r>
              <w:t xml:space="preserve">459*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467*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r>
      <w:tr>
        <w:tc>
          <w:tcPr/>
          <w:p>
            <w:pPr>
              <w:pStyle w:val="Compact"/>
              <w:jc w:val="center"/>
            </w:pPr>
            <w:r>
              <w:t xml:space="preserve">---</w:t>
            </w:r>
          </w:p>
        </w:tc>
        <w:tc>
          <w:tcPr/>
          <w:p>
            <w:pPr>
              <w:pStyle w:val="Compact"/>
              <w:jc w:val="center"/>
            </w:pPr>
            <w:r>
              <w:rPr>
                <w:u w:val="single"/>
              </w:rPr>
              <w:t xml:space="preserve">607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621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720*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876*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915</w:t>
            </w:r>
          </w:p>
        </w:tc>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999*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1067</w:t>
            </w:r>
          </w:p>
        </w:tc>
      </w:tr>
      <w:tr>
        <w:tc>
          <w:tcPr/>
          <w:p>
            <w:pPr>
              <w:pStyle w:val="Compact"/>
              <w:jc w:val="center"/>
            </w:pPr>
            <w:r>
              <w:t xml:space="preserve">---</w:t>
            </w:r>
          </w:p>
        </w:tc>
        <w:tc>
          <w:tcPr/>
          <w:p>
            <w:pPr>
              <w:pStyle w:val="Compact"/>
              <w:jc w:val="center"/>
            </w:pPr>
            <w:r>
              <w:t xml:space="preserve">1127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1175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1243</w:t>
            </w:r>
          </w:p>
        </w:tc>
      </w:tr>
      <w:tr>
        <w:tc>
          <w:tcPr/>
          <w:p>
            <w:pPr>
              <w:pStyle w:val="Compact"/>
              <w:jc w:val="center"/>
            </w:pPr>
            <w:r>
              <w:t xml:space="preserve">1270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1292</w:t>
            </w:r>
          </w:p>
        </w:tc>
        <w:tc>
          <w:tcPr/>
          <w:p>
            <w:pPr>
              <w:pStyle w:val="Compact"/>
              <w:jc w:val="center"/>
            </w:pPr>
            <w:r>
              <w:t xml:space="preserve">1292</w:t>
            </w:r>
          </w:p>
        </w:tc>
      </w:tr>
      <w:tr>
        <w:tc>
          <w:tcPr/>
          <w:p>
            <w:pPr>
              <w:pStyle w:val="Compact"/>
              <w:jc w:val="center"/>
            </w:pPr>
            <w:r>
              <w:t xml:space="preserve">1297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1367*</w:t>
            </w:r>
          </w:p>
        </w:tc>
        <w:tc>
          <w:tcPr/>
          <w:p>
            <w:pPr>
              <w:pStyle w:val="Compact"/>
              <w:jc w:val="center"/>
            </w:pPr>
            <w:r>
              <w:t xml:space="preserve">1367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r>
      <w:tr>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1524</w:t>
            </w:r>
          </w:p>
        </w:tc>
      </w:tr>
      <w:tr>
        <w:tc>
          <w:tcPr/>
          <w:p>
            <w:pPr>
              <w:pStyle w:val="Compact"/>
              <w:jc w:val="center"/>
            </w:pPr>
            <w:r>
              <w:t xml:space="preserve">1595*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1611</w:t>
            </w:r>
          </w:p>
        </w:tc>
        <w:tc>
          <w:tcPr/>
          <w:p>
            <w:pPr>
              <w:pStyle w:val="Compact"/>
              <w:jc w:val="center"/>
            </w:pPr>
            <w:r>
              <w:t xml:space="preserve">1611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1678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1729*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1751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1765*</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1799</w:t>
            </w:r>
          </w:p>
        </w:tc>
        <w:tc>
          <w:tcPr/>
          <w:p>
            <w:pPr>
              <w:pStyle w:val="Compact"/>
              <w:jc w:val="center"/>
            </w:pPr>
            <w:r>
              <w:t xml:space="preserve">1799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1838*</w:t>
            </w:r>
          </w:p>
        </w:tc>
        <w:tc>
          <w:tcPr/>
          <w:p>
            <w:pPr>
              <w:pStyle w:val="Compact"/>
              <w:jc w:val="center"/>
            </w:pPr>
            <w:r>
              <w:t xml:space="preserve">1838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1874*</w:t>
            </w:r>
          </w:p>
        </w:tc>
      </w:tr>
      <w:tr>
        <w:tc>
          <w:tcPr/>
          <w:p>
            <w:pPr>
              <w:pStyle w:val="Compact"/>
              <w:jc w:val="center"/>
            </w:pPr>
            <w:r>
              <w:t xml:space="preserve">---</w:t>
            </w:r>
          </w:p>
        </w:tc>
        <w:tc>
          <w:tcPr/>
          <w:p>
            <w:pPr>
              <w:pStyle w:val="Compact"/>
              <w:jc w:val="center"/>
            </w:pPr>
            <w:r>
              <w:t xml:space="preserve">1890</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1893*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2080*</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2080</w:t>
            </w:r>
          </w:p>
        </w:tc>
        <w:tc>
          <w:tcPr/>
          <w:p>
            <w:pPr>
              <w:pStyle w:val="Compact"/>
              <w:jc w:val="center"/>
            </w:pPr>
            <w:r>
              <w:t xml:space="preserve">2080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r>
      <w:tr>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2298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2344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2374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2494*</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2774*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2805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2818*</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18</w:t>
            </w:r>
          </w:p>
        </w:tc>
        <w:tc>
          <w:tcPr/>
          <w:p>
            <w:pPr>
              <w:pStyle w:val="Compact"/>
              <w:jc w:val="center"/>
            </w:pPr>
            <w:r>
              <w:rPr>
                <w:bCs/>
                <w:b/>
              </w:rPr>
              <w:t xml:space="preserve">19</w:t>
            </w:r>
          </w:p>
        </w:tc>
        <w:tc>
          <w:tcPr/>
          <w:p>
            <w:pPr>
              <w:pStyle w:val="Compact"/>
              <w:jc w:val="center"/>
            </w:pPr>
            <w:r>
              <w:rPr>
                <w:bCs/>
                <w:b/>
              </w:rPr>
              <w:t xml:space="preserve">23</w:t>
            </w:r>
          </w:p>
        </w:tc>
        <w:tc>
          <w:tcPr/>
          <w:p>
            <w:pPr>
              <w:pStyle w:val="Compact"/>
              <w:jc w:val="center"/>
            </w:pPr>
            <w:r>
              <w:rPr>
                <w:bCs/>
                <w:b/>
              </w:rPr>
              <w:t xml:space="preserve">28</w:t>
            </w:r>
          </w:p>
        </w:tc>
        <w:tc>
          <w:tcPr/>
          <w:p>
            <w:pPr>
              <w:pStyle w:val="Compact"/>
              <w:jc w:val="center"/>
            </w:pPr>
            <w:r>
              <w:rPr>
                <w:bCs/>
                <w:b/>
              </w:rPr>
              <w:t xml:space="preserve">29</w:t>
            </w:r>
          </w:p>
        </w:tc>
        <w:tc>
          <w:tcPr/>
          <w:p>
            <w:pPr>
              <w:pStyle w:val="Compact"/>
              <w:jc w:val="center"/>
            </w:pPr>
            <w:r>
              <w:rPr>
                <w:bCs/>
                <w:b/>
              </w:rPr>
              <w:t xml:space="preserve">44</w:t>
            </w:r>
          </w:p>
        </w:tc>
      </w:tr>
    </w:tbl>
    <w:p>
      <w:pPr>
        <w:pStyle w:val="BodyText"/>
      </w:pPr>
      <w:r>
        <w:t xml:space="preserve">Czego możemy się zatem dowiedzieć z tych dowodów? Po pierwsze, jedyny podkreślony manuskrypt występujący w tabeli, 607, jest jedynym spośród pięciu głównych przedstawicieli, który się w niej pojawia, i czyni to tylko raz. Jasno pokazuje to, że</w:t>
      </w:r>
      <w:r>
        <w:t xml:space="preserve"> </w:t>
      </w:r>
      <w:r>
        <w:rPr>
          <w:bCs/>
          <w:b/>
        </w:rPr>
        <w:t xml:space="preserve">f</w:t>
      </w:r>
      <w:r>
        <w:rPr>
          <w:vertAlign w:val="superscript"/>
          <w:bCs/>
          <w:b/>
        </w:rPr>
        <w:t xml:space="preserve">35</w:t>
      </w:r>
      <w:r>
        <w:t xml:space="preserve"> </w:t>
      </w:r>
      <w:r>
        <w:t xml:space="preserve">różni się od masy bizantyjskiej, czyli</w:t>
      </w:r>
      <w:r>
        <w:t xml:space="preserve"> </w:t>
      </w:r>
      <w:r>
        <w:rPr>
          <w:bCs/>
          <w:b/>
        </w:rPr>
        <w:t xml:space="preserve">K</w:t>
      </w:r>
      <w:r>
        <w:rPr>
          <w:vertAlign w:val="superscript"/>
          <w:bCs/>
          <w:b/>
        </w:rPr>
        <w:t xml:space="preserve">x</w:t>
      </w:r>
      <w:r>
        <w:t xml:space="preserve"> </w:t>
      </w:r>
      <w:r>
        <w:t xml:space="preserve">Sodena. Ponadto istnieją 43 manuskrypty, które samotnie poświadczają odczyt</w:t>
      </w:r>
      <w:r>
        <w:t xml:space="preserve"> </w:t>
      </w:r>
      <w:r>
        <w:rPr>
          <w:bCs/>
          <w:b/>
        </w:rPr>
        <w:t xml:space="preserve">f</w:t>
      </w:r>
      <w:r>
        <w:rPr>
          <w:vertAlign w:val="superscript"/>
          <w:bCs/>
          <w:b/>
        </w:rPr>
        <w:t xml:space="preserve">35</w:t>
      </w:r>
      <w:r>
        <w:t xml:space="preserve">: A, C, 81, 104</w:t>
      </w:r>
      <w:r>
        <w:rPr>
          <w:iCs/>
          <w:i/>
        </w:rPr>
        <w:t xml:space="preserve">, 436, 459</w:t>
      </w:r>
      <w:r>
        <w:t xml:space="preserve">, 467</w:t>
      </w:r>
      <w:r>
        <w:rPr>
          <w:iCs/>
          <w:i/>
        </w:rPr>
        <w:t xml:space="preserve">, 607, 720</w:t>
      </w:r>
      <w:r>
        <w:t xml:space="preserve">, 876</w:t>
      </w:r>
      <w:r>
        <w:rPr>
          <w:iCs/>
          <w:i/>
        </w:rPr>
        <w:t xml:space="preserve">, 945, 999</w:t>
      </w:r>
      <w:r>
        <w:t xml:space="preserve">, 1067, 1127, 1175, 1241, 1243, 1270, 1297, 1501</w:t>
      </w:r>
      <w:r>
        <w:rPr>
          <w:iCs/>
          <w:i/>
        </w:rPr>
        <w:t xml:space="preserve">, 1595</w:t>
      </w:r>
      <w:r>
        <w:t xml:space="preserve">, 1598, 1678, 1729</w:t>
      </w:r>
      <w:r>
        <w:rPr>
          <w:iCs/>
          <w:i/>
        </w:rPr>
        <w:t xml:space="preserve">, 1735, 1739, 1751, 1765</w:t>
      </w:r>
      <w:r>
        <w:t xml:space="preserve">, 1827</w:t>
      </w:r>
      <w:r>
        <w:rPr>
          <w:iCs/>
          <w:i/>
        </w:rPr>
        <w:t xml:space="preserve">, 1832</w:t>
      </w:r>
      <w:r>
        <w:t xml:space="preserve">, 1848</w:t>
      </w:r>
      <w:r>
        <w:rPr>
          <w:iCs/>
          <w:i/>
        </w:rPr>
        <w:t xml:space="preserve">, 1874</w:t>
      </w:r>
      <w:r>
        <w:t xml:space="preserve">, 1893</w:t>
      </w:r>
      <w:r>
        <w:rPr>
          <w:iCs/>
          <w:i/>
        </w:rPr>
        <w:t xml:space="preserve">, 2180</w:t>
      </w:r>
      <w:r>
        <w:t xml:space="preserve">, 2298, 2344, 2492, 2494</w:t>
      </w:r>
      <w:r>
        <w:rPr>
          <w:iCs/>
          <w:i/>
        </w:rPr>
        <w:t xml:space="preserve">, 2523, 2541, 2674</w:t>
      </w:r>
      <w:r>
        <w:t xml:space="preserve">, 2774</w:t>
      </w:r>
      <w:r>
        <w:rPr>
          <w:iCs/>
          <w:i/>
        </w:rPr>
        <w:t xml:space="preserve">, 2818</w:t>
      </w:r>
      <w:r>
        <w:t xml:space="preserve">. Dwadzieścia jeden z nich, czyli praktycznie połowa, sklasyfikowano jako bizantyjskie, ponieważ jednak pojawiają się tylko raz, są najwyraźniej niezależne od masy bizantyjskiej. (W rzeczywistości wszystkie pojawiające się tutaj manuskrypty są niezależne od masy bizantyjskiej, z wyjątkiem 607). Mamy więc 43 niezależnych świadków odczytów</w:t>
      </w:r>
      <w:r>
        <w:t xml:space="preserve"> </w:t>
      </w:r>
      <w:r>
        <w:rPr>
          <w:bCs/>
          <w:b/>
        </w:rPr>
        <w:t xml:space="preserve">f</w:t>
      </w:r>
      <w:r>
        <w:rPr>
          <w:vertAlign w:val="superscript"/>
          <w:bCs/>
          <w:b/>
        </w:rPr>
        <w:t xml:space="preserve">35</w:t>
      </w:r>
      <w:r>
        <w:t xml:space="preserve">, którzy</w:t>
      </w:r>
      <w:r>
        <w:t xml:space="preserve"> </w:t>
      </w:r>
      <w:r>
        <w:rPr>
          <w:bCs/>
          <w:b/>
        </w:rPr>
        <w:t xml:space="preserve">z pewnością nie należą do tej rodziny</w:t>
      </w:r>
      <w:r>
        <w:t xml:space="preserve">.</w:t>
      </w:r>
    </w:p>
    <w:p>
      <w:pPr>
        <w:pStyle w:val="BodyText"/>
      </w:pPr>
      <w:r>
        <w:t xml:space="preserve">Dwanaście manuskryptów pojawia się tylko dwukrotnie, lecz nie istnieje żaden wzorzec ani pokrywanie się, z wyjątkiem trzech o takim samym rozkładzie, mamy więc kolejnych dziesięciu niezależnych świadków. Te, które pojawiają się więcej niż dwukrotnie, na ogół odzwierciedlają pewną zależność, lecz mimo to dodają kolejnych dziesięciu niezależnych świadków. Mówiąc „niezależnych”, mam na myśli w ich pokoleniu. W miarę cofania się przez stulecia przypuszczalnie pojawi się grupowanie. Czy jednak 63 niezależnych świadków w swoim pokoleniu zmniejszyłoby się o ponad połowę do czasu, gdy cofniemy się do V wieku? Bardzo w to wątpię, oczekiwałbym co najmniej 30 linii</w:t>
      </w:r>
      <w:r>
        <w:rPr>
          <w:rStyle w:val="FootnoteReference"/>
        </w:rPr>
        <w:footnoteReference w:id="347"/>
      </w:r>
      <w:r>
        <w:t xml:space="preserve"> </w:t>
      </w:r>
      <w:r>
        <w:t xml:space="preserve">nadal w V wieku. Czy w ciągu dwóch stuleci zmniejszyłyby się o ponad połowę? Jeśli nie, w III wieku nadal mielibyśmy 15 linii, co oznaczałoby, że</w:t>
      </w:r>
      <w:r>
        <w:t xml:space="preserve"> </w:t>
      </w:r>
      <w:r>
        <w:rPr>
          <w:bCs/>
          <w:b/>
        </w:rPr>
        <w:t xml:space="preserve">f</w:t>
      </w:r>
      <w:r>
        <w:rPr>
          <w:vertAlign w:val="superscript"/>
          <w:bCs/>
          <w:b/>
        </w:rPr>
        <w:t xml:space="preserve">35</w:t>
      </w:r>
      <w:r>
        <w:t xml:space="preserve"> </w:t>
      </w:r>
      <w:r>
        <w:t xml:space="preserve">jest bardzo wczesna.</w:t>
      </w:r>
    </w:p>
    <w:p>
      <w:pPr>
        <w:pStyle w:val="BodyText"/>
      </w:pPr>
      <w:r>
        <w:t xml:space="preserve">Wracając do tabeli, zauważam, że ιθυνοντος i νομου mają tylko jeden wspólny manuskrypt spośród 23, lecz ιθυνοντος i ημων nie mają ani jednego wspólnego spośród 26! ιθυνοντος i επειτα mają tylko jeden wspólny spośród 26, ιθυνοντος i δυναμενος nie mają zaś ani jednego wspólnego spośród 31! νομου i ημων mają trzy wspólne spośród 31, νομου i επειτα mają dwa wspólne spośród 35, νομου i δυναμενος mają tylko dwa wspólne spośród 37. Mistrzem jest ου, mający 18 manuskryptów wyłącznie dla siebie. Co zatem mówią nam te dowody? Czy nie wskazują, że</w:t>
      </w:r>
      <w:r>
        <w:t xml:space="preserve"> </w:t>
      </w:r>
      <w:r>
        <w:rPr>
          <w:bCs/>
          <w:b/>
        </w:rPr>
        <w:t xml:space="preserve">f</w:t>
      </w:r>
      <w:r>
        <w:rPr>
          <w:vertAlign w:val="superscript"/>
          <w:bCs/>
          <w:b/>
        </w:rPr>
        <w:t xml:space="preserve">35</w:t>
      </w:r>
      <w:r>
        <w:t xml:space="preserve"> </w:t>
      </w:r>
      <w:r>
        <w:t xml:space="preserve">jest rdzeniem, od którego odeszło bardzo wiele odnóg? Istnieje bardzo niewiele wzorca, co wskazuje, że</w:t>
      </w:r>
      <w:r>
        <w:t xml:space="preserve"> </w:t>
      </w:r>
      <w:r>
        <w:rPr>
          <w:bCs/>
          <w:b/>
        </w:rPr>
        <w:t xml:space="preserve">f</w:t>
      </w:r>
      <w:r>
        <w:rPr>
          <w:vertAlign w:val="superscript"/>
          <w:bCs/>
          <w:b/>
        </w:rPr>
        <w:t xml:space="preserve">35</w:t>
      </w:r>
      <w:r>
        <w:t xml:space="preserve"> </w:t>
      </w:r>
      <w:r>
        <w:t xml:space="preserve">musi być zarówno starożytna, jak i niezależna. Manuskrypty zgadzające się z</w:t>
      </w:r>
      <w:r>
        <w:t xml:space="preserve"> </w:t>
      </w:r>
      <w:r>
        <w:rPr>
          <w:bCs/>
          <w:b/>
        </w:rPr>
        <w:t xml:space="preserve">f</w:t>
      </w:r>
      <w:r>
        <w:rPr>
          <w:vertAlign w:val="superscript"/>
          <w:bCs/>
          <w:b/>
        </w:rPr>
        <w:t xml:space="preserve">35</w:t>
      </w:r>
      <w:r>
        <w:t xml:space="preserve"> </w:t>
      </w:r>
      <w:r>
        <w:t xml:space="preserve">sześć razy na osiem mogą okazać się znajdować na obrzeżach rodziny, te zgadzające się pięć razy byłyby dalej, i tak dalej.</w:t>
      </w:r>
    </w:p>
    <w:p>
      <w:pPr>
        <w:pStyle w:val="BodyText"/>
      </w:pPr>
      <w:r>
        <w:t xml:space="preserve">Spójrzmy teraz na 1 List Jana. Podczas gdy w Liście Jakuba uwzględnili 77 manuskryptów bizantyjskich (łącznie z</w:t>
      </w:r>
      <w:r>
        <w:t xml:space="preserve"> </w:t>
      </w:r>
      <w:r>
        <w:rPr>
          <w:bCs/>
          <w:b/>
        </w:rPr>
        <w:t xml:space="preserve">f</w:t>
      </w:r>
      <w:r>
        <w:rPr>
          <w:vertAlign w:val="superscript"/>
          <w:bCs/>
          <w:b/>
        </w:rPr>
        <w:t xml:space="preserve">35</w:t>
      </w:r>
      <w:r>
        <w:t xml:space="preserve">), dla 1 Listu Jana uwzględnili tylko 48, nastawienie jest więc silniejsze. Ponownie uwzględnili siedem, aby reprezentowały wykluczone manuskrypty, GA 18 i 35, aby reprezentowały</w:t>
      </w:r>
      <w:r>
        <w:t xml:space="preserve"> </w:t>
      </w:r>
      <w:r>
        <w:rPr>
          <w:bCs/>
          <w:b/>
        </w:rPr>
        <w:t xml:space="preserve">K</w:t>
      </w:r>
      <w:r>
        <w:rPr>
          <w:vertAlign w:val="superscript"/>
          <w:bCs/>
          <w:b/>
        </w:rPr>
        <w:t xml:space="preserve">r</w:t>
      </w:r>
      <w:r>
        <w:t xml:space="preserve"> </w:t>
      </w:r>
      <w:r>
        <w:t xml:space="preserve">Sodena, oraz GA 319, 424, 468, 617 i 2423, aby reprezentowały rdzeń wykluczonych manuskryptów bizantyjskich.</w:t>
      </w:r>
    </w:p>
    <w:p>
      <w:pPr>
        <w:pStyle w:val="BodyText"/>
      </w:pPr>
      <w:r>
        <w:t xml:space="preserve">Wymieniam cztery odczyty</w:t>
      </w:r>
      <w:r>
        <w:t xml:space="preserve"> </w:t>
      </w:r>
      <w:r>
        <w:rPr>
          <w:bCs/>
          <w:b/>
        </w:rPr>
        <w:t xml:space="preserve">f</w:t>
      </w:r>
      <w:r>
        <w:rPr>
          <w:vertAlign w:val="superscript"/>
          <w:bCs/>
          <w:b/>
        </w:rPr>
        <w:t xml:space="preserve">35</w:t>
      </w:r>
      <w:r>
        <w:t xml:space="preserve"> </w:t>
      </w:r>
      <w:r>
        <w:t xml:space="preserve">(dla 1 Listu Jana) jako mające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W poniższej tabeli odczyty te tworzą pierwszy wiersz, a pod każdym z nich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center"/>
            </w:pPr>
            <w:r>
              <w:t xml:space="preserve">3,6</w:t>
            </w:r>
            <w:r>
              <w:t xml:space="preserve">και</w:t>
            </w:r>
          </w:p>
        </w:tc>
        <w:tc>
          <w:tcPr/>
          <w:p>
            <w:pPr>
              <w:pStyle w:val="Compact"/>
              <w:jc w:val="center"/>
            </w:pPr>
            <w:r>
              <w:t xml:space="preserve">5,11</w:t>
            </w:r>
            <w:r>
              <w:t xml:space="preserve">ο θεος ημιν</w:t>
            </w:r>
          </w:p>
        </w:tc>
        <w:tc>
          <w:tcPr/>
          <w:p>
            <w:pPr>
              <w:pStyle w:val="Compact"/>
              <w:jc w:val="center"/>
            </w:pPr>
            <w:r>
              <w:t xml:space="preserve">1,6</w:t>
            </w:r>
            <w:r>
              <w:t xml:space="preserve">περιπατουμεν</w:t>
            </w:r>
          </w:p>
        </w:tc>
        <w:tc>
          <w:tcPr/>
          <w:p>
            <w:pPr>
              <w:pStyle w:val="Compact"/>
              <w:jc w:val="center"/>
            </w:pPr>
            <w:r>
              <w:t xml:space="preserve">3,24</w:t>
            </w:r>
            <w:r>
              <w:t xml:space="preserve">--- εν</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B</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0142*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0296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69*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180*</w:t>
            </w:r>
          </w:p>
        </w:tc>
        <w:tc>
          <w:tcPr/>
          <w:p>
            <w:pPr>
              <w:pStyle w:val="Compact"/>
              <w:jc w:val="center"/>
            </w:pPr>
            <w:r>
              <w:t xml:space="preserve">180</w:t>
            </w:r>
          </w:p>
        </w:tc>
      </w:tr>
      <w:tr>
        <w:tc>
          <w:tcPr/>
          <w:p>
            <w:pPr>
              <w:pStyle w:val="Compact"/>
              <w:jc w:val="center"/>
            </w:pPr>
            <w:r>
              <w:t xml:space="preserve">254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607*</w:t>
            </w:r>
          </w:p>
        </w:tc>
        <w:tc>
          <w:tcPr/>
          <w:p>
            <w:pPr>
              <w:pStyle w:val="Compact"/>
              <w:jc w:val="center"/>
            </w:pPr>
            <w:r>
              <w:rPr>
                <w:u w:val="single"/>
              </w:rPr>
              <w:t xml:space="preserve">607</w:t>
            </w:r>
          </w:p>
        </w:tc>
      </w:tr>
      <w:tr>
        <w:tc>
          <w:tcPr/>
          <w:p>
            <w:pPr>
              <w:pStyle w:val="Compact"/>
              <w:jc w:val="center"/>
            </w:pPr>
            <w:r>
              <w:t xml:space="preserve">---</w:t>
            </w:r>
          </w:p>
        </w:tc>
        <w:tc>
          <w:tcPr/>
          <w:p>
            <w:pPr>
              <w:pStyle w:val="Compact"/>
              <w:jc w:val="center"/>
            </w:pPr>
            <w:r>
              <w:t xml:space="preserve">614</w:t>
            </w:r>
          </w:p>
        </w:tc>
        <w:tc>
          <w:tcPr/>
          <w:p>
            <w:pPr>
              <w:pStyle w:val="Compact"/>
              <w:jc w:val="center"/>
            </w:pPr>
            <w:r>
              <w:t xml:space="preserve">---</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630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w:t>
            </w:r>
          </w:p>
        </w:tc>
      </w:tr>
      <w:tr>
        <w:tc>
          <w:tcPr/>
          <w:p>
            <w:pPr>
              <w:pStyle w:val="Compact"/>
              <w:jc w:val="center"/>
            </w:pPr>
            <w:r>
              <w:t xml:space="preserve">1523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1739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r>
      <w:tr>
        <w:tc>
          <w:tcPr/>
          <w:p>
            <w:pPr>
              <w:pStyle w:val="Compact"/>
              <w:jc w:val="center"/>
            </w:pPr>
            <w:r>
              <w:t xml:space="preserve">1844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1881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w:t>
            </w:r>
          </w:p>
        </w:tc>
        <w:tc>
          <w:tcPr/>
          <w:p>
            <w:pPr>
              <w:pStyle w:val="Compact"/>
              <w:jc w:val="center"/>
            </w:pPr>
            <w:r>
              <w:t xml:space="preserve">2138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2298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2374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2412</w:t>
            </w:r>
          </w:p>
        </w:tc>
        <w:tc>
          <w:tcPr/>
          <w:p>
            <w:pPr>
              <w:pStyle w:val="Compact"/>
              <w:jc w:val="center"/>
            </w:pPr>
            <w:r>
              <w:t xml:space="preserve">---</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2423</w:t>
            </w:r>
          </w:p>
        </w:tc>
      </w:tr>
      <w:tr>
        <w:tc>
          <w:tcPr/>
          <w:p>
            <w:pPr>
              <w:pStyle w:val="Compact"/>
              <w:jc w:val="center"/>
            </w:pPr>
            <w:r>
              <w:t xml:space="preserve">---</w:t>
            </w:r>
          </w:p>
        </w:tc>
        <w:tc>
          <w:tcPr/>
          <w:p>
            <w:pPr>
              <w:pStyle w:val="Compact"/>
              <w:jc w:val="center"/>
            </w:pPr>
            <w:r>
              <w:t xml:space="preserve">2492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2544</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13</w:t>
            </w:r>
          </w:p>
        </w:tc>
        <w:tc>
          <w:tcPr/>
          <w:p>
            <w:pPr>
              <w:pStyle w:val="Compact"/>
              <w:jc w:val="center"/>
            </w:pPr>
            <w:r>
              <w:rPr>
                <w:bCs/>
                <w:b/>
              </w:rPr>
              <w:t xml:space="preserve">10</w:t>
            </w:r>
          </w:p>
        </w:tc>
      </w:tr>
    </w:tbl>
    <w:p>
      <w:pPr>
        <w:pStyle w:val="BodyText"/>
      </w:pPr>
      <w:r>
        <w:t xml:space="preserve">Podobnie jak w Liście Jakuba, między dwiema pierwszymi kolumnami nie ma pokrywania się (w Liście Jakuba pierwsza kolumna ma wprawdzie jeden wspólny manuskrypt z drugą, lecz żadnego z trzecią i piątą),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moim zdaniem, potrafię wykazać, wówczas sięga Oryginału — jakie inne rozsądne wyjaśnienie istnieje?</w:t>
      </w:r>
    </w:p>
    <w:p>
      <w:pPr>
        <w:pStyle w:val="BodyText"/>
      </w:pPr>
      <w:r>
        <w:t xml:space="preserve">Rodzina 35 reprezentuje około 16% ogółu zachowanych manuskryptów, lecz prawie nigdy nie jest całkowicie sama. Jak jednak pokazano wyżej, rozproszenie innych manuskryptów prawie nigdy nie jest takie samo. Pytam więc ponownie: jak należy wyjaśnić to zróżnicowane rozproszenie? Czy nie wskazuje ono, że</w:t>
      </w:r>
      <w:r>
        <w:t xml:space="preserve"> </w:t>
      </w:r>
      <w:r>
        <w:rPr>
          <w:bCs/>
          <w:b/>
        </w:rPr>
        <w:t xml:space="preserve">f</w:t>
      </w:r>
      <w:r>
        <w:rPr>
          <w:vertAlign w:val="superscript"/>
          <w:bCs/>
          <w:b/>
        </w:rPr>
        <w:t xml:space="preserve">35</w:t>
      </w:r>
      <w:r>
        <w:t xml:space="preserve"> </w:t>
      </w:r>
      <w:r>
        <w:t xml:space="preserve">jest rdzeniem, od którego odeszło bardzo wiele odnóg? Jakie inne rozsądne wyjaśnienie istnieje? Jeśli jest rdzeniem, reprezentuje Oryginał. (Zakładam rozsądnie normalny przekaz, którego broniłem w innym miejscu).</w:t>
      </w:r>
    </w:p>
    <w:p>
      <w:pPr>
        <w:pStyle w:val="BodyText"/>
      </w:pPr>
      <w:r>
        <w:t xml:space="preserve">Proszę czytelnika, aby zatrzymał się i naprawdę pomyślał o konsekwencjach przedstawionych wyżej dowodów (próbując odłożyć na bok z góry przyjęte poglądy). Standardowym postępowaniem zwolenników pewnej orientacji teoretycznej było naleganie na rozróżnienie między poszczególnymi odczytami a typem tekstu. Zgadzam się, że należy je rozróżniać. Jednak to mozaika, profil lub wybór poszczególnych odczytów definiuje typ tekstu, rodzinę lub linię przekazu.</w:t>
      </w:r>
      <w:r>
        <w:t xml:space="preserve"> </w:t>
      </w:r>
      <w:r>
        <w:rPr>
          <w:bCs/>
          <w:b/>
        </w:rPr>
        <w:t xml:space="preserve">Jeśli można wykazać, że wszystkie poszczególne odczyty definiujące rodzinę są starożytne, wówczas z konieczności sama rodzina jest starożytna!</w:t>
      </w:r>
    </w:p>
    <w:p>
      <w:pPr>
        <w:pStyle w:val="BodyText"/>
      </w:pPr>
      <w:r>
        <w:t xml:space="preserve">Przypuszczam, że teoretycznie mogłoby być możliwe, aby ktoś w VIII wieku spreparował nowy archetyp, używając wyłącznie wczesnych odczytów, jaki jednak możliwy powód mógłby mieć ktokolwiek, by to uczynić? I jak tak spreparowany tekst mógł rozprzestrzenić się po świecie śródziemnomorskim? Jak mógł osiągnąć poziom wierności znacznie przewyższający każdą inną linię przekazu, łącznie ze znacznie starszymi? Jak archetyp spreparowany w VIII wieku mógł wyprzeć wszystkie starsze archetypy? Mam na myśli wierność przekazu. (W naszych czasach spreparowany tekst, oparty na wczesnych manuskryptach, zawładnął światem akademickim, lecz nie ma tu analogii — wiemy, kto go stworzył, kiedy, jak i dlaczego. Napisałem na ten temat stronę lub dwie gdzie indziej).</w:t>
      </w:r>
    </w:p>
    <w:p>
      <w:pPr>
        <w:pStyle w:val="BodyText"/>
      </w:pPr>
      <w:r>
        <w:t xml:space="preserve">Każdy, kto chce wysunąć teorię, że Rodzina 35 została spreparowana przez kogoś w XII, VIII lub IV wieku, i uczynić to odpowiedzialnie, musi przedstawić dowody, które dały początek tej teorii. Musi pokazać, kto to zrobił, kiedy i gdzie. Istnieje wiele setek zachowanych kopii pism Nowego Testamentu. Jeśli wszystkie te manuskrypty nie dostarczają wymaganych dowodów, teoria jest jawnie fałszywa. Wysuwanie teorii, która jest jawnie fałszywa, jest przewrotnością.</w:t>
      </w:r>
    </w:p>
    <w:bookmarkEnd w:id="348"/>
    <w:bookmarkStart w:id="354" w:name="o-tekście-pericope-adulterae"/>
    <w:p>
      <w:pPr>
        <w:pStyle w:val="Heading2"/>
      </w:pPr>
      <w:r>
        <w:t xml:space="preserve">O tekście</w:t>
      </w:r>
      <w:r>
        <w:t xml:space="preserve"> </w:t>
      </w:r>
      <w:r>
        <w:rPr>
          <w:iCs/>
          <w:i/>
        </w:rPr>
        <w:t xml:space="preserve">Pericope Adulterae</w:t>
      </w:r>
    </w:p>
    <w:p>
      <w:pPr>
        <w:pStyle w:val="FirstParagraph"/>
      </w:pPr>
      <w:r>
        <w:t xml:space="preserve">Poniższe informacje opierają się na pełnym kolacjonowaniu przez Maurice’a A. Robinsona 1389 manuskryptów zawierających Perykopę, Ewangelię Jana 7,53-8,11.</w:t>
      </w:r>
      <w:r>
        <w:rPr>
          <w:rStyle w:val="FootnoteReference"/>
        </w:rPr>
        <w:footnoteReference w:id="349"/>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 </w:t>
      </w:r>
      <w:r>
        <w:t xml:space="preserve">(jak w aparacie Tekstu Większościowego H-F). Przyjmuję, że wszystkie mniejsze grupy są mieszaninami opartymi na wielkiej trójce. Niniejsza część przedstawia wyniki wraz z moją interpretacją ich znaczenia.</w:t>
      </w:r>
    </w:p>
    <w:bookmarkStart w:id="350" w:name="profil-m7"/>
    <w:p>
      <w:pPr>
        <w:pStyle w:val="Heading3"/>
      </w:pPr>
      <w:r>
        <w:t xml:space="preserve">Profil</w:t>
      </w:r>
      <w:r>
        <w:t xml:space="preserve"> </w:t>
      </w:r>
      <w:r>
        <w:rPr>
          <w:bCs/>
          <w:b/>
        </w:rPr>
        <w:t xml:space="preserve">M</w:t>
      </w:r>
      <w:r>
        <w:rPr>
          <w:vertAlign w:val="superscript"/>
          <w:bCs/>
          <w:b/>
        </w:rPr>
        <w:t xml:space="preserve">7</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τον λιθον επ αυτη βαλετω</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αυτη</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30</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και απο του νυν</w:t>
            </w:r>
          </w:p>
        </w:tc>
      </w:tr>
    </w:tbl>
    <w:p>
      <w:pPr>
        <w:pStyle w:val="BodyText"/>
      </w:pPr>
      <w:r>
        <w:rPr>
          <w:bCs/>
          <w:b/>
        </w:rPr>
        <w:t xml:space="preserve">Komentarz</w:t>
      </w:r>
      <w:r>
        <w:t xml:space="preserve">: Jest to jeden wyraźny, jednoznaczny i niebudzący wątpliwości profil/mozaika, określony przez 127 manuskryptów — nie ma między nimi żadnego zróżnicowania wewnętrznego.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przypuszczam, że także z mniejszymi grupami (chociaż ich nie sprawdziłem). Jak podano niżej, na potrzeby odróżnienia ich od siebie nawzajem oraz od</w:t>
      </w:r>
      <w:r>
        <w:t xml:space="preserve"> </w:t>
      </w:r>
      <w:r>
        <w:rPr>
          <w:bCs/>
          <w:b/>
        </w:rPr>
        <w:t xml:space="preserve">7</w:t>
      </w:r>
      <w:r>
        <w:t xml:space="preserve"> </w:t>
      </w:r>
      <w:r>
        <w:t xml:space="preserve">można uzyskać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obie będą musiały zostać podzielone. Powyższy profil określa archetypalny tekst</w:t>
      </w:r>
      <w:r>
        <w:t xml:space="preserve"> </w:t>
      </w:r>
      <w:r>
        <w:rPr>
          <w:bCs/>
          <w:b/>
        </w:rPr>
        <w:t xml:space="preserve">M</w:t>
      </w:r>
      <w:r>
        <w:rPr>
          <w:vertAlign w:val="superscript"/>
          <w:bCs/>
          <w:b/>
        </w:rPr>
        <w:t xml:space="preserve">7</w:t>
      </w:r>
      <w:r>
        <w:t xml:space="preserve">.</w:t>
      </w:r>
    </w:p>
    <w:bookmarkEnd w:id="350"/>
    <w:bookmarkStart w:id="351" w:name="profil-m6"/>
    <w:p>
      <w:pPr>
        <w:pStyle w:val="Heading3"/>
      </w:pPr>
      <w:r>
        <w:t xml:space="preserve">Profil</w:t>
      </w:r>
      <w:r>
        <w:t xml:space="preserve"> </w:t>
      </w:r>
      <w:r>
        <w:rPr>
          <w:bCs/>
          <w:b/>
        </w:rPr>
        <w:t xml:space="preserve">M</w:t>
      </w:r>
      <w:r>
        <w:rPr>
          <w:vertAlign w:val="superscript"/>
          <w:bCs/>
          <w:b/>
        </w:rPr>
        <w:t xml:space="preserve">6</w:t>
      </w:r>
    </w:p>
    <w:tbl>
      <w:tblPr>
        <w:tblStyle w:val="Table"/>
        <w:tblW w:type="pct" w:w="5000"/>
        <w:tblLook w:firstRow="1" w:lastRow="0" w:firstColumn="0" w:lastColumn="0" w:noHBand="0" w:noVBand="0" w:val="0020"/>
        <w:jc w:val="start"/>
      </w:tblPr>
      <w:tblGrid>
        <w:gridCol w:w="3046"/>
        <w:gridCol w:w="2436"/>
        <w:gridCol w:w="2436"/>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 / απηλθον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**και ο Ιησους δε / και ο Ιησους</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βαθεος</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**ηλθεν ο Ιησους</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 / 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τω μεσω / 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**ειπον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 = pominięcie</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 / –φορω / –φορως</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 / –νη</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 / υμων Μωσης / Μ. ενετ. ημιν /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**λιθαζειν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 / 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 / 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 / επερωτωντες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αναβλεψας / 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**αυτοις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**λιθον βαλετω επ αυτην</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 / 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ο Ιησους μονος / μονος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**ειδεν αυτην και ειπεν</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 (εκεινοι οι κατηγοροι σου) / (που 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 απο του νυν / απο του νυν και</w:t>
            </w:r>
          </w:p>
        </w:tc>
      </w:tr>
    </w:tbl>
    <w:p>
      <w:pPr>
        <w:pStyle w:val="BodyText"/>
      </w:pPr>
      <w:r>
        <w:rPr>
          <w:bCs/>
          <w:b/>
        </w:rPr>
        <w:t xml:space="preserve">Komentarz</w:t>
      </w:r>
      <w:r>
        <w:t xml:space="preserve">: Sprawdziłem manuskrypty</w:t>
      </w:r>
      <w:r>
        <w:t xml:space="preserve"> </w:t>
      </w:r>
      <w:r>
        <w:rPr>
          <w:bCs/>
          <w:b/>
        </w:rPr>
        <w:t xml:space="preserve">M</w:t>
      </w:r>
      <w:r>
        <w:rPr>
          <w:vertAlign w:val="superscript"/>
          <w:bCs/>
          <w:b/>
        </w:rPr>
        <w:t xml:space="preserve">6</w:t>
      </w:r>
      <w:r>
        <w:t xml:space="preserve"> </w:t>
      </w:r>
      <w:r>
        <w:t xml:space="preserve">z</w:t>
      </w:r>
      <w:r>
        <w:t xml:space="preserve"> </w:t>
      </w:r>
      <w:r>
        <w:rPr>
          <w:bCs/>
          <w:b/>
        </w:rPr>
        <w:t xml:space="preserve">XI</w:t>
      </w:r>
      <w:r>
        <w:t xml:space="preserve"> </w:t>
      </w:r>
      <w:r>
        <w:t xml:space="preserve">wieku (ponad 80) i ku mojemu zaskoczeniu żadne dwa nie miały identycznej mozaiki wariantów. Niezależnie od tego, jakiego zestawu kontrastowego użyje się jako podstawy (np. βαθεως × βαθεος), gdy tylko spojrzy się w dół wykazu pozostałych wariantów, manuskrypty wędrują tam i z powrotem, tworząc oszałamiającą różnorodność odmienności, zmieniających się sojuszy czy czegokolwiek innego. Jeśli sprawdzone zostaną wszystkie stulecia, przypuszczalnie znajdzie się kilka małych grup, w których manuskrypty członkowskie mają identyczne mozaiki, lecz nie wyłoni się żaden pojedynczy, rozstrzygający profil</w:t>
      </w:r>
      <w:r>
        <w:t xml:space="preserve"> </w:t>
      </w:r>
      <w:r>
        <w:rPr>
          <w:bCs/>
          <w:b/>
        </w:rPr>
        <w:t xml:space="preserve">M</w:t>
      </w:r>
      <w:r>
        <w:rPr>
          <w:vertAlign w:val="superscript"/>
          <w:bCs/>
          <w:b/>
        </w:rPr>
        <w:t xml:space="preserve">6</w:t>
      </w:r>
      <w:r>
        <w:t xml:space="preserve"> </w:t>
      </w:r>
      <w:r>
        <w:t xml:space="preserve">(w przeciwieństwie do</w:t>
      </w:r>
      <w:r>
        <w:t xml:space="preserve"> </w:t>
      </w:r>
      <w:r>
        <w:rPr>
          <w:bCs/>
          <w:b/>
        </w:rPr>
        <w:t xml:space="preserve">M</w:t>
      </w:r>
      <w:r>
        <w:rPr>
          <w:vertAlign w:val="superscript"/>
          <w:bCs/>
          <w:b/>
        </w:rPr>
        <w:t xml:space="preserve">7</w:t>
      </w:r>
      <w:r>
        <w:t xml:space="preserve">). Jeśli nie ma jednego profilu, nie ma obiektywnego sposobu zdefiniowania/ustalenia/odtworzenia archetypu</w:t>
      </w:r>
      <w:r>
        <w:t xml:space="preserve"> </w:t>
      </w:r>
      <w:r>
        <w:rPr>
          <w:bCs/>
          <w:b/>
        </w:rPr>
        <w:t xml:space="preserve">M</w:t>
      </w:r>
      <w:r>
        <w:rPr>
          <w:vertAlign w:val="superscript"/>
          <w:bCs/>
          <w:b/>
        </w:rPr>
        <w:t xml:space="preserve">6</w:t>
      </w:r>
      <w:r>
        <w:t xml:space="preserve">. Bez możliwego do zdefiniowania archetypu</w:t>
      </w:r>
      <w:r>
        <w:t xml:space="preserve"> </w:t>
      </w:r>
      <w:r>
        <w:rPr>
          <w:bCs/>
          <w:b/>
        </w:rPr>
        <w:t xml:space="preserve">M</w:t>
      </w:r>
      <w:r>
        <w:rPr>
          <w:vertAlign w:val="superscript"/>
          <w:bCs/>
          <w:b/>
        </w:rPr>
        <w:t xml:space="preserve">6</w:t>
      </w:r>
      <w:r>
        <w:t xml:space="preserve"> </w:t>
      </w:r>
      <w:r>
        <w:t xml:space="preserve">nie jest realnym kandydatem do oryginalnej formy Tekstu. Dziesięć wariantów oznaczonych ** odróżnia jednak</w:t>
      </w:r>
      <w:r>
        <w:t xml:space="preserve"> </w:t>
      </w:r>
      <w:r>
        <w:rPr>
          <w:bCs/>
          <w:b/>
        </w:rPr>
        <w:t xml:space="preserve">M</w:t>
      </w:r>
      <w:r>
        <w:rPr>
          <w:vertAlign w:val="superscript"/>
          <w:bCs/>
          <w:b/>
        </w:rPr>
        <w:t xml:space="preserve">6</w:t>
      </w:r>
      <w:r>
        <w:t xml:space="preserve"> </w:t>
      </w:r>
      <w:r>
        <w:t xml:space="preserve">zarówno od</w:t>
      </w:r>
      <w:r>
        <w:t xml:space="preserve"> </w:t>
      </w:r>
      <w:r>
        <w:rPr>
          <w:bCs/>
          <w:b/>
        </w:rPr>
        <w:t xml:space="preserve">M</w:t>
      </w:r>
      <w:r>
        <w:rPr>
          <w:vertAlign w:val="superscript"/>
          <w:bCs/>
          <w:b/>
        </w:rPr>
        <w:t xml:space="preserve">5</w:t>
      </w:r>
      <w:r>
        <w:t xml:space="preserve">, jak i od</w:t>
      </w:r>
      <w:r>
        <w:t xml:space="preserve"> </w:t>
      </w:r>
      <w:r>
        <w:rPr>
          <w:bCs/>
          <w:b/>
        </w:rPr>
        <w:t xml:space="preserve">M</w:t>
      </w:r>
      <w:r>
        <w:rPr>
          <w:vertAlign w:val="superscript"/>
          <w:bCs/>
          <w:b/>
        </w:rPr>
        <w:t xml:space="preserve">7</w:t>
      </w:r>
      <w:r>
        <w:t xml:space="preserve">, tworząc jej „kręgosłup”. Dwa spośród tych dziesięciu, a także kolejnych czternaście, mają jednak zróżnicowanie wewnętrzne (oprócz różnych dalszych odmienności niezapisanych na tej liście). Poszczególne manuskrypty w oszałamiający sposób meandrują wśród mnogości wewnętrznego (w obrębie grupy) zróżnicowania, co wszystko razem zmniejsza wiarygodność grupy. Przyjmuję, że</w:t>
      </w:r>
      <w:r>
        <w:t xml:space="preserve"> </w:t>
      </w:r>
      <w:r>
        <w:rPr>
          <w:bCs/>
          <w:b/>
        </w:rPr>
        <w:t xml:space="preserve">M</w:t>
      </w:r>
      <w:r>
        <w:rPr>
          <w:vertAlign w:val="superscript"/>
          <w:bCs/>
          <w:b/>
        </w:rPr>
        <w:t xml:space="preserve">6</w:t>
      </w:r>
      <w:r>
        <w:t xml:space="preserve"> </w:t>
      </w:r>
      <w:r>
        <w:t xml:space="preserve">odzwierciedla wpływ aleksandryjski.</w:t>
      </w:r>
    </w:p>
    <w:bookmarkEnd w:id="351"/>
    <w:bookmarkStart w:id="352" w:name="profil-m5"/>
    <w:p>
      <w:pPr>
        <w:pStyle w:val="Heading3"/>
      </w:pPr>
      <w:r>
        <w:t xml:space="preserve">Profil</w:t>
      </w:r>
      <w:r>
        <w:t xml:space="preserve"> </w:t>
      </w:r>
      <w:r>
        <w:rPr>
          <w:bCs/>
          <w:b/>
        </w:rPr>
        <w:t xml:space="preserve">M</w:t>
      </w:r>
      <w:r>
        <w:rPr>
          <w:vertAlign w:val="superscript"/>
          <w:bCs/>
          <w:b/>
        </w:rPr>
        <w:t xml:space="preserve">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**επορευθη / επορευθησαν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**εν</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**καταληφθεισαν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**αυτη η γυνη</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**κατεληφθη / ειληπται / κατειληπται</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επαυτοφωρω / –φορω</w:t>
            </w:r>
          </w:p>
        </w:tc>
      </w:tr>
      <w:tr>
        <w:tc>
          <w:tcPr/>
          <w:p>
            <w:pPr>
              <w:pStyle w:val="Compact"/>
              <w:jc w:val="center"/>
            </w:pPr>
            <w:r>
              <w:t xml:space="preserve">8,4</w:t>
            </w:r>
          </w:p>
        </w:tc>
        <w:tc>
          <w:tcPr/>
          <w:p>
            <w:pPr>
              <w:pStyle w:val="Compact"/>
              <w:jc w:val="right"/>
            </w:pPr>
            <w:r>
              <w:t xml:space="preserve">15</w:t>
            </w:r>
          </w:p>
        </w:tc>
        <w:tc>
          <w:tcPr/>
          <w:p>
            <w:pPr>
              <w:pStyle w:val="Compact"/>
              <w:jc w:val="left"/>
            </w:pPr>
            <w:r>
              <w:t xml:space="preserve">**μοιχευομενη</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**Μωσης ημιν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18</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**κατηγορειν</w:t>
            </w:r>
          </w:p>
        </w:tc>
      </w:tr>
      <w:tr>
        <w:tc>
          <w:tcPr/>
          <w:p>
            <w:pPr>
              <w:pStyle w:val="Compact"/>
              <w:jc w:val="center"/>
            </w:pPr>
            <w:r>
              <w:t xml:space="preserve">8,6</w:t>
            </w:r>
          </w:p>
        </w:tc>
        <w:tc>
          <w:tcPr/>
          <w:p>
            <w:pPr>
              <w:pStyle w:val="Compact"/>
              <w:jc w:val="right"/>
            </w:pPr>
            <w:r>
              <w:t xml:space="preserve">20</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24</w:t>
            </w:r>
          </w:p>
        </w:tc>
        <w:tc>
          <w:tcPr/>
          <w:p>
            <w:pPr>
              <w:pStyle w:val="Compact"/>
              <w:jc w:val="left"/>
            </w:pPr>
            <w:r>
              <w:t xml:space="preserve">**επ αυτην τον λιθον βαλετω</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27</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 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**κρινω / 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w:t>
            </w:r>
          </w:p>
        </w:tc>
      </w:tr>
    </w:tbl>
    <w:p>
      <w:pPr>
        <w:pStyle w:val="BodyText"/>
      </w:pPr>
      <w:r>
        <w:rPr>
          <w:bCs/>
          <w:b/>
        </w:rPr>
        <w:t xml:space="preserve">Komentarz</w:t>
      </w:r>
      <w:r>
        <w:t xml:space="preserve">: Odkładając na bok podziały w nr. 1, 13, 14, 29 i 32, istnieje grupa manuskryptów o tym profilu. Istnieje równie duża grupa, która w wersecie 6 zmienia εγραφεν na κατεγραφεν, a w wersecie 7 zmienia πρωτος na πρωτον. Obie te grupy mają rdzeń manuskryptów o „doskonałym” profilu, z wyjątkiem tego, że obie grupy dzielą się w sprawie -φωρω/-φορω. Obie grupy mają „rozmyte” krawędzie z licznymi manuskryptami wykazującymi różne stopnie odmienności. Istnieje duża liczba manuskryptów mieszanych, skupionych wokół kilku z grubsza określonych mozaik. Istnieje również trójdzielny podział w wariancie nr 24, a ponadto czwarty, słabszy wariant (205 manuskryptów × 191 × 104 × 21). Warianty oznaczone ** odróżniają jednak</w:t>
      </w:r>
      <w:r>
        <w:t xml:space="preserve"> </w:t>
      </w:r>
      <w:r>
        <w:rPr>
          <w:bCs/>
          <w:b/>
        </w:rPr>
        <w:t xml:space="preserve">M</w:t>
      </w:r>
      <w:r>
        <w:rPr>
          <w:vertAlign w:val="superscript"/>
          <w:bCs/>
          <w:b/>
        </w:rPr>
        <w:t xml:space="preserve">5</w:t>
      </w:r>
      <w:r>
        <w:t xml:space="preserve"> </w:t>
      </w:r>
      <w:r>
        <w:t xml:space="preserve">zarówno od</w:t>
      </w:r>
      <w:r>
        <w:t xml:space="preserve"> </w:t>
      </w:r>
      <w:r>
        <w:rPr>
          <w:bCs/>
          <w:b/>
        </w:rPr>
        <w:t xml:space="preserve">M</w:t>
      </w:r>
      <w:r>
        <w:rPr>
          <w:vertAlign w:val="superscript"/>
          <w:bCs/>
          <w:b/>
        </w:rPr>
        <w:t xml:space="preserve">6</w:t>
      </w:r>
      <w:r>
        <w:t xml:space="preserve">, jak i od</w:t>
      </w:r>
      <w:r>
        <w:t xml:space="preserve"> </w:t>
      </w:r>
      <w:r>
        <w:rPr>
          <w:bCs/>
          <w:b/>
        </w:rPr>
        <w:t xml:space="preserve">M</w:t>
      </w:r>
      <w:r>
        <w:rPr>
          <w:vertAlign w:val="superscript"/>
          <w:bCs/>
          <w:b/>
        </w:rPr>
        <w:t xml:space="preserve">7</w:t>
      </w:r>
      <w:r>
        <w:t xml:space="preserve">, tworząc jej „kręgosłup”, chociaż w trzech z nich istnieje zróżnicowanie wewnętrzne, niezależnie od nr. 24. Istnieje dalsze zróżnicowanie wewnętrzne niezapisane na tej liście.</w:t>
      </w:r>
      <w:r>
        <w:t xml:space="preserve"> </w:t>
      </w:r>
      <w:r>
        <w:rPr>
          <w:bCs/>
          <w:b/>
        </w:rPr>
        <w:t xml:space="preserve">M</w:t>
      </w:r>
      <w:r>
        <w:rPr>
          <w:vertAlign w:val="superscript"/>
          <w:bCs/>
          <w:b/>
        </w:rPr>
        <w:t xml:space="preserve">5</w:t>
      </w:r>
      <w:r>
        <w:t xml:space="preserve"> </w:t>
      </w:r>
      <w:r>
        <w:t xml:space="preserve">nie jest tak „grząska” jak</w:t>
      </w:r>
      <w:r>
        <w:t xml:space="preserve"> </w:t>
      </w:r>
      <w:r>
        <w:rPr>
          <w:bCs/>
          <w:b/>
        </w:rPr>
        <w:t xml:space="preserve">M</w:t>
      </w:r>
      <w:r>
        <w:rPr>
          <w:vertAlign w:val="superscript"/>
          <w:bCs/>
          <w:b/>
        </w:rPr>
        <w:t xml:space="preserve">6</w:t>
      </w:r>
      <w:r>
        <w:t xml:space="preserve">, lecz nie jest tak solidna jak</w:t>
      </w:r>
      <w:r>
        <w:t xml:space="preserve"> </w:t>
      </w:r>
      <w:r>
        <w:rPr>
          <w:bCs/>
          <w:b/>
        </w:rPr>
        <w:t xml:space="preserve">M</w:t>
      </w:r>
      <w:r>
        <w:rPr>
          <w:vertAlign w:val="superscript"/>
          <w:bCs/>
          <w:b/>
        </w:rPr>
        <w:t xml:space="preserve">7</w:t>
      </w:r>
      <w:r>
        <w:t xml:space="preserve">. Przyjmuję, że</w:t>
      </w:r>
      <w:r>
        <w:t xml:space="preserve"> </w:t>
      </w:r>
      <w:r>
        <w:rPr>
          <w:bCs/>
          <w:b/>
        </w:rPr>
        <w:t xml:space="preserve">M</w:t>
      </w:r>
      <w:r>
        <w:rPr>
          <w:vertAlign w:val="superscript"/>
          <w:bCs/>
          <w:b/>
        </w:rPr>
        <w:t xml:space="preserve">5</w:t>
      </w:r>
      <w:r>
        <w:t xml:space="preserve"> </w:t>
      </w:r>
      <w:r>
        <w:t xml:space="preserve">odzwierciedla wpływ łaciński. W każdym razie ustalenie jednego archetypu</w:t>
      </w:r>
      <w:r>
        <w:t xml:space="preserve"> </w:t>
      </w:r>
      <w:r>
        <w:rPr>
          <w:bCs/>
          <w:b/>
        </w:rPr>
        <w:t xml:space="preserve">M</w:t>
      </w:r>
      <w:r>
        <w:rPr>
          <w:vertAlign w:val="superscript"/>
          <w:bCs/>
          <w:b/>
        </w:rPr>
        <w:t xml:space="preserve">5</w:t>
      </w:r>
      <w:r>
        <w:t xml:space="preserve"> </w:t>
      </w:r>
      <w:r>
        <w:t xml:space="preserve">wydaje się zaledwie możliwe, a musi go mieć, aby być realnym kandydatem do oryginalnej formy Tekstu. Najwyraźniej forma oryginalna jest archetypem ostatecznym.</w:t>
      </w:r>
    </w:p>
    <w:bookmarkEnd w:id="352"/>
    <w:bookmarkStart w:id="353" w:name="X9c714fc0aede81bb278e92288a36ad6ad4dcb78"/>
    <w:p>
      <w:pPr>
        <w:pStyle w:val="Heading3"/>
      </w:pPr>
      <w:r>
        <w:t xml:space="preserve">Jednoznaczni przedstawiciele</w:t>
      </w:r>
      <w:r>
        <w:t xml:space="preserve"> </w:t>
      </w:r>
      <w:r>
        <w:rPr>
          <w:bCs/>
          <w:b/>
        </w:rPr>
        <w:t xml:space="preserve">M</w:t>
      </w:r>
      <w:r>
        <w:rPr>
          <w:vertAlign w:val="superscript"/>
          <w:bCs/>
          <w:b/>
        </w:rPr>
        <w:t xml:space="preserve">7</w:t>
      </w:r>
      <w:r>
        <w:t xml:space="preserve"> </w:t>
      </w:r>
      <w:r>
        <w:t xml:space="preserve">(</w:t>
      </w:r>
      <w:r>
        <w:rPr>
          <w:bCs/>
          <w:b/>
        </w:rPr>
        <w:t xml:space="preserve">f</w:t>
      </w:r>
      <w:r>
        <w:rPr>
          <w:vertAlign w:val="superscript"/>
          <w:bCs/>
          <w:b/>
        </w:rPr>
        <w:t xml:space="preserve">35</w:t>
      </w:r>
      <w:r>
        <w:t xml:space="preserve">) = 245 manuskryptów</w:t>
      </w:r>
    </w:p>
    <w:p>
      <w:pPr>
        <w:numPr>
          <w:ilvl w:val="0"/>
          <w:numId w:val="1035"/>
        </w:numPr>
      </w:pPr>
      <w:r>
        <w:rPr>
          <w:bCs/>
          <w:b/>
        </w:rPr>
        <w:t xml:space="preserve">Doskonała zgodność (główni przedstawiciele)</w:t>
      </w:r>
      <w:r>
        <w:t xml:space="preserve"> </w:t>
      </w:r>
      <w:r>
        <w:t xml:space="preserve">—</w:t>
      </w:r>
      <w:r>
        <w:t xml:space="preserve"> </w:t>
      </w:r>
      <w:r>
        <w:rPr>
          <w:bCs/>
          <w:b/>
        </w:rPr>
        <w:t xml:space="preserve">XI</w:t>
      </w:r>
      <w:r>
        <w:t xml:space="preserve">: 35, 83, 547, 1435;</w:t>
      </w:r>
      <w:r>
        <w:t xml:space="preserve"> </w:t>
      </w:r>
      <w:r>
        <w:rPr>
          <w:bCs/>
          <w:b/>
        </w:rPr>
        <w:t xml:space="preserve">XII</w:t>
      </w:r>
      <w:r>
        <w:t xml:space="preserve">: 510, 768, 1046, 1323, 1329, 1489, 1490, 2296, 2367, 2382;</w:t>
      </w:r>
      <w:r>
        <w:t xml:space="preserve"> </w:t>
      </w:r>
      <w:r>
        <w:rPr>
          <w:bCs/>
          <w:b/>
        </w:rPr>
        <w:t xml:space="preserve">XIII</w:t>
      </w:r>
      <w:r>
        <w:t xml:space="preserve">: 128, 141, 147, 154, 167, 170, 204, 361, 553, 676, 685, 696, 757, 825, 897, 1072, 1251, 1339, 1400, 1461, 1496, 1499, 1550, 1551, 1576, 1694, 2284, 2479, 2510;</w:t>
      </w:r>
      <w:r>
        <w:t xml:space="preserve"> </w:t>
      </w:r>
      <w:r>
        <w:rPr>
          <w:bCs/>
          <w:b/>
        </w:rPr>
        <w:t xml:space="preserve">XIV</w:t>
      </w:r>
      <w:r>
        <w:t xml:space="preserve">: 18, 55, 66, 201, 246, 363, 386, 402, 415, 480, 586, 645, 758, 763, 769, 781, 789, 797, 824, 845, 867, 928, 932, 938, 960, 986, 1023, 1075, 1092, 1111, 1117, 1119, 1133, 1146, 1189, 1236, 1328, 1390, 1482, 1488, 1492, 1493, 1548, 1560, 1572, 1584, 1600, 1619, 1620, 1628, 1633, 1637, 1650, 1659, 1667, 1688, 1698, 1703, 2261, 2355, 2407, 2454, 2503, 2765, 2767;</w:t>
      </w:r>
      <w:r>
        <w:t xml:space="preserve"> </w:t>
      </w:r>
      <w:r>
        <w:rPr>
          <w:bCs/>
          <w:b/>
        </w:rPr>
        <w:t xml:space="preserve">XV</w:t>
      </w:r>
      <w:r>
        <w:t xml:space="preserve">: 955, 958, 962, 1003, 1180, 1250, 1508, 1625, 1636, 1648, 1686, 1713, 2131, 2554;</w:t>
      </w:r>
      <w:r>
        <w:t xml:space="preserve"> </w:t>
      </w:r>
      <w:r>
        <w:rPr>
          <w:bCs/>
          <w:b/>
        </w:rPr>
        <w:t xml:space="preserve">XVI</w:t>
      </w:r>
      <w:r>
        <w:t xml:space="preserve">: 1596, 1652, 2496, 2636, 2806 = 127 manuskryptów.</w:t>
      </w:r>
    </w:p>
    <w:p>
      <w:pPr>
        <w:numPr>
          <w:ilvl w:val="0"/>
          <w:numId w:val="1035"/>
        </w:numPr>
      </w:pPr>
      <w:r>
        <w:rPr>
          <w:bCs/>
          <w:b/>
        </w:rPr>
        <w:t xml:space="preserve">Główna podgrupa: w 8,4 ma επαυτοφορω (jedyna zmiana)</w:t>
      </w:r>
      <w:r>
        <w:t xml:space="preserve"> </w:t>
      </w:r>
      <w:r>
        <w:t xml:space="preserve">—</w:t>
      </w:r>
      <w:r>
        <w:t xml:space="preserve"> </w:t>
      </w:r>
      <w:r>
        <w:rPr>
          <w:bCs/>
          <w:b/>
        </w:rPr>
        <w:t xml:space="preserve">XII</w:t>
      </w:r>
      <w:r>
        <w:t xml:space="preserve">: 660, 1145, 1224;</w:t>
      </w:r>
      <w:r>
        <w:t xml:space="preserve"> </w:t>
      </w:r>
      <w:r>
        <w:rPr>
          <w:bCs/>
          <w:b/>
        </w:rPr>
        <w:t xml:space="preserve">XIII</w:t>
      </w:r>
      <w:r>
        <w:t xml:space="preserve">: 479, 689, 691, 940, 1334, 1487, 1501, 1601, 2584, 2598;</w:t>
      </w:r>
      <w:r>
        <w:t xml:space="preserve"> </w:t>
      </w:r>
      <w:r>
        <w:rPr>
          <w:bCs/>
          <w:b/>
        </w:rPr>
        <w:t xml:space="preserve">XIV</w:t>
      </w:r>
      <w:r>
        <w:t xml:space="preserve">: 189, 290, 394, 521, 890, 959, 1025, 1165, 1234, 1445, 1462, 1476, 1543, 1559, 1614, 1618, 1622, 1634, 1657, 1658, 2309, 2399, 2466, 2621, 2689;</w:t>
      </w:r>
      <w:r>
        <w:t xml:space="preserve"> </w:t>
      </w:r>
      <w:r>
        <w:rPr>
          <w:bCs/>
          <w:b/>
        </w:rPr>
        <w:t xml:space="preserve">XV</w:t>
      </w:r>
      <w:r>
        <w:t xml:space="preserve">: 285, 961, 1017, 1059, 1132, 1158, 1247, 1649, 1656, 2204, 2221, 2352, 2692;</w:t>
      </w:r>
      <w:r>
        <w:t xml:space="preserve"> </w:t>
      </w:r>
      <w:r>
        <w:rPr>
          <w:bCs/>
          <w:b/>
        </w:rPr>
        <w:t xml:space="preserve">XVI</w:t>
      </w:r>
      <w:r>
        <w:t xml:space="preserve">: 1680, 1702, 2255;</w:t>
      </w:r>
      <w:r>
        <w:t xml:space="preserve"> </w:t>
      </w:r>
      <w:r>
        <w:rPr>
          <w:bCs/>
          <w:b/>
        </w:rPr>
        <w:t xml:space="preserve">XVII</w:t>
      </w:r>
      <w:r>
        <w:t xml:space="preserve">: 1700 = 55 manuskryptów.</w:t>
      </w:r>
    </w:p>
    <w:p>
      <w:pPr>
        <w:numPr>
          <w:ilvl w:val="0"/>
          <w:numId w:val="1035"/>
        </w:numPr>
      </w:pPr>
      <w:r>
        <w:rPr>
          <w:bCs/>
          <w:b/>
        </w:rPr>
        <w:t xml:space="preserve">Mniejsza podgrupa: w 8,9 ma κατεληφθη (jedyna zmiana)</w:t>
      </w:r>
      <w:r>
        <w:t xml:space="preserve"> </w:t>
      </w:r>
      <w:r>
        <w:t xml:space="preserve">—</w:t>
      </w:r>
      <w:r>
        <w:t xml:space="preserve"> </w:t>
      </w:r>
      <w:r>
        <w:rPr>
          <w:bCs/>
          <w:b/>
        </w:rPr>
        <w:t xml:space="preserve">XIII</w:t>
      </w:r>
      <w:r>
        <w:t xml:space="preserve">: 155, 2520;</w:t>
      </w:r>
      <w:r>
        <w:t xml:space="preserve"> </w:t>
      </w:r>
      <w:r>
        <w:rPr>
          <w:bCs/>
          <w:b/>
        </w:rPr>
        <w:t xml:space="preserve">XIV</w:t>
      </w:r>
      <w:r>
        <w:t xml:space="preserve">: 588, 1185;</w:t>
      </w:r>
      <w:r>
        <w:t xml:space="preserve"> </w:t>
      </w:r>
      <w:r>
        <w:rPr>
          <w:bCs/>
          <w:b/>
        </w:rPr>
        <w:t xml:space="preserve">XV</w:t>
      </w:r>
      <w:r>
        <w:t xml:space="preserve">: 1617;</w:t>
      </w:r>
      <w:r>
        <w:t xml:space="preserve"> </w:t>
      </w:r>
      <w:r>
        <w:rPr>
          <w:bCs/>
          <w:b/>
        </w:rPr>
        <w:t xml:space="preserve">XVI</w:t>
      </w:r>
      <w:r>
        <w:t xml:space="preserve">: 1088 = 6 manuskryptów.</w:t>
      </w:r>
    </w:p>
    <w:p>
      <w:pPr>
        <w:numPr>
          <w:ilvl w:val="0"/>
          <w:numId w:val="1035"/>
        </w:numPr>
      </w:pPr>
      <w:r>
        <w:rPr>
          <w:bCs/>
          <w:b/>
        </w:rPr>
        <w:t xml:space="preserve">Mniejsza podgrupa: w 8,7 ma τον λιθον βαλετω επ αυτην (jedyna zmiana)</w:t>
      </w:r>
      <w:r>
        <w:t xml:space="preserve"> </w:t>
      </w:r>
      <w:r>
        <w:t xml:space="preserve">—</w:t>
      </w:r>
      <w:r>
        <w:t xml:space="preserve"> </w:t>
      </w:r>
      <w:r>
        <w:rPr>
          <w:bCs/>
          <w:b/>
        </w:rPr>
        <w:t xml:space="preserve">XII</w:t>
      </w:r>
      <w:r>
        <w:t xml:space="preserve">: 1199;</w:t>
      </w:r>
      <w:r>
        <w:t xml:space="preserve"> </w:t>
      </w:r>
      <w:r>
        <w:rPr>
          <w:bCs/>
          <w:b/>
        </w:rPr>
        <w:t xml:space="preserve">XIV</w:t>
      </w:r>
      <w:r>
        <w:t xml:space="preserve">: 953, 1020, 1147;</w:t>
      </w:r>
      <w:r>
        <w:t xml:space="preserve"> </w:t>
      </w:r>
      <w:r>
        <w:rPr>
          <w:bCs/>
          <w:b/>
        </w:rPr>
        <w:t xml:space="preserve">XV</w:t>
      </w:r>
      <w:r>
        <w:t xml:space="preserve">: 1389 = 5 manuskryptów.</w:t>
      </w:r>
    </w:p>
    <w:p>
      <w:pPr>
        <w:numPr>
          <w:ilvl w:val="0"/>
          <w:numId w:val="1035"/>
        </w:numPr>
      </w:pPr>
      <w:r>
        <w:rPr>
          <w:bCs/>
          <w:b/>
        </w:rPr>
        <w:t xml:space="preserve">Inne manuskrypty z jedną zmianą</w:t>
      </w:r>
      <w:r>
        <w:t xml:space="preserve"> </w:t>
      </w:r>
      <w:r>
        <w:t xml:space="preserve">—</w:t>
      </w:r>
      <w:r>
        <w:t xml:space="preserve"> </w:t>
      </w:r>
      <w:r>
        <w:rPr>
          <w:bCs/>
          <w:b/>
        </w:rPr>
        <w:t xml:space="preserve">XII</w:t>
      </w:r>
      <w:r>
        <w:t xml:space="preserve">: 520, 1401, 2122, 2322;</w:t>
      </w:r>
      <w:r>
        <w:t xml:space="preserve"> </w:t>
      </w:r>
      <w:r>
        <w:rPr>
          <w:bCs/>
          <w:b/>
        </w:rPr>
        <w:t xml:space="preserve">XIII</w:t>
      </w:r>
      <w:r>
        <w:t xml:space="preserve">: 2647;</w:t>
      </w:r>
      <w:r>
        <w:t xml:space="preserve"> </w:t>
      </w:r>
      <w:r>
        <w:rPr>
          <w:bCs/>
          <w:b/>
        </w:rPr>
        <w:t xml:space="preserve">XIV</w:t>
      </w:r>
      <w:r>
        <w:t xml:space="preserve">: 1095, 1503, 2273, 2508;</w:t>
      </w:r>
      <w:r>
        <w:t xml:space="preserve"> </w:t>
      </w:r>
      <w:r>
        <w:rPr>
          <w:bCs/>
          <w:b/>
        </w:rPr>
        <w:t xml:space="preserve">XV</w:t>
      </w:r>
      <w:r>
        <w:t xml:space="preserve">: 575, 2673;</w:t>
      </w:r>
      <w:r>
        <w:t xml:space="preserve"> </w:t>
      </w:r>
      <w:r>
        <w:rPr>
          <w:bCs/>
          <w:b/>
        </w:rPr>
        <w:t xml:space="preserve">XVI</w:t>
      </w:r>
      <w:r>
        <w:t xml:space="preserve">: 1030;</w:t>
      </w:r>
      <w:r>
        <w:t xml:space="preserve"> </w:t>
      </w:r>
      <w:r>
        <w:rPr>
          <w:bCs/>
          <w:b/>
        </w:rPr>
        <w:t xml:space="preserve">XVII</w:t>
      </w:r>
      <w:r>
        <w:t xml:space="preserve">: 2136, 2137, 2497 = 15 manuskryptów.</w:t>
      </w:r>
    </w:p>
    <w:p>
      <w:pPr>
        <w:pStyle w:val="FirstParagraph"/>
      </w:pPr>
      <w:r>
        <w:rPr>
          <w:bCs/>
          <w:b/>
        </w:rPr>
        <w:t xml:space="preserve">+2) Manuskrypty z dwiema zmianami</w:t>
      </w:r>
      <w:r>
        <w:t xml:space="preserve">:</w:t>
      </w:r>
    </w:p>
    <w:p>
      <w:pPr>
        <w:numPr>
          <w:ilvl w:val="0"/>
          <w:numId w:val="1036"/>
        </w:numPr>
        <w:pStyle w:val="Compact"/>
      </w:pPr>
    </w:p>
    <w:p>
      <w:pPr>
        <w:numPr>
          <w:ilvl w:val="1"/>
          <w:numId w:val="1037"/>
        </w:numPr>
        <w:pStyle w:val="Compact"/>
      </w:pPr>
    </w:p>
    <w:p>
      <w:pPr>
        <w:numPr>
          <w:ilvl w:val="2"/>
          <w:numId w:val="1038"/>
        </w:numPr>
        <w:pStyle w:val="Compact"/>
      </w:pPr>
    </w:p>
    <w:p>
      <w:pPr>
        <w:numPr>
          <w:ilvl w:val="3"/>
          <w:numId w:val="1039"/>
        </w:numPr>
        <w:pStyle w:val="Compact"/>
      </w:pPr>
      <w:r>
        <w:t xml:space="preserve">—</w:t>
      </w:r>
      <w:r>
        <w:t xml:space="preserve"> </w:t>
      </w:r>
      <w:r>
        <w:rPr>
          <w:bCs/>
          <w:b/>
        </w:rPr>
        <w:t xml:space="preserve">XII</w:t>
      </w:r>
      <w:r>
        <w:t xml:space="preserve">: 1453, 2559;</w:t>
      </w:r>
      <w:r>
        <w:t xml:space="preserve"> </w:t>
      </w:r>
      <w:r>
        <w:rPr>
          <w:bCs/>
          <w:b/>
        </w:rPr>
        <w:t xml:space="preserve">XV</w:t>
      </w:r>
      <w:r>
        <w:t xml:space="preserve">: 1131;</w:t>
      </w:r>
      <w:r>
        <w:t xml:space="preserve"> </w:t>
      </w:r>
      <w:r>
        <w:rPr>
          <w:bCs/>
          <w:b/>
        </w:rPr>
        <w:t xml:space="preserve">XVIII</w:t>
      </w:r>
      <w:r>
        <w:t xml:space="preserve">: 1325</w:t>
      </w:r>
    </w:p>
    <w:p>
      <w:pPr>
        <w:numPr>
          <w:ilvl w:val="0"/>
          <w:numId w:val="1036"/>
        </w:numPr>
        <w:pStyle w:val="Compact"/>
      </w:pPr>
    </w:p>
    <w:p>
      <w:pPr>
        <w:numPr>
          <w:ilvl w:val="1"/>
          <w:numId w:val="1040"/>
        </w:numPr>
        <w:pStyle w:val="Compact"/>
      </w:pPr>
    </w:p>
    <w:p>
      <w:pPr>
        <w:numPr>
          <w:ilvl w:val="2"/>
          <w:numId w:val="1041"/>
        </w:numPr>
        <w:pStyle w:val="Compact"/>
      </w:pPr>
    </w:p>
    <w:p>
      <w:pPr>
        <w:numPr>
          <w:ilvl w:val="3"/>
          <w:numId w:val="1042"/>
        </w:numPr>
        <w:pStyle w:val="Compact"/>
      </w:pPr>
      <w:r>
        <w:t xml:space="preserve">—</w:t>
      </w:r>
      <w:r>
        <w:t xml:space="preserve"> </w:t>
      </w:r>
      <w:r>
        <w:rPr>
          <w:bCs/>
          <w:b/>
        </w:rPr>
        <w:t xml:space="preserve">XII</w:t>
      </w:r>
      <w:r>
        <w:t xml:space="preserve">: 387, 1813;</w:t>
      </w:r>
      <w:r>
        <w:t xml:space="preserve"> </w:t>
      </w:r>
      <w:r>
        <w:rPr>
          <w:bCs/>
          <w:b/>
        </w:rPr>
        <w:t xml:space="preserve">XIII</w:t>
      </w:r>
      <w:r>
        <w:t xml:space="preserve">: 1552</w:t>
      </w:r>
    </w:p>
    <w:p>
      <w:pPr>
        <w:numPr>
          <w:ilvl w:val="0"/>
          <w:numId w:val="1036"/>
        </w:numPr>
        <w:pStyle w:val="Compact"/>
      </w:pPr>
    </w:p>
    <w:p>
      <w:pPr>
        <w:numPr>
          <w:ilvl w:val="1"/>
          <w:numId w:val="1043"/>
        </w:numPr>
        <w:pStyle w:val="Compact"/>
      </w:pPr>
    </w:p>
    <w:p>
      <w:pPr>
        <w:numPr>
          <w:ilvl w:val="2"/>
          <w:numId w:val="1044"/>
        </w:numPr>
        <w:pStyle w:val="Compact"/>
      </w:pPr>
    </w:p>
    <w:p>
      <w:pPr>
        <w:numPr>
          <w:ilvl w:val="3"/>
          <w:numId w:val="1045"/>
        </w:numPr>
        <w:pStyle w:val="Compact"/>
      </w:pPr>
      <w:r>
        <w:t xml:space="preserve">—</w:t>
      </w:r>
      <w:r>
        <w:t xml:space="preserve"> </w:t>
      </w:r>
      <w:r>
        <w:rPr>
          <w:bCs/>
          <w:b/>
        </w:rPr>
        <w:t xml:space="preserve">XII</w:t>
      </w:r>
      <w:r>
        <w:t xml:space="preserve">: 2260;</w:t>
      </w:r>
      <w:r>
        <w:t xml:space="preserve"> </w:t>
      </w:r>
      <w:r>
        <w:rPr>
          <w:bCs/>
          <w:b/>
        </w:rPr>
        <w:t xml:space="preserve">XIV</w:t>
      </w:r>
      <w:r>
        <w:t xml:space="preserve">: 1599, 1638, 1544</w:t>
      </w:r>
    </w:p>
    <w:p>
      <w:pPr>
        <w:numPr>
          <w:ilvl w:val="0"/>
          <w:numId w:val="1036"/>
        </w:numPr>
        <w:pStyle w:val="Compact"/>
      </w:pPr>
    </w:p>
    <w:p>
      <w:pPr>
        <w:numPr>
          <w:ilvl w:val="1"/>
          <w:numId w:val="1046"/>
        </w:numPr>
        <w:pStyle w:val="Compact"/>
      </w:pPr>
    </w:p>
    <w:p>
      <w:pPr>
        <w:numPr>
          <w:ilvl w:val="2"/>
          <w:numId w:val="1047"/>
        </w:numPr>
        <w:pStyle w:val="Compact"/>
      </w:pPr>
      <w:r>
        <w:t xml:space="preserve">nietypowy —</w:t>
      </w:r>
      <w:r>
        <w:t xml:space="preserve"> </w:t>
      </w:r>
      <w:r>
        <w:rPr>
          <w:bCs/>
          <w:b/>
        </w:rPr>
        <w:t xml:space="preserve">X</w:t>
      </w:r>
      <w:r>
        <w:t xml:space="preserve">: 1166;</w:t>
      </w:r>
      <w:r>
        <w:t xml:space="preserve"> </w:t>
      </w:r>
      <w:r>
        <w:rPr>
          <w:bCs/>
          <w:b/>
        </w:rPr>
        <w:t xml:space="preserve">XIV</w:t>
      </w:r>
      <w:r>
        <w:t xml:space="preserve">: 952, 978, 1062;</w:t>
      </w:r>
      <w:r>
        <w:t xml:space="preserve"> </w:t>
      </w:r>
      <w:r>
        <w:rPr>
          <w:bCs/>
          <w:b/>
        </w:rPr>
        <w:t xml:space="preserve">XVI</w:t>
      </w:r>
      <w:r>
        <w:t xml:space="preserve">: 1591, 2714</w:t>
      </w:r>
    </w:p>
    <w:p>
      <w:pPr>
        <w:numPr>
          <w:ilvl w:val="0"/>
          <w:numId w:val="1036"/>
        </w:numPr>
        <w:pStyle w:val="Compact"/>
      </w:pPr>
    </w:p>
    <w:p>
      <w:pPr>
        <w:numPr>
          <w:ilvl w:val="1"/>
          <w:numId w:val="1048"/>
        </w:numPr>
        <w:pStyle w:val="Compact"/>
      </w:pPr>
    </w:p>
    <w:p>
      <w:pPr>
        <w:numPr>
          <w:ilvl w:val="2"/>
          <w:numId w:val="1049"/>
        </w:numPr>
        <w:pStyle w:val="Compact"/>
      </w:pPr>
    </w:p>
    <w:p>
      <w:pPr>
        <w:numPr>
          <w:ilvl w:val="3"/>
          <w:numId w:val="1050"/>
        </w:numPr>
        <w:pStyle w:val="Compact"/>
      </w:pPr>
      <w:r>
        <w:t xml:space="preserve">—</w:t>
      </w:r>
      <w:r>
        <w:t xml:space="preserve"> </w:t>
      </w:r>
      <w:r>
        <w:rPr>
          <w:bCs/>
          <w:b/>
        </w:rPr>
        <w:t xml:space="preserve">XIII</w:t>
      </w:r>
      <w:r>
        <w:t xml:space="preserve">: 1477, 1497;</w:t>
      </w:r>
      <w:r>
        <w:t xml:space="preserve"> </w:t>
      </w:r>
      <w:r>
        <w:rPr>
          <w:bCs/>
          <w:b/>
        </w:rPr>
        <w:t xml:space="preserve">XIV</w:t>
      </w:r>
      <w:r>
        <w:t xml:space="preserve">: 1181, 1248;</w:t>
      </w:r>
      <w:r>
        <w:t xml:space="preserve"> </w:t>
      </w:r>
      <w:r>
        <w:rPr>
          <w:bCs/>
          <w:b/>
        </w:rPr>
        <w:t xml:space="preserve">XVI</w:t>
      </w:r>
      <w:r>
        <w:t xml:space="preserve">: 2635</w:t>
      </w:r>
    </w:p>
    <w:p>
      <w:pPr>
        <w:numPr>
          <w:ilvl w:val="0"/>
          <w:numId w:val="1036"/>
        </w:numPr>
        <w:pStyle w:val="Compact"/>
      </w:pPr>
    </w:p>
    <w:p>
      <w:pPr>
        <w:numPr>
          <w:ilvl w:val="1"/>
          <w:numId w:val="1051"/>
        </w:numPr>
        <w:pStyle w:val="Compact"/>
      </w:pPr>
      <w:r>
        <w:t xml:space="preserve">2 nietypowe —</w:t>
      </w:r>
      <w:r>
        <w:t xml:space="preserve"> </w:t>
      </w:r>
      <w:r>
        <w:rPr>
          <w:bCs/>
          <w:b/>
        </w:rPr>
        <w:t xml:space="preserve">XI</w:t>
      </w:r>
      <w:r>
        <w:t xml:space="preserve">: 1314, 1384;</w:t>
      </w:r>
      <w:r>
        <w:t xml:space="preserve"> </w:t>
      </w:r>
      <w:r>
        <w:rPr>
          <w:bCs/>
          <w:b/>
        </w:rPr>
        <w:t xml:space="preserve">XIV</w:t>
      </w:r>
      <w:r>
        <w:t xml:space="preserve">: 2265;</w:t>
      </w:r>
      <w:r>
        <w:t xml:space="preserve"> </w:t>
      </w:r>
      <w:r>
        <w:rPr>
          <w:bCs/>
          <w:b/>
        </w:rPr>
        <w:t xml:space="preserve">XV</w:t>
      </w:r>
      <w:r>
        <w:t xml:space="preserve">: 1116, 1348</w:t>
      </w:r>
    </w:p>
    <w:p>
      <w:pPr>
        <w:pStyle w:val="FirstParagraph"/>
      </w:pPr>
      <w:r>
        <w:t xml:space="preserve">= 27 manuskryptów.</w:t>
      </w:r>
    </w:p>
    <w:p>
      <w:pPr>
        <w:pStyle w:val="BodyText"/>
      </w:pPr>
      <w:r>
        <w:rPr>
          <w:bCs/>
          <w:b/>
        </w:rPr>
        <w:t xml:space="preserve">+3) Manuskrypty z trzema zmianami</w:t>
      </w:r>
      <w:r>
        <w:t xml:space="preserve">:</w:t>
      </w:r>
    </w:p>
    <w:p>
      <w:pPr>
        <w:numPr>
          <w:ilvl w:val="0"/>
          <w:numId w:val="1052"/>
        </w:numPr>
        <w:pStyle w:val="Compact"/>
      </w:pPr>
    </w:p>
    <w:p>
      <w:pPr>
        <w:numPr>
          <w:ilvl w:val="1"/>
          <w:numId w:val="1053"/>
        </w:numPr>
        <w:pStyle w:val="Compact"/>
      </w:pPr>
    </w:p>
    <w:p>
      <w:pPr>
        <w:numPr>
          <w:ilvl w:val="2"/>
          <w:numId w:val="1054"/>
        </w:numPr>
        <w:pStyle w:val="Compact"/>
      </w:pPr>
    </w:p>
    <w:p>
      <w:pPr>
        <w:numPr>
          <w:ilvl w:val="3"/>
          <w:numId w:val="1055"/>
        </w:numPr>
        <w:pStyle w:val="Compact"/>
      </w:pPr>
    </w:p>
    <w:p>
      <w:pPr>
        <w:numPr>
          <w:ilvl w:val="4"/>
          <w:numId w:val="1056"/>
        </w:numPr>
        <w:pStyle w:val="Compact"/>
      </w:pPr>
      <w:r>
        <w:t xml:space="preserve">nietypowy —</w:t>
      </w:r>
      <w:r>
        <w:t xml:space="preserve"> </w:t>
      </w:r>
      <w:r>
        <w:rPr>
          <w:bCs/>
          <w:b/>
        </w:rPr>
        <w:t xml:space="preserve">XII</w:t>
      </w:r>
      <w:r>
        <w:t xml:space="preserve">: 105;</w:t>
      </w:r>
      <w:r>
        <w:t xml:space="preserve"> </w:t>
      </w:r>
      <w:r>
        <w:rPr>
          <w:bCs/>
          <w:b/>
        </w:rPr>
        <w:t xml:space="preserve">XVI</w:t>
      </w:r>
      <w:r>
        <w:t xml:space="preserve">: 2715</w:t>
      </w:r>
    </w:p>
    <w:p>
      <w:pPr>
        <w:numPr>
          <w:ilvl w:val="0"/>
          <w:numId w:val="1052"/>
        </w:numPr>
        <w:pStyle w:val="Compact"/>
      </w:pPr>
    </w:p>
    <w:p>
      <w:pPr>
        <w:numPr>
          <w:ilvl w:val="1"/>
          <w:numId w:val="1057"/>
        </w:numPr>
        <w:pStyle w:val="Compact"/>
      </w:pPr>
    </w:p>
    <w:p>
      <w:pPr>
        <w:numPr>
          <w:ilvl w:val="2"/>
          <w:numId w:val="1058"/>
        </w:numPr>
        <w:pStyle w:val="Compact"/>
      </w:pPr>
    </w:p>
    <w:p>
      <w:pPr>
        <w:numPr>
          <w:ilvl w:val="3"/>
          <w:numId w:val="1059"/>
        </w:numPr>
        <w:pStyle w:val="Compact"/>
      </w:pPr>
    </w:p>
    <w:p>
      <w:pPr>
        <w:numPr>
          <w:ilvl w:val="4"/>
          <w:numId w:val="1060"/>
        </w:numPr>
        <w:pStyle w:val="Compact"/>
      </w:pPr>
    </w:p>
    <w:p>
      <w:pPr>
        <w:numPr>
          <w:ilvl w:val="5"/>
          <w:numId w:val="1061"/>
        </w:numPr>
        <w:pStyle w:val="Compact"/>
      </w:pPr>
      <w:r>
        <w:t xml:space="preserve">—</w:t>
      </w:r>
      <w:r>
        <w:t xml:space="preserve"> </w:t>
      </w:r>
      <w:r>
        <w:rPr>
          <w:bCs/>
          <w:b/>
        </w:rPr>
        <w:t xml:space="preserve">XIV</w:t>
      </w:r>
      <w:r>
        <w:t xml:space="preserve">: 806</w:t>
      </w:r>
    </w:p>
    <w:p>
      <w:pPr>
        <w:numPr>
          <w:ilvl w:val="0"/>
          <w:numId w:val="1052"/>
        </w:numPr>
        <w:pStyle w:val="Compact"/>
      </w:pPr>
    </w:p>
    <w:p>
      <w:pPr>
        <w:numPr>
          <w:ilvl w:val="1"/>
          <w:numId w:val="1062"/>
        </w:numPr>
        <w:pStyle w:val="Compact"/>
      </w:pPr>
    </w:p>
    <w:p>
      <w:pPr>
        <w:numPr>
          <w:ilvl w:val="2"/>
          <w:numId w:val="1063"/>
        </w:numPr>
        <w:pStyle w:val="Compact"/>
      </w:pPr>
    </w:p>
    <w:p>
      <w:pPr>
        <w:numPr>
          <w:ilvl w:val="3"/>
          <w:numId w:val="1064"/>
        </w:numPr>
        <w:pStyle w:val="Compact"/>
      </w:pPr>
    </w:p>
    <w:p>
      <w:pPr>
        <w:numPr>
          <w:ilvl w:val="4"/>
          <w:numId w:val="1065"/>
        </w:numPr>
        <w:pStyle w:val="Compact"/>
      </w:pPr>
      <w:r>
        <w:t xml:space="preserve">nietypowy —</w:t>
      </w:r>
      <w:r>
        <w:t xml:space="preserve"> </w:t>
      </w:r>
      <w:r>
        <w:rPr>
          <w:bCs/>
          <w:b/>
        </w:rPr>
        <w:t xml:space="preserve">XII</w:t>
      </w:r>
      <w:r>
        <w:t xml:space="preserve">: 353;</w:t>
      </w:r>
      <w:r>
        <w:t xml:space="preserve"> </w:t>
      </w:r>
      <w:r>
        <w:rPr>
          <w:bCs/>
          <w:b/>
        </w:rPr>
        <w:t xml:space="preserve">XIII</w:t>
      </w:r>
      <w:r>
        <w:t xml:space="preserve">: 966</w:t>
      </w:r>
    </w:p>
    <w:p>
      <w:pPr>
        <w:numPr>
          <w:ilvl w:val="0"/>
          <w:numId w:val="1052"/>
        </w:numPr>
        <w:pStyle w:val="Compact"/>
      </w:pPr>
    </w:p>
    <w:p>
      <w:pPr>
        <w:numPr>
          <w:ilvl w:val="1"/>
          <w:numId w:val="1066"/>
        </w:numPr>
        <w:pStyle w:val="Compact"/>
      </w:pPr>
    </w:p>
    <w:p>
      <w:pPr>
        <w:numPr>
          <w:ilvl w:val="2"/>
          <w:numId w:val="1067"/>
        </w:numPr>
        <w:pStyle w:val="Compact"/>
      </w:pPr>
    </w:p>
    <w:p>
      <w:pPr>
        <w:numPr>
          <w:ilvl w:val="3"/>
          <w:numId w:val="1068"/>
        </w:numPr>
        <w:pStyle w:val="Compact"/>
      </w:pPr>
    </w:p>
    <w:p>
      <w:pPr>
        <w:numPr>
          <w:ilvl w:val="4"/>
          <w:numId w:val="1069"/>
        </w:numPr>
        <w:pStyle w:val="Compact"/>
      </w:pPr>
      <w:r>
        <w:t xml:space="preserve">nietypowy —</w:t>
      </w:r>
      <w:r>
        <w:t xml:space="preserve"> </w:t>
      </w:r>
      <w:r>
        <w:rPr>
          <w:bCs/>
          <w:b/>
        </w:rPr>
        <w:t xml:space="preserve">XV</w:t>
      </w:r>
      <w:r>
        <w:t xml:space="preserve">: 664</w:t>
      </w:r>
    </w:p>
    <w:p>
      <w:pPr>
        <w:numPr>
          <w:ilvl w:val="0"/>
          <w:numId w:val="1052"/>
        </w:numPr>
        <w:pStyle w:val="Compact"/>
      </w:pPr>
    </w:p>
    <w:p>
      <w:pPr>
        <w:numPr>
          <w:ilvl w:val="1"/>
          <w:numId w:val="1070"/>
        </w:numPr>
        <w:pStyle w:val="Compact"/>
      </w:pPr>
    </w:p>
    <w:p>
      <w:pPr>
        <w:numPr>
          <w:ilvl w:val="2"/>
          <w:numId w:val="1071"/>
        </w:numPr>
        <w:pStyle w:val="Compact"/>
      </w:pPr>
      <w:r>
        <w:t xml:space="preserve">2 nietypowe —</w:t>
      </w:r>
      <w:r>
        <w:t xml:space="preserve"> </w:t>
      </w:r>
      <w:r>
        <w:rPr>
          <w:bCs/>
          <w:b/>
        </w:rPr>
        <w:t xml:space="preserve">XII</w:t>
      </w:r>
      <w:r>
        <w:t xml:space="preserve">: 2632;</w:t>
      </w:r>
      <w:r>
        <w:t xml:space="preserve"> </w:t>
      </w:r>
      <w:r>
        <w:rPr>
          <w:bCs/>
          <w:b/>
        </w:rPr>
        <w:t xml:space="preserve">XV</w:t>
      </w:r>
      <w:r>
        <w:t xml:space="preserve">: 56;</w:t>
      </w:r>
      <w:r>
        <w:t xml:space="preserve"> </w:t>
      </w:r>
      <w:r>
        <w:rPr>
          <w:bCs/>
          <w:b/>
        </w:rPr>
        <w:t xml:space="preserve">XVI</w:t>
      </w:r>
      <w:r>
        <w:t xml:space="preserve">: 61</w:t>
      </w:r>
    </w:p>
    <w:p>
      <w:pPr>
        <w:numPr>
          <w:ilvl w:val="0"/>
          <w:numId w:val="1052"/>
        </w:numPr>
        <w:pStyle w:val="Compact"/>
      </w:pPr>
    </w:p>
    <w:p>
      <w:pPr>
        <w:numPr>
          <w:ilvl w:val="1"/>
          <w:numId w:val="1072"/>
        </w:numPr>
        <w:pStyle w:val="Compact"/>
      </w:pPr>
      <w:r>
        <w:t xml:space="preserve">3 nietypowe —</w:t>
      </w:r>
      <w:r>
        <w:t xml:space="preserve"> </w:t>
      </w:r>
      <w:r>
        <w:rPr>
          <w:bCs/>
          <w:b/>
        </w:rPr>
        <w:t xml:space="preserve">XV</w:t>
      </w:r>
      <w:r>
        <w:t xml:space="preserve">: 58</w:t>
      </w:r>
    </w:p>
    <w:p>
      <w:pPr>
        <w:pStyle w:val="FirstParagraph"/>
      </w:pPr>
      <w:r>
        <w:t xml:space="preserve">= 10 manuskryptów.</w:t>
      </w:r>
    </w:p>
    <w:p>
      <w:pPr>
        <w:pStyle w:val="BodyText"/>
      </w:pPr>
      <w:r>
        <w:rPr>
          <w:bCs/>
          <w:b/>
        </w:rPr>
        <w:t xml:space="preserve">Komentarz</w:t>
      </w:r>
      <w:r>
        <w:t xml:space="preserve">: b) i c) różnią się od a) jedynie podobnie brzmiącą samogłoską, natomiast warianty 8 i 14 obejmują jedną literę. Istnieje mała podgrupa (o rozmytych krawędziach) oparta na wariantach 17, 20 i 29. Istnieje większa, bardziej rozmyta grupa, której swego rodzaju podstawę tworzą warianty 1, 16, 17, 28 i 29, z 9 i 19 na obrzeżach, a następnie dalszym zróżnicowaniem. Istnieje 40-50 manuskryptów, w których do podstawy</w:t>
      </w:r>
      <w:r>
        <w:t xml:space="preserve"> </w:t>
      </w:r>
      <w:r>
        <w:rPr>
          <w:bCs/>
          <w:b/>
        </w:rPr>
        <w:t xml:space="preserve">M</w:t>
      </w:r>
      <w:r>
        <w:rPr>
          <w:vertAlign w:val="superscript"/>
          <w:bCs/>
          <w:b/>
        </w:rPr>
        <w:t xml:space="preserve">7</w:t>
      </w:r>
      <w:r>
        <w:t xml:space="preserve"> </w:t>
      </w:r>
      <w:r>
        <w:t xml:space="preserve">dodano różne ilości domieszki (dodając je do jednoznacznych i dzieląc przez 1650, otrzymujemy około 18%). W rzeczywistości uważam, że</w:t>
      </w:r>
      <w:r>
        <w:t xml:space="preserve"> </w:t>
      </w:r>
      <w:r>
        <w:rPr>
          <w:bCs/>
          <w:b/>
        </w:rPr>
        <w:t xml:space="preserve">M</w:t>
      </w:r>
      <w:r>
        <w:rPr>
          <w:vertAlign w:val="superscript"/>
          <w:bCs/>
          <w:b/>
        </w:rPr>
        <w:t xml:space="preserve">7</w:t>
      </w:r>
      <w:r>
        <w:t xml:space="preserve"> </w:t>
      </w:r>
      <w:r>
        <w:t xml:space="preserve">była podstawą, od której odeszli twórcy</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(oraz wszystkich innych grup).</w:t>
      </w:r>
    </w:p>
    <w:p>
      <w:pPr>
        <w:pStyle w:val="BodyText"/>
      </w:pPr>
      <w:r>
        <w:rPr>
          <w:bCs/>
          <w:b/>
        </w:rPr>
        <w:t xml:space="preserve">Komentarz interpretacyjny</w:t>
      </w:r>
      <w:r>
        <w:t xml:space="preserve">: Postępujące „oczyszczanie” strumienia przekazu na przestrzeni stuleci (z perspektywy pierwszeństwa tekstu bizantyjskiego) było uznawane przez wszystkich i każdego, a ich próby wyjaśnienia tego zjawiska zazwyczaj odzwierciedlały ich założenia wstępne. Z mojego punktu widzenia oczywiste wyjaśnienie jest następujące: wszystkie obozy uznają, że najcięższe ataki na czystość Tekstu miały miejsce w II wieku. Jednak „serce Kościoła”, obszar egejski, zdecydowanie najlepiej pod każdym względem przygotowany do czuwania nad wiernym przekazem, po prostu odmawiało kopiowania form aberracyjnych. Manuskryptów zawierających takie formy nie używano (ani nie kopiowano), dlatego wiele z nich przetrwało fizycznie ponad tysiąclecie. Mniej złych form używano (kopie były trudno dostępne), lecz stopniowo przestawano je kopiować. Dlatego zachowane uncjały z IX wieku są dostateczne, w ponad 80% bizantyjskie, lecz nie dość dobre, by je kopiować i ponownie wykorzystywać (gdy lepsze manuskrypty przekształcano w formę minuskułową). Aż do pojawienia się tekstu drukowanego manuskrypty sporządzano po to, by ich używać. Stopniowo używano tylko najlepszych, które wskutek tego zużywano i kopiowano. Proces ten osiągnął kulminację w XIV wieku, gdy osmański cień posuwał się nad Azją Mniejszą, lecz Cesarstwo Bizantyjskie nadal istniało.</w:t>
      </w:r>
    </w:p>
    <w:p>
      <w:pPr>
        <w:pStyle w:val="BodyText"/>
      </w:pPr>
      <w:r>
        <w:t xml:space="preserve">Proszę zauważyć słowa „z perspektywy pierwszeństwa tekstu bizantyjskiego”.</w:t>
      </w:r>
      <w:r>
        <w:t xml:space="preserve"> </w:t>
      </w:r>
      <w:r>
        <w:rPr>
          <w:bCs/>
          <w:b/>
        </w:rPr>
        <w:t xml:space="preserve">Rodzinę 35 wiernie kopiowano od początku do końca</w:t>
      </w:r>
      <w:r>
        <w:t xml:space="preserve">. Dla siedemnastu ksiąg sam mam jedną doskonałą kopię sporządzoną w XV wieku (oprócz rozmaitych kopii doskonałych dla jednej lub większej liczby ksiąg, z XIV, XIII, XII i XI wieku). Aby kopia sporządzona w XV wieku była doskonała, wszyscy jej „przodkowie”</w:t>
      </w:r>
      <w:r>
        <w:t xml:space="preserve"> </w:t>
      </w:r>
      <w:r>
        <w:rPr>
          <w:u w:val="single"/>
        </w:rPr>
        <w:t xml:space="preserve">również musieli być doskonali. Proszę zauważyć, że doskonała kopia czyni wszystkie</w:t>
      </w:r>
      <w:r>
        <w:t xml:space="preserve"> </w:t>
      </w:r>
      <w:r>
        <w:t xml:space="preserve">„kanony” krytyki tekstu nieistotnymi dla każdego punktu późniejszego od powstania archetypu. Jak jednak możemy wiedzieć, że dana kopia jest „doskonała”? Profil archetypalny można ustalić empirycznie przez porównanie wszystkich zachowanych przedstawicieli rodziny (odnoszę się wyłącznie do</w:t>
      </w:r>
      <w:r>
        <w:t xml:space="preserve"> </w:t>
      </w:r>
      <w:r>
        <w:rPr>
          <w:bCs/>
          <w:b/>
        </w:rPr>
        <w:t xml:space="preserve">f</w:t>
      </w:r>
      <w:r>
        <w:rPr>
          <w:vertAlign w:val="superscript"/>
          <w:bCs/>
          <w:b/>
        </w:rPr>
        <w:t xml:space="preserve">35</w:t>
      </w:r>
      <w:r>
        <w:t xml:space="preserve">). Kopia, która doskonale odpowiada archetypowi, jest z konieczności kopią doskonałą. Doskonałe kopie mówią nam jednak coś ważnego o postawie kopistów. To, że wykonywali pracę z taką starannością, przypuszczalnie wskazuje przynajmniej na szacunek, jeśli nie cześć dla tego, co kopiowali — wierzyli, że kopiują Słowo Boże.</w:t>
      </w:r>
      <w:r>
        <w:t xml:space="preserve"> </w:t>
      </w:r>
      <w:r>
        <w:rPr>
          <w:bCs/>
          <w:b/>
        </w:rPr>
        <w:t xml:space="preserve">Ponieważ manuskrypty wszystkich innych linii przekazu kopiowano z mniejszą starannością, kopiści przypuszczalnie dokonywali w swoich umysłach rozróżnienia, najwyraźniej uważając f</w:t>
      </w:r>
      <w:r>
        <w:rPr>
          <w:vertAlign w:val="superscript"/>
          <w:bCs/>
          <w:b/>
        </w:rPr>
        <w:t xml:space="preserve">35</w:t>
      </w:r>
      <w:r>
        <w:rPr>
          <w:bCs/>
          <w:b/>
        </w:rPr>
        <w:t xml:space="preserve"> </w:t>
      </w:r>
      <w:r>
        <w:rPr>
          <w:bCs/>
          <w:b/>
        </w:rPr>
        <w:t xml:space="preserve">za najlepszą linię.</w:t>
      </w:r>
    </w:p>
    <w:bookmarkEnd w:id="353"/>
    <w:bookmarkEnd w:id="354"/>
    <w:bookmarkStart w:id="377" w:name="kiedy-mamy-do-czynienia-z-recenzją"/>
    <w:p>
      <w:pPr>
        <w:pStyle w:val="Heading2"/>
      </w:pPr>
      <w:r>
        <w:t xml:space="preserve">Kiedy mamy do czynienia z „recenzją”?</w:t>
      </w:r>
    </w:p>
    <w:p>
      <w:pPr>
        <w:pStyle w:val="FirstParagraph"/>
      </w:pPr>
      <w:r>
        <w:t xml:space="preserve">„Tekst syryjski musi być w istocie wynikiem «recenzji» we właściwym znaczeniu tego słowa, dziełem zamierzonej krytyki, przeprowadzonej celowo przez redaktorów, a nie jedynie przez skrybów”.</w:t>
      </w:r>
      <w:r>
        <w:rPr>
          <w:rStyle w:val="FootnoteReference"/>
        </w:rPr>
        <w:footnoteReference w:id="355"/>
      </w:r>
      <w:r>
        <w:t xml:space="preserve"> </w:t>
      </w:r>
      <w:r>
        <w:t xml:space="preserve">Nie mam zwyczaju odwoływać się do Fentona Johna Anthony’ego Horta, lecz jego rozumienie „recenzji” jest przypuszczalnie poprawne. Recenzję tworzy określona osoba (lub grupa) w określonym czasie i miejscu. Jeśli ktoś chce postulować lub twierdzić, że dokonano recenzji, i robić to odpowiedzialnie, musi wskazać źródło oraz przedstawić pewne dowody.</w:t>
      </w:r>
      <w:r>
        <w:rPr>
          <w:rStyle w:val="FootnoteReference"/>
        </w:rPr>
        <w:footnoteReference w:id="356"/>
      </w:r>
    </w:p>
    <w:p>
      <w:pPr>
        <w:pStyle w:val="BodyText"/>
      </w:pPr>
      <w:r>
        <w:t xml:space="preserve">Czy wśród manuskryptów zawierających Listy Ogólne istnieją jakieś recenzje? Odpowiedź oprę na kolacjonowaniach przedstawionych w</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357"/>
      </w:r>
      <w:r>
        <w:t xml:space="preserve"> </w:t>
      </w:r>
      <w:r>
        <w:t xml:space="preserve">Skolacjonowano w nich około 555 manuskryptów, z których około 30 jest fragmentarycznych, stanowi to około 85% ogółu zachowanych manuskryptów. Posłużę się wymogiem Colwella dotyczącym 70% zgodności, aby manuskrypty mogły zostać zaklasyfikowane do tego samego typu tekstu (chociaż sam wymagam co najmniej 80%). Ponieważ</w:t>
      </w:r>
      <w:r>
        <w:t xml:space="preserve"> </w:t>
      </w:r>
      <w:r>
        <w:rPr>
          <w:iCs/>
          <w:i/>
        </w:rPr>
        <w:t xml:space="preserve">TuT</w:t>
      </w:r>
      <w:r>
        <w:t xml:space="preserve"> </w:t>
      </w:r>
      <w:r>
        <w:t xml:space="preserve">przedstawia 98 zestawów wariantów rozłożonych w siedmiu Listach, mamy korpus, który przypuszczalnie jest dość reprezentatywny. Chociaż o ile mi wiadomo,</w:t>
      </w:r>
      <w:r>
        <w:t xml:space="preserve"> </w:t>
      </w:r>
      <w:r>
        <w:rPr>
          <w:iCs/>
          <w:i/>
        </w:rPr>
        <w:t xml:space="preserve">Institut</w:t>
      </w:r>
      <w:r>
        <w:t xml:space="preserve"> </w:t>
      </w:r>
      <w:r>
        <w:t xml:space="preserve">nigdy nie ujawnił kryteriów, według których wybrano zestawy, wybrane zestawy są znaczące (nie błahe).</w:t>
      </w:r>
    </w:p>
    <w:bookmarkStart w:id="358" w:name="recenzja-aleksandryjska"/>
    <w:p>
      <w:pPr>
        <w:pStyle w:val="Heading3"/>
      </w:pPr>
      <w:r>
        <w:t xml:space="preserve">Recenzja aleksandryjska?</w:t>
      </w:r>
    </w:p>
    <w:p>
      <w:pPr>
        <w:pStyle w:val="FirstParagraph"/>
      </w:pPr>
      <w:r>
        <w:t xml:space="preserve">Czy istnieje recenzja lub typ tekstu egipski bądź aleksandryjski?</w:t>
      </w:r>
      <w:r>
        <w:t xml:space="preserve"> </w:t>
      </w:r>
      <w:r>
        <w:rPr>
          <w:iCs/>
          <w:i/>
        </w:rPr>
        <w:t xml:space="preserve">TuT</w:t>
      </w:r>
      <w:r>
        <w:t xml:space="preserve"> </w:t>
      </w:r>
      <w:r>
        <w:t xml:space="preserve">podąża za tekstem „standardowym”, który nazywa LESART 2. Żaden manuskrypt nie ma tego profilu. Najbliższy jest Kodeks B, który odbiega od niego 13 razy na 98, przy czym trzy to podwarianty, a cztery to odczyty singularne (łącznie z dwoma podwariantami) — zgodność wynosi 86,7% (po pominięciu podwariantów wynosi 89,8%). Następny jest rękopis kursywny 1739, który odbiega 29 razy na 98, przy czym cztery to podwarianty, a żaden nie jest odczytem singularnym — zgodność wynosi 70,4% (po pominięciu podwariantów wynosi 74,5%). Następny jest P</w:t>
      </w:r>
      <w:r>
        <w:rPr>
          <w:vertAlign w:val="superscript"/>
        </w:rPr>
        <w:t xml:space="preserve">74</w:t>
      </w:r>
      <w:r>
        <w:t xml:space="preserve"> </w:t>
      </w:r>
      <w:r>
        <w:t xml:space="preserve">(VII wiek), który odbiega 3 razy na 10, przy czym jeden to podwariant, a jeden to odczyt singularny — zgodność wynosi 70% (po pominięciu podwariantu wynosi 80%). Następny jest Kodeks A, który odbiega 34 razy na 98, przy czym cztery to podwarianty, a żaden nie jest odczytem singularnym — zgodność wynosi 65,3% (po pominięciu podwariantów wynosi 69,4%). Następny jest Kodeks C, który odbiega 24 razy na 66, przy czym jeden to podwariant, a cztery to odczyty singularne — zgodność wynosi 63,6% (po pominięciu podwariantu wynosi 65,2%). Następny jest rękopis kursywny 1852, który odbiega 36 razy na 95, przy czym dwa to podwarianty, a żaden nie jest odczytem singularnym — zgodność wynosi 62,1% (po pominięciu podwariantów wynosi 64,2%). Następny jest Kodeks ℵ, który odbiega 40 razy na 98, przy czym siedem to podwarianty, a dziewięć to odczyty singularne (łącznie z czterema podwariantami) — zgodność wynosi 59,2% (po pominięciu podwariantów wynosi 66,3%). Następny jest Kodeks 044 (około 800 roku), który odbiega 40 razy na 97, przy czym cztery to podwarianty, a siedem to odczyty singularne (łącznie z trzema podwariantami) — zgodność wynosi 59% (po pominięciu podwariantów wynosi 62,9%). Następny jest Kodeks 048 (V wiek), który odbiega 8 razy na 18, przy czym jeden to podwariant, a żaden nie jest odczytem singularnym — zgodność wynosi 55,6% (po pominięciu podwariantu wynosi 61,1%). Nie następnym jest P</w:t>
      </w:r>
      <w:r>
        <w:rPr>
          <w:vertAlign w:val="superscript"/>
        </w:rPr>
        <w:t xml:space="preserve">72</w:t>
      </w:r>
      <w:r>
        <w:t xml:space="preserve">, który odbiega 18 razy na 38, przy czym sześć to podwarianty, a dziewięć to odczyty singularne (łącznie z trzema podwariantami) — zgodność wynosi 52,6% (po pominięciu podwariantów wynosi 68,4%). Kodeks B jest wyraźnie najważniejszym manuskryptem w schemacie Alanda, a tekst „standardowy” jest kompozycją.</w:t>
      </w:r>
    </w:p>
    <w:p>
      <w:pPr>
        <w:pStyle w:val="BodyText"/>
      </w:pPr>
      <w:r>
        <w:t xml:space="preserve">Czy istnieje tutaj jednak egipski typ tekstu? Otóż</w:t>
      </w:r>
      <w:r>
        <w:t xml:space="preserve"> </w:t>
      </w:r>
      <w:r>
        <w:rPr>
          <w:bCs/>
          <w:b/>
        </w:rPr>
        <w:t xml:space="preserve">B</w:t>
      </w:r>
      <w:r>
        <w:t xml:space="preserve"> </w:t>
      </w:r>
      <w:r>
        <w:t xml:space="preserve">i ℵ różnią się w 44 spośród 98 zestawów, ich zgodność wynosi więc 55,1%.</w:t>
      </w:r>
      <w:r>
        <w:t xml:space="preserve"> </w:t>
      </w:r>
      <w:r>
        <w:rPr>
          <w:bCs/>
          <w:b/>
        </w:rPr>
        <w:t xml:space="preserve">B</w:t>
      </w:r>
      <w:r>
        <w:t xml:space="preserve"> </w:t>
      </w:r>
      <w:r>
        <w:t xml:space="preserve">i</w:t>
      </w:r>
      <w:r>
        <w:t xml:space="preserve"> </w:t>
      </w:r>
      <w:r>
        <w:rPr>
          <w:bCs/>
          <w:b/>
        </w:rPr>
        <w:t xml:space="preserve">A</w:t>
      </w:r>
      <w:r>
        <w:t xml:space="preserve"> </w:t>
      </w:r>
      <w:r>
        <w:t xml:space="preserve">różnią się w 43 spośród 98 zestawów, ich zgodność wynosi więc 56,1%.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19 spośród 38 zestawów, ich zgodność wynosi więc 50%.</w:t>
      </w:r>
      <w:r>
        <w:t xml:space="preserve"> </w:t>
      </w:r>
      <w:r>
        <w:rPr>
          <w:bCs/>
          <w:b/>
        </w:rPr>
        <w:t xml:space="preserve">B</w:t>
      </w:r>
      <w:r>
        <w:t xml:space="preserve"> </w:t>
      </w:r>
      <w:r>
        <w:t xml:space="preserve">i</w:t>
      </w:r>
      <w:r>
        <w:t xml:space="preserve"> </w:t>
      </w:r>
      <w:r>
        <w:rPr>
          <w:bCs/>
          <w:b/>
        </w:rPr>
        <w:t xml:space="preserve">C</w:t>
      </w:r>
      <w:r>
        <w:t xml:space="preserve"> </w:t>
      </w:r>
      <w:r>
        <w:t xml:space="preserve">różnią się w 27 spośród 66 zestawów, ich zgodność wynosi więc 59,1%.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w:t>
      </w:r>
      <w:r>
        <w:t xml:space="preserve"> </w:t>
      </w:r>
      <w:r>
        <w:rPr>
          <w:bCs/>
          <w:b/>
        </w:rPr>
        <w:t xml:space="preserve">B</w:t>
      </w:r>
      <w:r>
        <w:t xml:space="preserve"> </w:t>
      </w:r>
      <w:r>
        <w:t xml:space="preserve">i</w:t>
      </w:r>
      <w:r>
        <w:t xml:space="preserve"> </w:t>
      </w:r>
      <w:r>
        <w:rPr>
          <w:bCs/>
          <w:b/>
        </w:rPr>
        <w:t xml:space="preserve">1739</w:t>
      </w:r>
      <w:r>
        <w:t xml:space="preserve"> </w:t>
      </w:r>
      <w:r>
        <w:t xml:space="preserve">różnią się w 37 spośród 98 zestawów, ich zgodność wynosi więc 62,2%.</w:t>
      </w:r>
      <w:r>
        <w:t xml:space="preserve"> </w:t>
      </w:r>
      <w:r>
        <w:rPr>
          <w:bCs/>
          <w:b/>
        </w:rPr>
        <w:t xml:space="preserve">A</w:t>
      </w:r>
      <w:r>
        <w:t xml:space="preserve"> </w:t>
      </w:r>
      <w:r>
        <w:t xml:space="preserve">i ℵ różnią się w 35 spośród 98 zestawów, ich zgodność wynosi więc 64,3%.</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24 spośród 38 zestawów, ich zgodność wynosi więc 36,8%.</w:t>
      </w:r>
      <w:r>
        <w:t xml:space="preserve"> </w:t>
      </w:r>
      <w:r>
        <w:rPr>
          <w:bCs/>
          <w:b/>
        </w:rPr>
        <w:t xml:space="preserve">A</w:t>
      </w:r>
      <w:r>
        <w:t xml:space="preserve"> </w:t>
      </w:r>
      <w:r>
        <w:t xml:space="preserve">i</w:t>
      </w:r>
      <w:r>
        <w:t xml:space="preserve"> </w:t>
      </w:r>
      <w:r>
        <w:rPr>
          <w:bCs/>
          <w:b/>
        </w:rPr>
        <w:t xml:space="preserve">C</w:t>
      </w:r>
      <w:r>
        <w:t xml:space="preserve"> </w:t>
      </w:r>
      <w:r>
        <w:t xml:space="preserve">różnią się w 26 spośród 66 zestawów, ich zgodność wynosi więc 60,6%.</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4 spośród 10 zestawów, ich zgodność wynosi więc 60%.</w:t>
      </w:r>
      <w:r>
        <w:t xml:space="preserve"> </w:t>
      </w:r>
      <w:r>
        <w:rPr>
          <w:bCs/>
          <w:b/>
        </w:rPr>
        <w:t xml:space="preserve">A</w:t>
      </w:r>
      <w:r>
        <w:t xml:space="preserve"> </w:t>
      </w:r>
      <w:r>
        <w:t xml:space="preserve">i</w:t>
      </w:r>
      <w:r>
        <w:t xml:space="preserve"> </w:t>
      </w:r>
      <w:r>
        <w:rPr>
          <w:bCs/>
          <w:b/>
        </w:rPr>
        <w:t xml:space="preserve">1739</w:t>
      </w:r>
      <w:r>
        <w:t xml:space="preserve"> </w:t>
      </w:r>
      <w:r>
        <w:t xml:space="preserve">różnią się w 36 spośród 98 zestawów, ich zgodność wynosi więc 63,3%. ℵ i</w:t>
      </w:r>
      <w:r>
        <w:t xml:space="preserve"> </w:t>
      </w:r>
      <w:r>
        <w:rPr>
          <w:bCs/>
          <w:b/>
        </w:rPr>
        <w:t xml:space="preserve">P</w:t>
      </w:r>
      <w:r>
        <w:rPr>
          <w:vertAlign w:val="superscript"/>
          <w:bCs/>
          <w:b/>
        </w:rPr>
        <w:t xml:space="preserve">72</w:t>
      </w:r>
      <w:r>
        <w:t xml:space="preserve"> </w:t>
      </w:r>
      <w:r>
        <w:t xml:space="preserve">różnią się w 26 spośród 38 zestawów, ich zgodność wynosi więc 31,6%. ℵ i</w:t>
      </w:r>
      <w:r>
        <w:t xml:space="preserve"> </w:t>
      </w:r>
      <w:r>
        <w:rPr>
          <w:bCs/>
          <w:b/>
        </w:rPr>
        <w:t xml:space="preserve">C</w:t>
      </w:r>
      <w:r>
        <w:t xml:space="preserve"> </w:t>
      </w:r>
      <w:r>
        <w:t xml:space="preserve">różnią się w 30 spośród 66 zestawów, ich zgodność wynosi więc 54,5%. ℵ 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 ℵ i</w:t>
      </w:r>
      <w:r>
        <w:t xml:space="preserve"> </w:t>
      </w:r>
      <w:r>
        <w:rPr>
          <w:bCs/>
          <w:b/>
        </w:rPr>
        <w:t xml:space="preserve">1739</w:t>
      </w:r>
      <w:r>
        <w:t xml:space="preserve"> </w:t>
      </w:r>
      <w:r>
        <w:t xml:space="preserve">różnią się w 46 spośród 98 zestawów, ich zgodność wynosi więc 53,1%.</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18 spośród 31 zestawów, ich zgodność wynosi więc 41,9%.</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w:t>
      </w:r>
      <w:r>
        <w:t xml:space="preserve"> </w:t>
      </w:r>
      <w:r>
        <w:rPr>
          <w:bCs/>
          <w:b/>
        </w:rPr>
        <w:t xml:space="preserve">C</w:t>
      </w:r>
      <w:r>
        <w:t xml:space="preserve"> </w:t>
      </w:r>
      <w:r>
        <w:t xml:space="preserve">i</w:t>
      </w:r>
      <w:r>
        <w:t xml:space="preserve"> </w:t>
      </w:r>
      <w:r>
        <w:rPr>
          <w:bCs/>
          <w:b/>
        </w:rPr>
        <w:t xml:space="preserve">1739</w:t>
      </w:r>
      <w:r>
        <w:t xml:space="preserve"> </w:t>
      </w:r>
      <w:r>
        <w:t xml:space="preserve">różnią się w 23 spośród 66 zestawów, ich zgodność wynosi więc 65,2%.</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22 spośród 38 zestawów, ich zgodność wynosi więc 42,1%.</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 Na podstawie tych dowodów Colwell nie pozwoliłby nam twierdzić, że istnieje typ tekstu. Wczesne manuskrypty najwyraźniej uległy wspólnemu wpływowi, lecz każdy zboczył na prywatną ścieżkę. Żadne dwa zestawy nie mają takiego samego wykazu rozbieżności. Każdy z nich jest z pewnością niezależny w swoim pokoleniu. Wspólny wpływ dostrzegalny we wczesnych manuskryptach musiał mieć źródło, lecz źródło to jest naprawdę zbyt niewyraźne, by kwalifikować się jako recenzja.</w:t>
      </w:r>
    </w:p>
    <w:bookmarkEnd w:id="358"/>
    <w:bookmarkStart w:id="374" w:name="recenzja-bizantyjska"/>
    <w:p>
      <w:pPr>
        <w:pStyle w:val="Heading3"/>
      </w:pPr>
      <w:r>
        <w:t xml:space="preserve">Recenzja bizantyjska?</w:t>
      </w:r>
    </w:p>
    <w:p>
      <w:pPr>
        <w:pStyle w:val="FirstParagraph"/>
      </w:pPr>
      <w:r>
        <w:t xml:space="preserve">LESART 1 jest tekstem większościowym w najściślejszym znaczeniu. Aland podążał za odczytem większościowym w każdym przypadku z wyjątkiem dwóch zestawów wariantów, w których nie ma wariantu większościowego, i tam podążał za większością względną (zestaw 32, 1 List Piotra 3,16 — καταλαλωσιν ma 49,8% wobec καταλαλουσιν z 44,6%) (zestaw 34, 1 List Piotra 4,3 — ημιν ma 47,1% wobec υμιν z 41,7%). Ubocznym skutkiem tej procedury jest to, że żaden manuskrypt nie ma dokładnie tego profilu — znalazłem cztery manuskrypty różniące się zaledwie dwoma wariantami (607, 639, 1730, 2423) i pięć różniących się trzema. Podstawowy profil</w:t>
      </w:r>
      <w:r>
        <w:t xml:space="preserve"> </w:t>
      </w:r>
      <w:r>
        <w:rPr>
          <w:bCs/>
          <w:b/>
        </w:rPr>
        <w:t xml:space="preserve">f</w:t>
      </w:r>
      <w:r>
        <w:rPr>
          <w:vertAlign w:val="superscript"/>
          <w:bCs/>
          <w:b/>
        </w:rPr>
        <w:t xml:space="preserve">35</w:t>
      </w:r>
      <w:r>
        <w:t xml:space="preserve"> </w:t>
      </w:r>
      <w:r>
        <w:t xml:space="preserve">odbiega pięcioma.</w:t>
      </w:r>
    </w:p>
    <w:p>
      <w:pPr>
        <w:pStyle w:val="BodyText"/>
      </w:pPr>
      <w:r>
        <w:t xml:space="preserve">Po przeanalizowaniu profili około 555 manuskryptów, poza</w:t>
      </w:r>
      <w:r>
        <w:t xml:space="preserve"> </w:t>
      </w:r>
      <w:r>
        <w:rPr>
          <w:bCs/>
          <w:b/>
        </w:rPr>
        <w:t xml:space="preserve">f</w:t>
      </w:r>
      <w:r>
        <w:rPr>
          <w:vertAlign w:val="superscript"/>
          <w:bCs/>
          <w:b/>
        </w:rPr>
        <w:t xml:space="preserve">35</w:t>
      </w:r>
      <w:r>
        <w:t xml:space="preserve"> </w:t>
      </w:r>
      <w:r>
        <w:t xml:space="preserve">znalazłem dokładnie jeden zespół czterech manuskryptów (82, 699, 1668, 2484) z kilkoma przyłączonymi oraz jeden zespół trzech manuskryptów (390, 912, 1594), również z kilkoma przyłączonymi, a także dziewięć par — wszystkie pozostałe mają prywatne profile (łącznie z „przyłączonymi”).</w:t>
      </w:r>
    </w:p>
    <w:p>
      <w:pPr>
        <w:pStyle w:val="BodyText"/>
      </w:pPr>
      <w:r>
        <w:t xml:space="preserve">W obrębie</w:t>
      </w:r>
      <w:r>
        <w:t xml:space="preserve"> </w:t>
      </w:r>
      <w:r>
        <w:rPr>
          <w:bCs/>
          <w:b/>
        </w:rPr>
        <w:t xml:space="preserve">f</w:t>
      </w:r>
      <w:r>
        <w:rPr>
          <w:vertAlign w:val="superscript"/>
          <w:bCs/>
          <w:b/>
        </w:rPr>
        <w:t xml:space="preserve">35</w:t>
      </w:r>
      <w:r>
        <w:t xml:space="preserve"> </w:t>
      </w:r>
      <w:r>
        <w:t xml:space="preserve">31 manuskryptów ma profil podstawowy, istnieje podgrupa 6 manuskryptów, kolejna 4, kolejna 3 oraz dwie pary — tych 17 manuskryptów oraz kolejnych 10 różni się od profilu podstawowego tylko jednym wariantem. Istnieje 15 manuskryptów różniących się dwoma i 7 różniących się trzema, co daje łącznie 80 manuskryptów (z których 32 mają prywatne profile), a ponadto kilka innych na obrzeżach.</w:t>
      </w:r>
    </w:p>
    <w:p>
      <w:pPr>
        <w:pStyle w:val="BodyText"/>
      </w:pPr>
      <w:r>
        <w:t xml:space="preserve">Odkładając na bok wszystkie manuskrypty o wspólnym profilu oraz około 30 mających mniej niż 11% całości, pozostaje nam około 450 manuskryptów o prywatnym profilu (na podstawie 98 zestawów wariantów), z których zdecydowana większość jest bizantyjska. Patrzymy na normalny przekaz, nie na masową produkcję jednego egzemplarza.</w:t>
      </w:r>
    </w:p>
    <w:p>
      <w:pPr>
        <w:pStyle w:val="BodyText"/>
      </w:pPr>
      <w:r>
        <w:t xml:space="preserve">Odkładając na bok manuskrypty fragmentaryczne, około 40 znajduje się poniżej progu Colwella wynoszącego 70%, wszystkie pozostałe (około 485) kwalifikowałyby się jako członkowie jednego typu tekstu, który możemy nazwać bizantyjskim. Przy moim progu 80% tracimy kolejnych 17 manuskryptów, pozostaje około 470. Naprawdę wolałbym jednak 90%, a przy tym progu tracimy kolejnych 46 — nazwijmy to około 420 manuskryptami. Odkładając na bok 30 fragmentarycznych, dzieląc 420 przez 525, otrzymujemy 80% manuskryptów, które są silnie bizantyjskie</w:t>
      </w:r>
      <w:r>
        <w:rPr>
          <w:rStyle w:val="FootnoteReference"/>
        </w:rPr>
        <w:footnoteReference w:id="359"/>
      </w:r>
      <w:r>
        <w:t xml:space="preserve"> </w:t>
      </w:r>
      <w:r>
        <w:t xml:space="preserve">(przy progu 80% otrzymujemy prawie 90%) (przy progu 70% otrzymujemy 92%). 345 spośród 420 ma prywatne profile — z możliwym wyjątkiem</w:t>
      </w:r>
      <w:r>
        <w:t xml:space="preserve"> </w:t>
      </w:r>
      <w:r>
        <w:rPr>
          <w:bCs/>
          <w:b/>
        </w:rPr>
        <w:t xml:space="preserve">f</w:t>
      </w:r>
      <w:r>
        <w:rPr>
          <w:vertAlign w:val="superscript"/>
          <w:bCs/>
          <w:b/>
        </w:rPr>
        <w:t xml:space="preserve">35</w:t>
      </w:r>
      <w:r>
        <w:t xml:space="preserve"> </w:t>
      </w:r>
      <w:r>
        <w:t xml:space="preserve">nie było „upychania urny wyborczej”.</w:t>
      </w:r>
    </w:p>
    <w:p>
      <w:pPr>
        <w:pStyle w:val="BodyText"/>
      </w:pPr>
      <w:r>
        <w:t xml:space="preserve">Chociaż</w:t>
      </w:r>
      <w:r>
        <w:t xml:space="preserve"> </w:t>
      </w:r>
      <w:r>
        <w:rPr>
          <w:bCs/>
          <w:b/>
        </w:rPr>
        <w:t xml:space="preserve">f</w:t>
      </w:r>
      <w:r>
        <w:rPr>
          <w:vertAlign w:val="superscript"/>
          <w:bCs/>
          <w:b/>
        </w:rPr>
        <w:t xml:space="preserve">35</w:t>
      </w:r>
      <w:r>
        <w:t xml:space="preserve"> </w:t>
      </w:r>
      <w:r>
        <w:t xml:space="preserve">wyraźnie mieści się w strumieniu bizantyjskim, wyłączę ją i potraktuję oddzielnie. 420 minus 80 równa się 340 silnie bizantyjskim manuskryptom, z których tylko 25 ma wspólny profil. Oczywiście mamy typ tekstu, lecz czy jest to recenzja? Aby postulować recenzję, potrzebujemy źródła — kto jej dokonał, kiedy i gdzie? I przy użyciu czego? Czy tylko zredagował istniejące materiały, czy wymyślił niektóre warianty? Jeśli je wymyślił, czy istnieje dostrzegalny wzorzec wyjaśniający jego postawę?</w:t>
      </w:r>
    </w:p>
    <w:p>
      <w:pPr>
        <w:pStyle w:val="BodyText"/>
      </w:pPr>
      <w:r>
        <w:t xml:space="preserve">Mamy 315 silnie bizantyjskich manuskryptów (bez</w:t>
      </w:r>
      <w:r>
        <w:t xml:space="preserve"> </w:t>
      </w:r>
      <w:r>
        <w:rPr>
          <w:bCs/>
          <w:b/>
        </w:rPr>
        <w:t xml:space="preserve">f</w:t>
      </w:r>
      <w:r>
        <w:rPr>
          <w:vertAlign w:val="superscript"/>
          <w:bCs/>
          <w:b/>
        </w:rPr>
        <w:t xml:space="preserve">35</w:t>
      </w:r>
      <w:r>
        <w:t xml:space="preserve">) o prywatnych profilach — są one niezależne w swoim pokoleniu, przypuszczalnie reprezentują tyle samo egzemplarzy, również przypuszczalnie niezależnych w swoim pokoleniu itd. Przynajmniej częściowo z tego powodu uczeni od Horta po Alanda uznawali, że żadna „recenzja” bizantyjska nie mogła powstać później niż w IV wieku.</w:t>
      </w:r>
    </w:p>
    <w:p>
      <w:pPr>
        <w:pStyle w:val="BodyText"/>
      </w:pPr>
      <w:r>
        <w:t xml:space="preserve">Przed podjęciem kwestii</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jako możliwej recenzji chcę rozważyć inne aspekty ogólnych dowodów przedstawionych w</w:t>
      </w:r>
      <w:r>
        <w:t xml:space="preserve"> </w:t>
      </w:r>
      <w:r>
        <w:rPr>
          <w:iCs/>
          <w:i/>
        </w:rPr>
        <w:t xml:space="preserve">TuT</w:t>
      </w:r>
      <w:r>
        <w:t xml:space="preserve">. Spośród skolacjonowanych manuskryptów 78 jest datowanych. Istnieje dziewięć par manuskryptów z tą samą datą (lecz nie więcej niż dwa manuskrypty na rok — 60 ma więc prywatny rok), w ośmiu z nich te dwa manuskrypty mają zupełnie odmienne profile, w dziewiątej parze oba manuskrypty są</w:t>
      </w:r>
      <w:r>
        <w:t xml:space="preserve"> </w:t>
      </w:r>
      <w:r>
        <w:rPr>
          <w:bCs/>
          <w:b/>
        </w:rPr>
        <w:t xml:space="preserve">f</w:t>
      </w:r>
      <w:r>
        <w:rPr>
          <w:vertAlign w:val="superscript"/>
          <w:bCs/>
          <w:b/>
        </w:rPr>
        <w:t xml:space="preserve">35</w:t>
      </w:r>
      <w:r>
        <w:t xml:space="preserve">, lecz różnią się jednym wariantem. Oba znajdują się na górze Athos, lecz w różnych klasztorach — jest wysoce nieprawdopodobne, by miały ten sam egzemplarz. Nie ma tutaj dowodów masowej produkcji. Dlaczego jednak mnich na górze Athos miałby sporządzić kopię w 1280 roku po Chr.? Jeśli</w:t>
      </w:r>
      <w:r>
        <w:t xml:space="preserve"> </w:t>
      </w:r>
      <w:r>
        <w:rPr>
          <w:u w:val="single"/>
        </w:rPr>
        <w:t xml:space="preserve">kopia nadal tam jest, nie sporządzono jej, aby zrealizować zamówienie z miasta. Dlaczego więc</w:t>
      </w:r>
      <w:r>
        <w:t xml:space="preserve"> </w:t>
      </w:r>
      <w:r>
        <w:t xml:space="preserve">to uczynił — jako religijne ćwiczenie czy obowiązek? Co jednak kopiował? Najbardziej prawdopodobne wydaje mi się, że kopiował stary egzemplarz wykazujący oznaki zużycia, aby zachować jego tekst. Wykażę niżej, że manuskrypty sporządzone w jednym klasztorze opierały się na odrębnych egzemplarzach (jak wskazali Lake, Blake i New około 85 lat temu).</w:t>
      </w:r>
      <w:r>
        <w:rPr>
          <w:rStyle w:val="FootnoteReference"/>
        </w:rPr>
        <w:footnoteReference w:id="360"/>
      </w:r>
    </w:p>
    <w:bookmarkStart w:id="363" w:name="góra-athos"/>
    <w:p>
      <w:pPr>
        <w:pStyle w:val="Heading4"/>
      </w:pPr>
      <w:r>
        <w:rPr>
          <w:iCs/>
          <w:i/>
        </w:rPr>
        <w:t xml:space="preserve">Góra Athos</w:t>
      </w:r>
    </w:p>
    <w:p>
      <w:pPr>
        <w:pStyle w:val="FirstParagraph"/>
      </w:pPr>
      <w:r>
        <w:t xml:space="preserve">Słyszałem twierdzenie, że manuskrypty z góry Athos są podejrzane o masową produkcję i dostosowywanie do arbitralnego standardu. Podejrzewam, że mówiący nie wiedział, iż na tym obszarze istnieje wiele odrębnych klasztorów.</w:t>
      </w:r>
      <w:r>
        <w:t xml:space="preserve"> </w:t>
      </w:r>
      <w:r>
        <w:rPr>
          <w:iCs/>
          <w:i/>
        </w:rPr>
        <w:t xml:space="preserve">TuT</w:t>
      </w:r>
      <w:r>
        <w:t xml:space="preserve"> </w:t>
      </w:r>
      <w:r>
        <w:t xml:space="preserve">wymienia zaledwie dwadzieścia.</w:t>
      </w:r>
      <w:r>
        <w:rPr>
          <w:rStyle w:val="FootnoteReference"/>
        </w:rPr>
        <w:footnoteReference w:id="361"/>
      </w:r>
      <w:r>
        <w:t xml:space="preserve"> </w:t>
      </w:r>
      <w:r>
        <w:t xml:space="preserve">Przypomnijmy, że klasztory te reprezentowały różne patriarchaty, zakony, kraje, a nawet języki. Przeciętne małe miasto w USA prawdopodobnie będzie miało zbór Zborów Bożych, kościół baptystyczny, kościół biblijny, kościół kongregacjonalny, kościół episkopalny, kościół metodystyczny, kościół prezbiteriański, jakiś kościół neopentekostalny i inne. Jak odnoszą się do siebie? W jakim stopniu łączą siły? Nawet ogólnomiejska kampania ewangelizacyjna nie zgromadzi ich wszystkich. Czy mnisi w Cesarstwie Bizantyjskim różnili się od pastorów w USA? Czy natura ludzka się zmieniła? Chodzi mi o to, że między klasztorami prawdopodobnie bardzo rzadko porównywano notatki w sprawie takiej jak kopiowanie manuskryptów.</w:t>
      </w:r>
    </w:p>
    <w:p>
      <w:pPr>
        <w:pStyle w:val="BodyText"/>
      </w:pPr>
      <w:r>
        <w:t xml:space="preserve">Rozważmy: Grigoriu, Pavlu i Protatu wymieniono z jednym manuskryptem każdy (dla Listów Ogólnych),</w:t>
      </w:r>
      <w:r>
        <w:rPr>
          <w:rStyle w:val="FootnoteReference"/>
        </w:rPr>
        <w:footnoteReference w:id="362"/>
      </w:r>
      <w:r>
        <w:t xml:space="preserve"> </w:t>
      </w:r>
      <w:r>
        <w:t xml:space="preserve">z których żaden nie należy do</w:t>
      </w:r>
      <w:r>
        <w:t xml:space="preserve"> </w:t>
      </w:r>
      <w:r>
        <w:rPr>
          <w:bCs/>
          <w:b/>
        </w:rPr>
        <w:t xml:space="preserve">f</w:t>
      </w:r>
      <w:r>
        <w:rPr>
          <w:vertAlign w:val="superscript"/>
          <w:bCs/>
          <w:b/>
        </w:rPr>
        <w:t xml:space="preserve">35</w:t>
      </w:r>
      <w:r>
        <w:t xml:space="preserve">. Karakallu i Kavsokalyvion wymieniono z jednym manuskryptem</w:t>
      </w:r>
      <w:r>
        <w:t xml:space="preserve"> </w:t>
      </w:r>
      <w:r>
        <w:rPr>
          <w:bCs/>
          <w:b/>
        </w:rPr>
        <w:t xml:space="preserve">f</w:t>
      </w:r>
      <w:r>
        <w:rPr>
          <w:vertAlign w:val="superscript"/>
          <w:bCs/>
          <w:b/>
        </w:rPr>
        <w:t xml:space="preserve">35</w:t>
      </w:r>
      <w:r>
        <w:t xml:space="preserve"> </w:t>
      </w:r>
      <w:r>
        <w:t xml:space="preserve">każdy. Konstamonitu, Filotheu i Stavronikita wymieniono z dwoma manuskryptami, jednym należącym do</w:t>
      </w:r>
      <w:r>
        <w:t xml:space="preserve"> </w:t>
      </w:r>
      <w:r>
        <w:rPr>
          <w:bCs/>
          <w:b/>
        </w:rPr>
        <w:t xml:space="preserve">f</w:t>
      </w:r>
      <w:r>
        <w:rPr>
          <w:vertAlign w:val="superscript"/>
          <w:bCs/>
          <w:b/>
        </w:rPr>
        <w:t xml:space="preserve">35</w:t>
      </w:r>
      <w:r>
        <w:t xml:space="preserve">, a drugim nie. Xiropotamu ma dwa manuskrypty, z których żaden nie należy do</w:t>
      </w:r>
      <w:r>
        <w:t xml:space="preserve"> </w:t>
      </w:r>
      <w:r>
        <w:rPr>
          <w:bCs/>
          <w:b/>
        </w:rPr>
        <w:t xml:space="preserve">f</w:t>
      </w:r>
      <w:r>
        <w:rPr>
          <w:vertAlign w:val="superscript"/>
          <w:bCs/>
          <w:b/>
        </w:rPr>
        <w:t xml:space="preserve">35</w:t>
      </w:r>
      <w:r>
        <w:t xml:space="preserve">. Pantokratoros ma trzy, z których jeden należy do</w:t>
      </w:r>
      <w:r>
        <w:t xml:space="preserve"> </w:t>
      </w:r>
      <w:r>
        <w:rPr>
          <w:bCs/>
          <w:b/>
        </w:rPr>
        <w:t xml:space="preserve">f</w:t>
      </w:r>
      <w:r>
        <w:rPr>
          <w:vertAlign w:val="superscript"/>
          <w:bCs/>
          <w:b/>
        </w:rPr>
        <w:t xml:space="preserve">35</w:t>
      </w:r>
      <w:r>
        <w:t xml:space="preserve">. Dochiariu ma pięć manuskryptów, z których żaden nie należy do</w:t>
      </w:r>
      <w:r>
        <w:t xml:space="preserve"> </w:t>
      </w:r>
      <w:r>
        <w:rPr>
          <w:bCs/>
          <w:b/>
        </w:rPr>
        <w:t xml:space="preserve">f</w:t>
      </w:r>
      <w:r>
        <w:rPr>
          <w:vertAlign w:val="superscript"/>
          <w:bCs/>
          <w:b/>
        </w:rPr>
        <w:t xml:space="preserve">35</w:t>
      </w:r>
      <w:r>
        <w:t xml:space="preserve">. Esfigmenu również ma pięć, z których jeden należy do</w:t>
      </w:r>
      <w:r>
        <w:t xml:space="preserve"> </w:t>
      </w:r>
      <w:r>
        <w:rPr>
          <w:bCs/>
          <w:b/>
        </w:rPr>
        <w:t xml:space="preserve">f</w:t>
      </w:r>
      <w:r>
        <w:rPr>
          <w:vertAlign w:val="superscript"/>
          <w:bCs/>
          <w:b/>
        </w:rPr>
        <w:t xml:space="preserve">35</w:t>
      </w:r>
      <w:r>
        <w:t xml:space="preserve">. Panteleimonos wymieniono z siedmioma manuskryptami, z których dwa należą do</w:t>
      </w:r>
      <w:r>
        <w:t xml:space="preserve"> </w:t>
      </w:r>
      <w:r>
        <w:rPr>
          <w:bCs/>
          <w:b/>
        </w:rPr>
        <w:t xml:space="preserve">f</w:t>
      </w:r>
      <w:r>
        <w:rPr>
          <w:vertAlign w:val="superscript"/>
          <w:bCs/>
          <w:b/>
        </w:rPr>
        <w:t xml:space="preserve">35</w:t>
      </w:r>
      <w:r>
        <w:t xml:space="preserve">. Dionysiu wymieniono z dziewięcioma manuskryptami, z których trzy należą do</w:t>
      </w:r>
      <w:r>
        <w:t xml:space="preserve"> </w:t>
      </w:r>
      <w:r>
        <w:rPr>
          <w:bCs/>
          <w:b/>
        </w:rPr>
        <w:t xml:space="preserve">f</w:t>
      </w:r>
      <w:r>
        <w:rPr>
          <w:vertAlign w:val="superscript"/>
          <w:bCs/>
          <w:b/>
        </w:rPr>
        <w:t xml:space="preserve">35</w:t>
      </w:r>
      <w:r>
        <w:t xml:space="preserve">. Kutlumusiu wymieniono z dziesięcioma manuskryptami, z których dwa należą do</w:t>
      </w:r>
      <w:r>
        <w:t xml:space="preserve"> </w:t>
      </w:r>
      <w:r>
        <w:rPr>
          <w:bCs/>
          <w:b/>
        </w:rPr>
        <w:t xml:space="preserve">f</w:t>
      </w:r>
      <w:r>
        <w:rPr>
          <w:vertAlign w:val="superscript"/>
          <w:bCs/>
          <w:b/>
        </w:rPr>
        <w:t xml:space="preserve">35</w:t>
      </w:r>
      <w:r>
        <w:t xml:space="preserve">. Iviron wymieniono z dwunastoma manuskryptami, z których pięć należy do</w:t>
      </w:r>
      <w:r>
        <w:t xml:space="preserve"> </w:t>
      </w:r>
      <w:r>
        <w:rPr>
          <w:bCs/>
          <w:b/>
        </w:rPr>
        <w:t xml:space="preserve">f</w:t>
      </w:r>
      <w:r>
        <w:rPr>
          <w:vertAlign w:val="superscript"/>
          <w:bCs/>
          <w:b/>
        </w:rPr>
        <w:t xml:space="preserve">35</w:t>
      </w:r>
      <w:r>
        <w:t xml:space="preserve">. Vatopediu wymieniono z 28 manuskryptami, z których pięć należy do</w:t>
      </w:r>
      <w:r>
        <w:t xml:space="preserve"> </w:t>
      </w:r>
      <w:r>
        <w:rPr>
          <w:bCs/>
          <w:b/>
        </w:rPr>
        <w:t xml:space="preserve">f</w:t>
      </w:r>
      <w:r>
        <w:rPr>
          <w:vertAlign w:val="superscript"/>
          <w:bCs/>
          <w:b/>
        </w:rPr>
        <w:t xml:space="preserve">35</w:t>
      </w:r>
      <w:r>
        <w:t xml:space="preserve">. M. Lavras wymieniono z 52 manuskryptami, z których 22 należą do</w:t>
      </w:r>
      <w:r>
        <w:t xml:space="preserve"> </w:t>
      </w:r>
      <w:r>
        <w:rPr>
          <w:bCs/>
          <w:b/>
        </w:rPr>
        <w:t xml:space="preserve">f</w:t>
      </w:r>
      <w:r>
        <w:rPr>
          <w:vertAlign w:val="superscript"/>
          <w:bCs/>
          <w:b/>
        </w:rPr>
        <w:t xml:space="preserve">35</w:t>
      </w:r>
      <w:r>
        <w:t xml:space="preserve">. Z możliwym wyjątkiem M. Lavras najwyraźniej nie działał żaden „walec”</w:t>
      </w:r>
      <w:r>
        <w:t xml:space="preserve"> </w:t>
      </w:r>
      <w:r>
        <w:rPr>
          <w:bCs/>
          <w:b/>
        </w:rPr>
        <w:t xml:space="preserve">f</w:t>
      </w:r>
      <w:r>
        <w:rPr>
          <w:vertAlign w:val="superscript"/>
          <w:bCs/>
          <w:b/>
        </w:rPr>
        <w:t xml:space="preserve">35</w:t>
      </w:r>
      <w:r>
        <w:t xml:space="preserve">.</w:t>
      </w:r>
    </w:p>
    <w:p>
      <w:pPr>
        <w:pStyle w:val="BodyText"/>
      </w:pPr>
      <w:r>
        <w:t xml:space="preserve">Co jednak z sytuacją wewnątrz jednego klasztoru? Chociaż manuskrypty znajdujące się obecnie w miejscach takich jak Londyn czy Paryż przypuszczalnie sporządzono gdzie indziej, te znajdujące się w miejscach takich jak góra Athos, Patmos, Jerozolima i Synaj prawdopodobnie sporządzono właśnie tam. Klasztor na górze Synaj jest na tyle odizolowany, że moglibyśmy oczekiwać znacznego „chowu wsobnego”. Przyjrzyjmy się więc manuskryptom z Synaju wymienionym przez</w:t>
      </w:r>
      <w:r>
        <w:t xml:space="preserve"> </w:t>
      </w:r>
      <w:r>
        <w:rPr>
          <w:iCs/>
          <w:i/>
        </w:rPr>
        <w:t xml:space="preserve">TuT</w:t>
      </w:r>
      <w:r>
        <w:t xml:space="preserve">.</w:t>
      </w:r>
    </w:p>
    <w:bookmarkEnd w:id="363"/>
    <w:bookmarkStart w:id="371" w:name="góra-synaj"/>
    <w:p>
      <w:pPr>
        <w:pStyle w:val="Heading4"/>
      </w:pPr>
      <w:r>
        <w:rPr>
          <w:iCs/>
          <w:i/>
        </w:rPr>
        <w:t xml:space="preserve">Góra Synaj</w:t>
      </w:r>
    </w:p>
    <w:p>
      <w:pPr>
        <w:pStyle w:val="FirstParagraph"/>
      </w:pPr>
      <w:r>
        <w:t xml:space="preserve">Wymienię manuskrypty w malejącym porządku „aleksandryjskości”,</w:t>
      </w:r>
      <w:r>
        <w:rPr>
          <w:rStyle w:val="FootnoteReference"/>
        </w:rPr>
        <w:footnoteReference w:id="364"/>
      </w:r>
      <w:r>
        <w:t xml:space="preserve"> </w:t>
      </w:r>
      <w:r>
        <w:t xml:space="preserve">z zastrzeżeniem, że porządek taki jest istotny tylko dla pierwszych siedmiu lub ośmiu:</w:t>
      </w:r>
      <w:r>
        <w:rPr>
          <w:rStyle w:val="FootnoteReference"/>
        </w:rPr>
        <w:footnoteReference w:id="365"/>
      </w:r>
    </w:p>
    <w:p>
      <w:pPr>
        <w:numPr>
          <w:ilvl w:val="0"/>
          <w:numId w:val="1073"/>
        </w:numPr>
      </w:pPr>
      <w:r>
        <w:t xml:space="preserve">ℵ, 01</w:t>
      </w:r>
      <w:r>
        <w:rPr>
          <w:rStyle w:val="FootnoteReference"/>
        </w:rPr>
        <w:footnoteReference w:id="366"/>
      </w:r>
      <w:r>
        <w:t xml:space="preserve"> </w:t>
      </w:r>
      <w:r>
        <w:t xml:space="preserve">— IV, eapr (2 = 57 [2 podw.], 1/2 = 5 [1 podw.], 1 = 19 [3 podw.], sing = 9, nietyp. = 8) = 98 wariantów.</w:t>
      </w:r>
    </w:p>
    <w:p>
      <w:pPr>
        <w:numPr>
          <w:ilvl w:val="0"/>
          <w:numId w:val="1073"/>
        </w:numPr>
      </w:pPr>
      <w:r>
        <w:t xml:space="preserve">1243 — XI, eap (2 = 51, 1/2 = 6, 1 = 22 [5 podw.], sing = 2, nietyp. = 16) = 97.</w:t>
      </w:r>
    </w:p>
    <w:p>
      <w:pPr>
        <w:numPr>
          <w:ilvl w:val="0"/>
          <w:numId w:val="1073"/>
        </w:numPr>
      </w:pPr>
      <w:r>
        <w:t xml:space="preserve">1241 — XII, eap (2 = 47 [5 podw.], 1/2 = 4, 1 = 17 [2 podw.], sing = 5, nietyp. = 18) = 91.</w:t>
      </w:r>
    </w:p>
    <w:p>
      <w:pPr>
        <w:numPr>
          <w:ilvl w:val="0"/>
          <w:numId w:val="1073"/>
        </w:numPr>
      </w:pPr>
      <w:r>
        <w:t xml:space="preserve">1881 — XIV, ap (2 = 42 [3 podw.], 1/2 = 3 [1 podw.], 1 = 16 [1 podw.], sing = 1, nietyp. = 11) = 73.</w:t>
      </w:r>
    </w:p>
    <w:p>
      <w:pPr>
        <w:numPr>
          <w:ilvl w:val="0"/>
          <w:numId w:val="1073"/>
        </w:numPr>
      </w:pPr>
      <w:r>
        <w:t xml:space="preserve">2495 — XIV, eapr (2 = 37 [2 podw.], 1/2 = 4, 1 = 37 [4 podw.], sing = 2, nietyp. = 17) = 97.</w:t>
      </w:r>
    </w:p>
    <w:p>
      <w:pPr>
        <w:numPr>
          <w:ilvl w:val="0"/>
          <w:numId w:val="1073"/>
        </w:numPr>
      </w:pPr>
      <w:r>
        <w:t xml:space="preserve">2492 — XIII, eap (2 = 17 [2 podw.], 1/2 = 8, 1 = 58 [2 podw.], sing = 1, nietyp. = 9) = 93.</w:t>
      </w:r>
    </w:p>
    <w:p>
      <w:pPr>
        <w:numPr>
          <w:ilvl w:val="0"/>
          <w:numId w:val="1073"/>
        </w:numPr>
      </w:pPr>
      <w:r>
        <w:t xml:space="preserve">2494 — 1316, eapr (2 = 11, 1/2 = 4, 1 = 73 [2 podw.], nietyp. = 10) = 98. Od tego miejsca w dół wszystkie manuskrypty mieszczą się w strumieniu bizantyjskim.</w:t>
      </w:r>
    </w:p>
    <w:p>
      <w:pPr>
        <w:numPr>
          <w:ilvl w:val="0"/>
          <w:numId w:val="1073"/>
        </w:numPr>
      </w:pPr>
      <w:r>
        <w:t xml:space="preserve">1874 — X, ap (2 = 4, 1/2 = 9, 1 = 78 [2 podw.], sing = 1, nietyp. = 6) = 98.</w:t>
      </w:r>
    </w:p>
    <w:p>
      <w:pPr>
        <w:numPr>
          <w:ilvl w:val="0"/>
          <w:numId w:val="1073"/>
        </w:numPr>
      </w:pPr>
      <w:r>
        <w:t xml:space="preserve">1877 — XIV, ap (2 = 2, 1/2 = 9, 1 = 81 [5 podw.], sing = 2, nietyp. = 4) = 98.</w:t>
      </w:r>
    </w:p>
    <w:p>
      <w:pPr>
        <w:numPr>
          <w:ilvl w:val="0"/>
          <w:numId w:val="1073"/>
        </w:numPr>
      </w:pPr>
      <w:r>
        <w:t xml:space="preserve">2086 — XIV, ap (2 = 2, 1/2 = 8, 1 = 82 [2 podw.], sing = 1, nietyp. = 5) = 98.</w:t>
      </w:r>
    </w:p>
    <w:p>
      <w:pPr>
        <w:numPr>
          <w:ilvl w:val="0"/>
          <w:numId w:val="1073"/>
        </w:numPr>
      </w:pPr>
      <w:r>
        <w:t xml:space="preserve">1251 — XIII, eap (2 = 2, 1/2 = 9, 1 = 82 [3 podw.], nietyp. = 4) = 97.</w:t>
      </w:r>
    </w:p>
    <w:p>
      <w:pPr>
        <w:numPr>
          <w:ilvl w:val="0"/>
          <w:numId w:val="1073"/>
        </w:numPr>
      </w:pPr>
      <w:r>
        <w:t xml:space="preserve">1245 — XII, ap (2 = 3, 1/2 = 10 [1 podw.], 1 = 83 [6 podw.], nietyp. = 2) = 98.</w:t>
      </w:r>
    </w:p>
    <w:p>
      <w:pPr>
        <w:numPr>
          <w:ilvl w:val="0"/>
          <w:numId w:val="1073"/>
        </w:numPr>
      </w:pPr>
      <w:r>
        <w:t xml:space="preserve">1240 — XII, eap (2 = 1, 1/2 = 7, 1 = 82 [7 podw.], nietyp. = 4) = 94.</w:t>
      </w:r>
    </w:p>
    <w:p>
      <w:pPr>
        <w:numPr>
          <w:ilvl w:val="0"/>
          <w:numId w:val="1073"/>
        </w:numPr>
      </w:pPr>
      <w:r>
        <w:t xml:space="preserve">2356 — XIV, eap (2 = 1, 1/2 = 9, 1 = 76 [2 podw.], nietyp. = 4) = 90.</w:t>
      </w:r>
    </w:p>
    <w:p>
      <w:pPr>
        <w:numPr>
          <w:ilvl w:val="0"/>
          <w:numId w:val="1073"/>
        </w:numPr>
      </w:pPr>
      <w:r>
        <w:t xml:space="preserve">1880 — X, ap (2 = 2, 1/2 = 10, 1 = 84 [5 podw.], nietyp. = 2) = 98.</w:t>
      </w:r>
    </w:p>
    <w:p>
      <w:pPr>
        <w:numPr>
          <w:ilvl w:val="0"/>
          <w:numId w:val="1073"/>
        </w:numPr>
      </w:pPr>
      <w:r>
        <w:t xml:space="preserve">2502 — 1242, eap (2 = 1, 1/2 = 9, 1 = 73 [6 podw.], nietyp. = 2) = 85.</w:t>
      </w:r>
    </w:p>
    <w:p>
      <w:pPr>
        <w:numPr>
          <w:ilvl w:val="0"/>
          <w:numId w:val="1073"/>
        </w:numPr>
      </w:pPr>
      <w:r>
        <w:t xml:space="preserve">1242 — XIII, eap (2 = 1, 1/2 = 9, 1 = 86 [4 podw.], nietyp. = 2) = 98.</w:t>
      </w:r>
    </w:p>
    <w:p>
      <w:pPr>
        <w:numPr>
          <w:ilvl w:val="0"/>
          <w:numId w:val="1073"/>
        </w:numPr>
      </w:pPr>
      <w:r>
        <w:t xml:space="preserve">1250 — XV, eap (2 = 1, 1/2 = 10, 1 = 77 [3 podw.], nietyp. = 3) = 91 (</w:t>
      </w:r>
      <w:r>
        <w:rPr>
          <w:bCs/>
          <w:b/>
        </w:rPr>
        <w:t xml:space="preserve">f</w:t>
      </w:r>
      <w:r>
        <w:rPr>
          <w:vertAlign w:val="superscript"/>
          <w:bCs/>
          <w:b/>
        </w:rPr>
        <w:t xml:space="preserve">35</w:t>
      </w:r>
      <w:r>
        <w:t xml:space="preserve"> </w:t>
      </w:r>
      <w:r>
        <w:t xml:space="preserve">± 2).</w:t>
      </w:r>
    </w:p>
    <w:p>
      <w:pPr>
        <w:numPr>
          <w:ilvl w:val="0"/>
          <w:numId w:val="1073"/>
        </w:numPr>
      </w:pPr>
      <w:r>
        <w:t xml:space="preserve">1247 — XV, eap (2 = 1, 1/2 = 10, 1 = 81 [3 podw.], nietyp. = 3) = 95 (</w:t>
      </w:r>
      <w:r>
        <w:rPr>
          <w:bCs/>
          <w:b/>
        </w:rPr>
        <w:t xml:space="preserve">f</w:t>
      </w:r>
      <w:r>
        <w:rPr>
          <w:vertAlign w:val="superscript"/>
          <w:bCs/>
          <w:b/>
        </w:rPr>
        <w:t xml:space="preserve">35</w:t>
      </w:r>
      <w:r>
        <w:t xml:space="preserve"> </w:t>
      </w:r>
      <w:r>
        <w:t xml:space="preserve">± 2).</w:t>
      </w:r>
    </w:p>
    <w:p>
      <w:pPr>
        <w:numPr>
          <w:ilvl w:val="0"/>
          <w:numId w:val="1073"/>
        </w:numPr>
      </w:pPr>
      <w:r>
        <w:t xml:space="preserve">1876 — XV, apr (2 = 1, 1/2 = 11, 1 = 83 [3 podw.], nietyp. = 3) = 98 (</w:t>
      </w:r>
      <w:r>
        <w:rPr>
          <w:bCs/>
          <w:b/>
        </w:rPr>
        <w:t xml:space="preserve">f</w:t>
      </w:r>
      <w:r>
        <w:rPr>
          <w:vertAlign w:val="superscript"/>
          <w:bCs/>
          <w:b/>
        </w:rPr>
        <w:t xml:space="preserve">35</w:t>
      </w:r>
      <w:r>
        <w:t xml:space="preserve"> </w:t>
      </w:r>
      <w:r>
        <w:t xml:space="preserve">± 2).</w:t>
      </w:r>
    </w:p>
    <w:p>
      <w:pPr>
        <w:numPr>
          <w:ilvl w:val="0"/>
          <w:numId w:val="1073"/>
        </w:numPr>
      </w:pPr>
      <w:r>
        <w:t xml:space="preserve">1249 — 1324, ap (2 = 1, 1/2 = 10, 1 = 84 [3 podw.], nietyp. = 2) = 97 (</w:t>
      </w:r>
      <w:r>
        <w:rPr>
          <w:bCs/>
          <w:b/>
        </w:rPr>
        <w:t xml:space="preserve">f</w:t>
      </w:r>
      <w:r>
        <w:rPr>
          <w:vertAlign w:val="superscript"/>
          <w:bCs/>
          <w:b/>
        </w:rPr>
        <w:t xml:space="preserve">35</w:t>
      </w:r>
      <w:r>
        <w:t xml:space="preserve"> </w:t>
      </w:r>
      <w:r>
        <w:t xml:space="preserve">± 1).</w:t>
      </w:r>
    </w:p>
    <w:p>
      <w:pPr>
        <w:numPr>
          <w:ilvl w:val="0"/>
          <w:numId w:val="1073"/>
        </w:numPr>
      </w:pPr>
      <w:r>
        <w:t xml:space="preserve">1248 — XIV, eap (2 = 1, 1/2 = 11, 1 = 84 [3 podw.], sing = 1, nietyp. = 1) = 98 (</w:t>
      </w:r>
      <w:r>
        <w:rPr>
          <w:bCs/>
          <w:b/>
        </w:rPr>
        <w:t xml:space="preserve">f</w:t>
      </w:r>
      <w:r>
        <w:rPr>
          <w:vertAlign w:val="superscript"/>
          <w:bCs/>
          <w:b/>
        </w:rPr>
        <w:t xml:space="preserve">35</w:t>
      </w:r>
      <w:r>
        <w:t xml:space="preserve"> </w:t>
      </w:r>
      <w:r>
        <w:t xml:space="preserve">± 1).</w:t>
      </w:r>
    </w:p>
    <w:p>
      <w:pPr>
        <w:numPr>
          <w:ilvl w:val="0"/>
          <w:numId w:val="1073"/>
        </w:numPr>
      </w:pPr>
      <w:r>
        <w:t xml:space="preserve">2501 — XVI, ap (2 = 1, 1/2 = 11, 1 = 83 [5 podw.], nietyp. = 1) = 96 (</w:t>
      </w:r>
      <w:r>
        <w:rPr>
          <w:bCs/>
          <w:b/>
        </w:rPr>
        <w:t xml:space="preserve">f</w:t>
      </w:r>
      <w:r>
        <w:rPr>
          <w:vertAlign w:val="superscript"/>
          <w:bCs/>
          <w:b/>
        </w:rPr>
        <w:t xml:space="preserve">35</w:t>
      </w:r>
      <w:r>
        <w:t xml:space="preserve"> </w:t>
      </w:r>
      <w:r>
        <w:t xml:space="preserve">± 4).</w:t>
      </w:r>
    </w:p>
    <w:p>
      <w:pPr>
        <w:numPr>
          <w:ilvl w:val="0"/>
          <w:numId w:val="1073"/>
        </w:numPr>
      </w:pPr>
      <w:r>
        <w:t xml:space="preserve">2085 — 1308, ap (2 = 0, 1/2 = 11, 1 = 84 [3 podw.], sing = 1, nietyp. = 2) = 98.</w:t>
      </w:r>
    </w:p>
    <w:p>
      <w:pPr>
        <w:numPr>
          <w:ilvl w:val="0"/>
          <w:numId w:val="1073"/>
        </w:numPr>
      </w:pPr>
      <w:r>
        <w:t xml:space="preserve">1244 — XI, ap (2 = 0, 1/2 = 10, 1 = 85 [3 podw.], nietyp. = 2) = 97.</w:t>
      </w:r>
    </w:p>
    <w:p>
      <w:pPr>
        <w:numPr>
          <w:ilvl w:val="0"/>
          <w:numId w:val="1073"/>
        </w:numPr>
      </w:pPr>
      <w:r>
        <w:t xml:space="preserve">2799 — XIV, ap (2 = 0, 1/2 = 3, 1 = 28 [2 podw.], sing = 1, nietyp. = 1) = 33.</w:t>
      </w:r>
      <w:r>
        <w:rPr>
          <w:rStyle w:val="FootnoteReference"/>
        </w:rPr>
        <w:footnoteReference w:id="367"/>
      </w:r>
    </w:p>
    <w:p>
      <w:pPr>
        <w:pStyle w:val="FirstParagraph"/>
      </w:pPr>
      <w:r>
        <w:t xml:space="preserve">Absolutnie żadne dwa manuskrypty nie są identyczne, nawet sześć manuskryptów</w:t>
      </w:r>
      <w:r>
        <w:t xml:space="preserve"> </w:t>
      </w:r>
      <w:r>
        <w:rPr>
          <w:bCs/>
          <w:b/>
        </w:rPr>
        <w:t xml:space="preserve">f</w:t>
      </w:r>
      <w:r>
        <w:rPr>
          <w:vertAlign w:val="superscript"/>
          <w:bCs/>
          <w:b/>
        </w:rPr>
        <w:t xml:space="preserve">35</w:t>
      </w:r>
      <w:r>
        <w:t xml:space="preserve"> </w:t>
      </w:r>
      <w:r>
        <w:t xml:space="preserve">różni się co najmniej jednym wariantem. Pozostałe manuskrypty bizantyjskie są wszystkie odmienne, niektóre naprawdę znacznie,</w:t>
      </w:r>
      <w:r>
        <w:rPr>
          <w:rStyle w:val="FootnoteReference"/>
        </w:rPr>
        <w:footnoteReference w:id="368"/>
      </w:r>
      <w:r>
        <w:t xml:space="preserve"> </w:t>
      </w:r>
      <w:r>
        <w:t xml:space="preserve">a jednak wszystkie wyraźnie mieszczą się w tradycji bizantyjskiej.</w:t>
      </w:r>
      <w:r>
        <w:rPr>
          <w:rStyle w:val="FootnoteReference"/>
        </w:rPr>
        <w:footnoteReference w:id="369"/>
      </w:r>
      <w:r>
        <w:t xml:space="preserve"> </w:t>
      </w:r>
      <w:r>
        <w:t xml:space="preserve">Tych 26 manuskryptów reprezentuje tyle samo egzemplarzy, nie było „chowu wsobnego” ani upychania urny wyborczej, każdy kopista próbował odtworzyć to, co miał przed sobą, niezależnie od rodzaju tekstu. Ponieważ manuskrypty nadal znajdowały się tam w 1800 roku, nie sporządzono ich, aby zrealizować zamówienie z innego miejsca. Ze względu na izolację niektórzy przodkowie 26 zachowanych manuskryptów równie dobrze mogli zostać przyniesieni do klasztoru przed podbojem islamskim.</w:t>
      </w:r>
    </w:p>
    <w:p>
      <w:pPr>
        <w:pStyle w:val="BodyText"/>
      </w:pPr>
      <w:r>
        <w:t xml:space="preserve">Profile pięciu pierwszych manuskryptów na powyższej liście są</w:t>
      </w:r>
      <w:r>
        <w:t xml:space="preserve"> </w:t>
      </w:r>
      <w:r>
        <w:rPr>
          <w:bCs/>
          <w:b/>
        </w:rPr>
        <w:t xml:space="preserve">bardzo</w:t>
      </w:r>
      <w:r>
        <w:t xml:space="preserve"> </w:t>
      </w:r>
      <w:r>
        <w:t xml:space="preserve">odmienne, różne od siebie nawzajem, żaden nie jest kopią ℵ, co uważam za osobliwe. Najwyraźniej ℵ nie był kopiowany — dlaczego?</w:t>
      </w:r>
      <w:r>
        <w:rPr>
          <w:rStyle w:val="FootnoteReference"/>
        </w:rPr>
        <w:footnoteReference w:id="370"/>
      </w:r>
    </w:p>
    <w:bookmarkEnd w:id="371"/>
    <w:bookmarkStart w:id="373" w:name="megistis-lavras"/>
    <w:p>
      <w:pPr>
        <w:pStyle w:val="Heading4"/>
      </w:pPr>
      <w:r>
        <w:rPr>
          <w:iCs/>
          <w:i/>
        </w:rPr>
        <w:t xml:space="preserve">Megistis Lavras</w:t>
      </w:r>
    </w:p>
    <w:p>
      <w:pPr>
        <w:pStyle w:val="FirstParagraph"/>
      </w:pPr>
      <w:r>
        <w:t xml:space="preserve">Dobrze, ale co z M. Lavras? Czy nieproporcjonalnie wysoki odsetek manuskryptów</w:t>
      </w:r>
      <w:r>
        <w:t xml:space="preserve"> </w:t>
      </w:r>
      <w:r>
        <w:rPr>
          <w:bCs/>
          <w:b/>
        </w:rPr>
        <w:t xml:space="preserve">f</w:t>
      </w:r>
      <w:r>
        <w:rPr>
          <w:vertAlign w:val="superscript"/>
          <w:bCs/>
          <w:b/>
        </w:rPr>
        <w:t xml:space="preserve">35</w:t>
      </w:r>
      <w:r>
        <w:t xml:space="preserve"> </w:t>
      </w:r>
      <w:r>
        <w:t xml:space="preserve">nie jest podejrzany? Aby się tego dowiedzieć, musimy zrobić dla M. Lavras to, co zrobiliśmy dla Synaju, co będzie oznaczało dwa razy więcej pracy (52 × 26). Ponownie wymienię manuskrypty w malejącym porządku „aleksandryjskości”, z zastrzeżeniem, że porządek taki jest istotny tylko dla pierwszych dziewięciu lub dziesięciu:</w:t>
      </w:r>
    </w:p>
    <w:p>
      <w:pPr>
        <w:numPr>
          <w:ilvl w:val="0"/>
          <w:numId w:val="1074"/>
        </w:numPr>
      </w:pPr>
      <w:r>
        <w:t xml:space="preserve">1739 — X, ap (2 = 66 [4 podw.], 1/2 = 7, 1 = 12 [2 podw.], nietyp. = 13) = 98.</w:t>
      </w:r>
    </w:p>
    <w:p>
      <w:pPr>
        <w:numPr>
          <w:ilvl w:val="0"/>
          <w:numId w:val="1074"/>
        </w:numPr>
      </w:pPr>
      <w:r>
        <w:t xml:space="preserve">044 — VIII, ap (2 = 52 [1 podw.], 1/2 = 7, 1 = 20, sing = 7, nietyp. = 11) = 97.</w:t>
      </w:r>
    </w:p>
    <w:p>
      <w:pPr>
        <w:numPr>
          <w:ilvl w:val="0"/>
          <w:numId w:val="1074"/>
        </w:numPr>
      </w:pPr>
      <w:r>
        <w:t xml:space="preserve">1735 — XI, ap (2 = 43 [2 podw.], 1/2 = 7 [1 podw.], 1 = 35 [2 podw.], sing = 1, nietyp. = 12) = 98.</w:t>
      </w:r>
    </w:p>
    <w:p>
      <w:pPr>
        <w:numPr>
          <w:ilvl w:val="0"/>
          <w:numId w:val="1074"/>
        </w:numPr>
      </w:pPr>
      <w:r>
        <w:t xml:space="preserve">1505 — XII, eap (2 = 41 [3 podw.], 1/2 = 4, 1 = 35 [3 podw.], nietyp. = 18) = 98.</w:t>
      </w:r>
    </w:p>
    <w:p>
      <w:pPr>
        <w:numPr>
          <w:ilvl w:val="0"/>
          <w:numId w:val="1074"/>
        </w:numPr>
      </w:pPr>
      <w:r>
        <w:t xml:space="preserve">1448 — XI, eap (2 = 23, 1/2 = 7 [1 podw.], 1 = 58 [2 podw.], sing = 1, nietyp. = 8) = 97.</w:t>
      </w:r>
    </w:p>
    <w:p>
      <w:pPr>
        <w:numPr>
          <w:ilvl w:val="0"/>
          <w:numId w:val="1074"/>
        </w:numPr>
      </w:pPr>
      <w:r>
        <w:t xml:space="preserve">1490 — XII, eap (2 = 13, 1/2 = 7 [1 podw.], 1 = 69 [4 podw.], nietyp. = 9) = 98.</w:t>
      </w:r>
    </w:p>
    <w:p>
      <w:pPr>
        <w:numPr>
          <w:ilvl w:val="0"/>
          <w:numId w:val="1074"/>
        </w:numPr>
      </w:pPr>
      <w:r>
        <w:t xml:space="preserve">1751 — 1479, ap (2 = 7 [1 podw.], 1/2 = 11 [1 podw.], 1 = 69 [3 podw.], sing = 5, nietyp. = 6) = 98.</w:t>
      </w:r>
    </w:p>
    <w:p>
      <w:pPr>
        <w:numPr>
          <w:ilvl w:val="0"/>
          <w:numId w:val="1074"/>
        </w:numPr>
      </w:pPr>
      <w:r>
        <w:t xml:space="preserve">1501 — XIII, eap (2 = 8 [1 podw.], 1/2 = 8, 1 = 73 [1 podw.], sing = 1, nietyp. = 8) = 98.</w:t>
      </w:r>
    </w:p>
    <w:p>
      <w:pPr>
        <w:numPr>
          <w:ilvl w:val="0"/>
          <w:numId w:val="1074"/>
        </w:numPr>
      </w:pPr>
      <w:r>
        <w:t xml:space="preserve">1661 — XV, eap (2 = 6, 1/2 = 9 [1 podw.], 1 = 73 [5 podw.], sing = 3, nietyp. = 7) = 98.</w:t>
      </w:r>
    </w:p>
    <w:p>
      <w:pPr>
        <w:pStyle w:val="FirstParagraph"/>
      </w:pPr>
      <w:r>
        <w:t xml:space="preserve">Od tego miejsca w dół wszystkie manuskrypty mieszczą się w strumieniu bizantyjskim.</w:t>
      </w:r>
    </w:p>
    <w:p>
      <w:pPr>
        <w:numPr>
          <w:ilvl w:val="0"/>
          <w:numId w:val="1075"/>
        </w:numPr>
      </w:pPr>
      <w:r>
        <w:t xml:space="preserve">1609 — XIV, eap (2 = 9 [1 podw.], 1/2 = 9, 1 = 76 [4 podw.], nietyp. = 3) = 97.</w:t>
      </w:r>
    </w:p>
    <w:p>
      <w:pPr>
        <w:numPr>
          <w:ilvl w:val="0"/>
          <w:numId w:val="1075"/>
        </w:numPr>
      </w:pPr>
      <w:r>
        <w:t xml:space="preserve">1646 — 1172, eap (2 = 3, 1/2 = 10, 1 = 77 [6 podw.], sing = 5, nietyp. = 3) = 98.</w:t>
      </w:r>
    </w:p>
    <w:p>
      <w:pPr>
        <w:numPr>
          <w:ilvl w:val="0"/>
          <w:numId w:val="1075"/>
        </w:numPr>
      </w:pPr>
      <w:r>
        <w:t xml:space="preserve">1509 — XIII, eap (2 = 3, 1/2 = 9, 1 = 77 [5 podw.], sing = 3, nietyp. = 5) = 97.</w:t>
      </w:r>
    </w:p>
    <w:p>
      <w:pPr>
        <w:numPr>
          <w:ilvl w:val="0"/>
          <w:numId w:val="1075"/>
        </w:numPr>
      </w:pPr>
      <w:r>
        <w:t xml:space="preserve">1744 — XIV, ap (2 = 2, 1/2 = 8, 1 = 81 [2 podw.], sing = 2, nietyp. = 5) = 98.</w:t>
      </w:r>
    </w:p>
    <w:p>
      <w:pPr>
        <w:numPr>
          <w:ilvl w:val="0"/>
          <w:numId w:val="1075"/>
        </w:numPr>
      </w:pPr>
      <w:r>
        <w:t xml:space="preserve">1643 — XIV, eap (2 = 3, 1/2 = 7, 1 = 82 [3 podw.], nietyp. = 6) = 98.</w:t>
      </w:r>
    </w:p>
    <w:p>
      <w:pPr>
        <w:numPr>
          <w:ilvl w:val="0"/>
          <w:numId w:val="1075"/>
        </w:numPr>
      </w:pPr>
      <w:r>
        <w:t xml:space="preserve">1626 — XV, eapr (2 = 2, 1/2 = 9, 1 = 81 [6 podw.], sing = 1, nietyp. = 5) = 98.</w:t>
      </w:r>
    </w:p>
    <w:p>
      <w:pPr>
        <w:numPr>
          <w:ilvl w:val="0"/>
          <w:numId w:val="1075"/>
        </w:numPr>
      </w:pPr>
      <w:r>
        <w:t xml:space="preserve">1743 — XII, ap (2 = 1, 1/2 = 7 [1 podw.], 1 = 83 [2 podw.], nietyp. = 7) = 98.</w:t>
      </w:r>
    </w:p>
    <w:p>
      <w:pPr>
        <w:numPr>
          <w:ilvl w:val="0"/>
          <w:numId w:val="1075"/>
        </w:numPr>
      </w:pPr>
      <w:r>
        <w:t xml:space="preserve">1622 — XIV, eap (2 = 4, 1/2 = 10, 1 = 81 [4 podw.], nietyp. = 3) = 98.</w:t>
      </w:r>
    </w:p>
    <w:p>
      <w:pPr>
        <w:numPr>
          <w:ilvl w:val="0"/>
          <w:numId w:val="1075"/>
        </w:numPr>
      </w:pPr>
      <w:r>
        <w:t xml:space="preserve">2194 — 1118, ap (2 = 2, 1/2 = 8, 1 = 83 [2 podw.], nietyp. = 5) = 98.</w:t>
      </w:r>
    </w:p>
    <w:p>
      <w:pPr>
        <w:numPr>
          <w:ilvl w:val="0"/>
          <w:numId w:val="1075"/>
        </w:numPr>
      </w:pPr>
      <w:r>
        <w:t xml:space="preserve">1495 — XIV, eap (2 = 4, 1/2 = 10, 1 = 82 [5 podw.], nietyp. = 2) = 98.</w:t>
      </w:r>
    </w:p>
    <w:p>
      <w:pPr>
        <w:numPr>
          <w:ilvl w:val="0"/>
          <w:numId w:val="1075"/>
        </w:numPr>
      </w:pPr>
      <w:r>
        <w:t xml:space="preserve">1642 — 1278, eap (2 = 1, 1/2 = 10, 1 = 82 [6 podw.], sing = 1, nietyp. = 3) = 97.</w:t>
      </w:r>
    </w:p>
    <w:p>
      <w:pPr>
        <w:numPr>
          <w:ilvl w:val="0"/>
          <w:numId w:val="1075"/>
        </w:numPr>
      </w:pPr>
      <w:r>
        <w:t xml:space="preserve">1738 — XI, ap (2 = 2, 1/2 = 10, 1 = 82 [8 podw.], nietyp. = 3) = 97.</w:t>
      </w:r>
    </w:p>
    <w:p>
      <w:pPr>
        <w:numPr>
          <w:ilvl w:val="0"/>
          <w:numId w:val="1075"/>
        </w:numPr>
      </w:pPr>
      <w:r>
        <w:t xml:space="preserve">1649 — XV, eap (2 = 2, 1/2 = 9, 1 = 84 [5 podw.], nietyp. = 3) = 98.</w:t>
      </w:r>
    </w:p>
    <w:p>
      <w:pPr>
        <w:numPr>
          <w:ilvl w:val="0"/>
          <w:numId w:val="1075"/>
        </w:numPr>
      </w:pPr>
      <w:r>
        <w:t xml:space="preserve">1734 — 1015, apr (2 = 1, 1/2 = 9, 1 = 82 [1 podw.], nietyp. = 4) = 96.</w:t>
      </w:r>
    </w:p>
    <w:p>
      <w:pPr>
        <w:numPr>
          <w:ilvl w:val="0"/>
          <w:numId w:val="1075"/>
        </w:numPr>
      </w:pPr>
      <w:r>
        <w:t xml:space="preserve">049 — IX, ap (2 = 1 [1 podw.], 1/2 = 9, 1 = 84 [4 podw.], nietyp. = 3) = 97.</w:t>
      </w:r>
    </w:p>
    <w:p>
      <w:pPr>
        <w:numPr>
          <w:ilvl w:val="0"/>
          <w:numId w:val="1075"/>
        </w:numPr>
      </w:pPr>
      <w:r>
        <w:t xml:space="preserve">1741 — XIV, ap (2 = 0, 1/2 = 7 [1 podw.], 1 = 87 [4 podw.], nietyp. = 4) = 98.</w:t>
      </w:r>
    </w:p>
    <w:p>
      <w:pPr>
        <w:numPr>
          <w:ilvl w:val="0"/>
          <w:numId w:val="1075"/>
        </w:numPr>
      </w:pPr>
      <w:r>
        <w:t xml:space="preserve">1456 — XIII, eap (2 = 0, 1/2 = 8 [1 podw.], 1 = 69 [2 podw.], nietyp. = 4) = 81.</w:t>
      </w:r>
    </w:p>
    <w:p>
      <w:pPr>
        <w:numPr>
          <w:ilvl w:val="0"/>
          <w:numId w:val="1075"/>
        </w:numPr>
      </w:pPr>
      <w:r>
        <w:t xml:space="preserve">1747 — XIV, ap (2 = 1, 1/2 = 9, 1 = 84 [6 podw.], nietyp. = 2) = 96.</w:t>
      </w:r>
    </w:p>
    <w:p>
      <w:pPr>
        <w:numPr>
          <w:ilvl w:val="0"/>
          <w:numId w:val="1075"/>
        </w:numPr>
      </w:pPr>
      <w:r>
        <w:t xml:space="preserve">1736 — XIII, ap (2 = 1, 1/2 = 10, 1 = 83 [4 podw.], nietyp. = 2) = 96.</w:t>
      </w:r>
    </w:p>
    <w:p>
      <w:pPr>
        <w:numPr>
          <w:ilvl w:val="0"/>
          <w:numId w:val="1075"/>
        </w:numPr>
      </w:pPr>
      <w:r>
        <w:t xml:space="preserve">2511 — XIV, eap (2 = 1, 1/2 = 10 [1 podw.], 1 = 76 [1 podw.], nietyp. = 2) = 89.</w:t>
      </w:r>
    </w:p>
    <w:p>
      <w:pPr>
        <w:numPr>
          <w:ilvl w:val="0"/>
          <w:numId w:val="1075"/>
        </w:numPr>
      </w:pPr>
      <w:r>
        <w:t xml:space="preserve">1750 — XV, ap (2 = 0, 1/2 = 9, 1 = 87 [3 podw.], nietyp. = 2) = 98.</w:t>
      </w:r>
    </w:p>
    <w:p>
      <w:pPr>
        <w:numPr>
          <w:ilvl w:val="0"/>
          <w:numId w:val="1075"/>
        </w:numPr>
      </w:pPr>
      <w:r>
        <w:t xml:space="preserve">1733 — XIV, apr (2 = 1, 1/2 = 11, 1 = 83 [3 podw.], nietyp. = 3) = 98 (</w:t>
      </w:r>
      <w:r>
        <w:rPr>
          <w:bCs/>
          <w:b/>
        </w:rPr>
        <w:t xml:space="preserve">f</w:t>
      </w:r>
      <w:r>
        <w:rPr>
          <w:vertAlign w:val="superscript"/>
          <w:bCs/>
          <w:b/>
        </w:rPr>
        <w:t xml:space="preserve">35</w:t>
      </w:r>
      <w:r>
        <w:t xml:space="preserve"> </w:t>
      </w:r>
      <w:r>
        <w:t xml:space="preserve">± 2) (16, 91).</w:t>
      </w:r>
    </w:p>
    <w:p>
      <w:pPr>
        <w:numPr>
          <w:ilvl w:val="0"/>
          <w:numId w:val="1075"/>
        </w:numPr>
      </w:pPr>
      <w:r>
        <w:t xml:space="preserve">1732 — 1384, apr (2 = 2, 1/2 = 11 [1 podw.], 1 = 83 [3 podw.], nietyp. = 1) = 97 (</w:t>
      </w:r>
      <w:r>
        <w:rPr>
          <w:bCs/>
          <w:b/>
        </w:rPr>
        <w:t xml:space="preserve">f</w:t>
      </w:r>
      <w:r>
        <w:rPr>
          <w:vertAlign w:val="superscript"/>
          <w:bCs/>
          <w:b/>
        </w:rPr>
        <w:t xml:space="preserve">35</w:t>
      </w:r>
      <w:r>
        <w:t xml:space="preserve"> </w:t>
      </w:r>
      <w:r>
        <w:t xml:space="preserve">± 2) (1, 72).</w:t>
      </w:r>
    </w:p>
    <w:p>
      <w:pPr>
        <w:numPr>
          <w:ilvl w:val="0"/>
          <w:numId w:val="1075"/>
        </w:numPr>
      </w:pPr>
      <w:r>
        <w:t xml:space="preserve">1508 — XV, eap (2 = 1, 1/2 = 10, 1 = 85 [4 podw.], nietyp. = 2) = 98 (</w:t>
      </w:r>
      <w:r>
        <w:rPr>
          <w:bCs/>
          <w:b/>
        </w:rPr>
        <w:t xml:space="preserve">f</w:t>
      </w:r>
      <w:r>
        <w:rPr>
          <w:vertAlign w:val="superscript"/>
          <w:bCs/>
          <w:b/>
        </w:rPr>
        <w:t xml:space="preserve">35</w:t>
      </w:r>
      <w:r>
        <w:t xml:space="preserve"> </w:t>
      </w:r>
      <w:r>
        <w:t xml:space="preserve">± 2) (21, 65).</w:t>
      </w:r>
    </w:p>
    <w:p>
      <w:pPr>
        <w:numPr>
          <w:ilvl w:val="0"/>
          <w:numId w:val="1075"/>
        </w:numPr>
      </w:pPr>
      <w:r>
        <w:t xml:space="preserve">1482 — 1304, eap (2 = 1, 1/2 = 10, 1 = 85 [2 podw.], nietyp. = 2) = 98 (</w:t>
      </w:r>
      <w:r>
        <w:rPr>
          <w:bCs/>
          <w:b/>
        </w:rPr>
        <w:t xml:space="preserve">f</w:t>
      </w:r>
      <w:r>
        <w:rPr>
          <w:vertAlign w:val="superscript"/>
          <w:bCs/>
          <w:b/>
        </w:rPr>
        <w:t xml:space="preserve">35</w:t>
      </w:r>
      <w:r>
        <w:t xml:space="preserve"> </w:t>
      </w:r>
      <w:r>
        <w:t xml:space="preserve">± 2) (45, 65).</w:t>
      </w:r>
    </w:p>
    <w:p>
      <w:pPr>
        <w:numPr>
          <w:ilvl w:val="0"/>
          <w:numId w:val="1075"/>
        </w:numPr>
      </w:pPr>
      <w:r>
        <w:t xml:space="preserve">1656 — XV, eap (2 = 1, 1/2 = 11, 1 = 84 [2 podw.], nietyp. = 2) = 98 (</w:t>
      </w:r>
      <w:r>
        <w:rPr>
          <w:bCs/>
          <w:b/>
        </w:rPr>
        <w:t xml:space="preserve">f</w:t>
      </w:r>
      <w:r>
        <w:rPr>
          <w:vertAlign w:val="superscript"/>
          <w:bCs/>
          <w:b/>
        </w:rPr>
        <w:t xml:space="preserve">35</w:t>
      </w:r>
      <w:r>
        <w:t xml:space="preserve"> </w:t>
      </w:r>
      <w:r>
        <w:t xml:space="preserve">± 2) (8, 45).</w:t>
      </w:r>
    </w:p>
    <w:p>
      <w:pPr>
        <w:numPr>
          <w:ilvl w:val="0"/>
          <w:numId w:val="1075"/>
        </w:numPr>
      </w:pPr>
      <w:r>
        <w:t xml:space="preserve">1748 — 1662, ap (2 = 1, 1/2 = 11, 1 = 85 [4 podw.], nietyp. = 1) = 98 (</w:t>
      </w:r>
      <w:r>
        <w:rPr>
          <w:bCs/>
          <w:b/>
        </w:rPr>
        <w:t xml:space="preserve">f</w:t>
      </w:r>
      <w:r>
        <w:rPr>
          <w:vertAlign w:val="superscript"/>
          <w:bCs/>
          <w:b/>
        </w:rPr>
        <w:t xml:space="preserve">35</w:t>
      </w:r>
      <w:r>
        <w:t xml:space="preserve"> </w:t>
      </w:r>
      <w:r>
        <w:t xml:space="preserve">± 2) (32, 62).</w:t>
      </w:r>
    </w:p>
    <w:p>
      <w:pPr>
        <w:numPr>
          <w:ilvl w:val="0"/>
          <w:numId w:val="1075"/>
        </w:numPr>
      </w:pPr>
      <w:r>
        <w:t xml:space="preserve">1737 — XII, ap (2 = 1, 1/2 = 11, 1 = 85 [3 podw.], nietyp. = 1) = 98 (</w:t>
      </w:r>
      <w:r>
        <w:rPr>
          <w:bCs/>
          <w:b/>
        </w:rPr>
        <w:t xml:space="preserve">f</w:t>
      </w:r>
      <w:r>
        <w:rPr>
          <w:vertAlign w:val="superscript"/>
          <w:bCs/>
          <w:b/>
        </w:rPr>
        <w:t xml:space="preserve">35</w:t>
      </w:r>
      <w:r>
        <w:t xml:space="preserve"> </w:t>
      </w:r>
      <w:r>
        <w:t xml:space="preserve">± 2) (32, 77).</w:t>
      </w:r>
    </w:p>
    <w:p>
      <w:pPr>
        <w:numPr>
          <w:ilvl w:val="0"/>
          <w:numId w:val="1075"/>
        </w:numPr>
      </w:pPr>
      <w:r>
        <w:t xml:space="preserve">1749 — XVI, ap (2 = 2, 1/2 = 11, 1 = 78 [3 podw.], nietyp. = 1) = 92 (</w:t>
      </w:r>
      <w:r>
        <w:rPr>
          <w:bCs/>
          <w:b/>
        </w:rPr>
        <w:t xml:space="preserve">f</w:t>
      </w:r>
      <w:r>
        <w:rPr>
          <w:vertAlign w:val="superscript"/>
          <w:bCs/>
          <w:b/>
        </w:rPr>
        <w:t xml:space="preserve">35</w:t>
      </w:r>
      <w:r>
        <w:t xml:space="preserve"> </w:t>
      </w:r>
      <w:r>
        <w:t xml:space="preserve">± 1) (29).</w:t>
      </w:r>
    </w:p>
    <w:p>
      <w:pPr>
        <w:numPr>
          <w:ilvl w:val="0"/>
          <w:numId w:val="1075"/>
        </w:numPr>
      </w:pPr>
      <w:r>
        <w:t xml:space="preserve">1637 — 1328, eapr (2 = 2, 1/2 = 11, 1 = 84 [3 podw.], nietyp. = 1) = 98 (</w:t>
      </w:r>
      <w:r>
        <w:rPr>
          <w:bCs/>
          <w:b/>
        </w:rPr>
        <w:t xml:space="preserve">f</w:t>
      </w:r>
      <w:r>
        <w:rPr>
          <w:vertAlign w:val="superscript"/>
          <w:bCs/>
          <w:b/>
        </w:rPr>
        <w:t xml:space="preserve">35</w:t>
      </w:r>
      <w:r>
        <w:t xml:space="preserve"> </w:t>
      </w:r>
      <w:r>
        <w:t xml:space="preserve">± 1) (17).</w:t>
      </w:r>
    </w:p>
    <w:p>
      <w:pPr>
        <w:numPr>
          <w:ilvl w:val="0"/>
          <w:numId w:val="1075"/>
        </w:numPr>
      </w:pPr>
      <w:r>
        <w:t xml:space="preserve">1740 — XIII, apr (2 = 1, 1/2 = 11, 1 = 85 [4 podw.], nietyp. = 1) = 98 (</w:t>
      </w:r>
      <w:r>
        <w:rPr>
          <w:bCs/>
          <w:b/>
        </w:rPr>
        <w:t xml:space="preserve">f</w:t>
      </w:r>
      <w:r>
        <w:rPr>
          <w:vertAlign w:val="superscript"/>
          <w:bCs/>
          <w:b/>
        </w:rPr>
        <w:t xml:space="preserve">35</w:t>
      </w:r>
      <w:r>
        <w:t xml:space="preserve"> </w:t>
      </w:r>
      <w:r>
        <w:t xml:space="preserve">± 1) (39).</w:t>
      </w:r>
    </w:p>
    <w:p>
      <w:pPr>
        <w:numPr>
          <w:ilvl w:val="0"/>
          <w:numId w:val="1075"/>
        </w:numPr>
      </w:pPr>
      <w:r>
        <w:t xml:space="preserve">1617 — XV, eapr (2 = 1, 1/2 = 11, 1 = 85 [4 podw.], nietyp. = 1) = 98 (</w:t>
      </w:r>
      <w:r>
        <w:rPr>
          <w:bCs/>
          <w:b/>
        </w:rPr>
        <w:t xml:space="preserve">f</w:t>
      </w:r>
      <w:r>
        <w:rPr>
          <w:vertAlign w:val="superscript"/>
          <w:bCs/>
          <w:b/>
        </w:rPr>
        <w:t xml:space="preserve">35</w:t>
      </w:r>
      <w:r>
        <w:t xml:space="preserve"> </w:t>
      </w:r>
      <w:r>
        <w:t xml:space="preserve">± 1) (21).</w:t>
      </w:r>
    </w:p>
    <w:p>
      <w:pPr>
        <w:numPr>
          <w:ilvl w:val="0"/>
          <w:numId w:val="1075"/>
        </w:numPr>
      </w:pPr>
      <w:r>
        <w:t xml:space="preserve">1618 — 1568, eap (2 = 1, 1/2 = 11, 1 = 85 [2 podw.], nietyp. = 1) = 98 (</w:t>
      </w:r>
      <w:r>
        <w:rPr>
          <w:bCs/>
          <w:b/>
        </w:rPr>
        <w:t xml:space="preserve">f</w:t>
      </w:r>
      <w:r>
        <w:rPr>
          <w:vertAlign w:val="superscript"/>
          <w:bCs/>
          <w:b/>
        </w:rPr>
        <w:t xml:space="preserve">35</w:t>
      </w:r>
      <w:r>
        <w:t xml:space="preserve"> </w:t>
      </w:r>
      <w:r>
        <w:t xml:space="preserve">± 1) (32).</w:t>
      </w:r>
    </w:p>
    <w:p>
      <w:pPr>
        <w:numPr>
          <w:ilvl w:val="0"/>
          <w:numId w:val="1075"/>
        </w:numPr>
      </w:pPr>
      <w:r>
        <w:t xml:space="preserve">1072 — XIII,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1075 — XIV,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1503 — 1317,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1619 — XIV,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1628 — 1400,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1636 — XV,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1745 — XV,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1746 — XIV,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1652 — XVI, eap (2 = 1, 1/2 = 3, 1 = 21) = 25 (</w:t>
      </w:r>
      <w:r>
        <w:rPr>
          <w:bCs/>
          <w:b/>
        </w:rPr>
        <w:t xml:space="preserve">f</w:t>
      </w:r>
      <w:r>
        <w:rPr>
          <w:vertAlign w:val="superscript"/>
          <w:bCs/>
          <w:b/>
        </w:rPr>
        <w:t xml:space="preserve">35</w:t>
      </w:r>
      <w:r>
        <w:t xml:space="preserve"> </w:t>
      </w:r>
      <w:r>
        <w:t xml:space="preserve">fragm.).</w:t>
      </w:r>
    </w:p>
    <w:p>
      <w:pPr>
        <w:numPr>
          <w:ilvl w:val="0"/>
          <w:numId w:val="1075"/>
        </w:numPr>
      </w:pPr>
      <w:r>
        <w:t xml:space="preserve">1742 — XIII, ap (2 = 1, 1/2 = 11, 1 = 85 [3 podw.]) = 97 (</w:t>
      </w:r>
      <w:r>
        <w:rPr>
          <w:bCs/>
          <w:b/>
        </w:rPr>
        <w:t xml:space="preserve">f</w:t>
      </w:r>
      <w:r>
        <w:rPr>
          <w:vertAlign w:val="superscript"/>
          <w:bCs/>
          <w:b/>
        </w:rPr>
        <w:t xml:space="preserve">35</w:t>
      </w:r>
      <w:r>
        <w:t xml:space="preserve"> </w:t>
      </w:r>
      <w:r>
        <w:t xml:space="preserve">± 5).</w:t>
      </w:r>
    </w:p>
    <w:p>
      <w:pPr>
        <w:pStyle w:val="FirstParagraph"/>
      </w:pPr>
      <w:r>
        <w:t xml:space="preserve">Ponownie, odkładając na razie na bok manuskrypty</w:t>
      </w:r>
      <w:r>
        <w:t xml:space="preserve"> </w:t>
      </w:r>
      <w:r>
        <w:rPr>
          <w:bCs/>
          <w:b/>
        </w:rPr>
        <w:t xml:space="preserve">f</w:t>
      </w:r>
      <w:r>
        <w:rPr>
          <w:vertAlign w:val="superscript"/>
          <w:bCs/>
          <w:b/>
        </w:rPr>
        <w:t xml:space="preserve">35</w:t>
      </w:r>
      <w:r>
        <w:t xml:space="preserve">, absolutnie żadne dwa manuskrypty nie są identyczne. Pozostałe manuskrypty bizantyjskie są wszystkie odmienne, niektóre naprawdę znacznie, a jednak wszystkie wyraźnie mieszczą się w tradycji bizantyjskiej. Tych 30 manuskryptów reprezentuje tyle samo egzemplarzy, nie było „chowu wsobnego” ani upychania urny wyborczej, każdy kopista próbował odtworzyć to, co miał przed sobą, niezależnie od jakości tekstu. Ponieważ manuskrypty nadal znajdowały się tam w 1800 roku, nie sporządzono ich, aby zrealizować zamówienie z innego miejsca.</w:t>
      </w:r>
    </w:p>
    <w:p>
      <w:pPr>
        <w:pStyle w:val="BodyText"/>
      </w:pPr>
      <w:r>
        <w:t xml:space="preserve">Ponadto skąd klasztory brały pergamin do ciągłego sporządzania manuskryptów? Czy miały pieniądze, by wychodzić i kupować go w garbarniach? Bardziej prawdopodobne wydaje mi się, że wytwarzały go same ze skór owiec i kóz, które jadły. W takim przypadku zdobycie ilości wystarczającej na jeden Nowy Testament mogło bez trudu zająć kilka lat. Problem znalezienia wystarczającej ilości pergaminu przemawia przeciwko masowej produkcji kopii w jakimkolwiek okresie epoki welinu. Trzy datowane manuskrypty na Synaju są oddalone od siebie o osiem lat (1308, 1316, 1324) — czy zgromadzenie wystarczającej ilości welinu mogło trwać aż tak długo?</w:t>
      </w:r>
    </w:p>
    <w:p>
      <w:pPr>
        <w:pStyle w:val="BodyText"/>
      </w:pPr>
      <w:r>
        <w:t xml:space="preserve">Rozważmy teraz grupę</w:t>
      </w:r>
      <w:r>
        <w:t xml:space="preserve"> </w:t>
      </w:r>
      <w:r>
        <w:rPr>
          <w:bCs/>
          <w:b/>
        </w:rPr>
        <w:t xml:space="preserve">f</w:t>
      </w:r>
      <w:r>
        <w:rPr>
          <w:vertAlign w:val="superscript"/>
          <w:bCs/>
          <w:b/>
        </w:rPr>
        <w:t xml:space="preserve">35</w:t>
      </w:r>
      <w:r>
        <w:t xml:space="preserve">. Siedem to</w:t>
      </w:r>
      <w:r>
        <w:t xml:space="preserve"> </w:t>
      </w:r>
      <w:r>
        <w:rPr>
          <w:bCs/>
          <w:b/>
        </w:rPr>
        <w:t xml:space="preserve">f</w:t>
      </w:r>
      <w:r>
        <w:rPr>
          <w:vertAlign w:val="superscript"/>
          <w:bCs/>
          <w:b/>
        </w:rPr>
        <w:t xml:space="preserve">35</w:t>
      </w:r>
      <w:r>
        <w:t xml:space="preserve"> </w:t>
      </w:r>
      <w:r>
        <w:t xml:space="preserve">± 2, lecz żadne dwa nie mają identycznego profilu — odmienne warianty umieściłem w nawiasach okrągłych na końcu wiersza, aby czytelnik mógł to sprawdzić jednym spojrzeniem. Pięć to</w:t>
      </w:r>
      <w:r>
        <w:t xml:space="preserve"> </w:t>
      </w:r>
      <w:r>
        <w:rPr>
          <w:bCs/>
          <w:b/>
        </w:rPr>
        <w:t xml:space="preserve">f</w:t>
      </w:r>
      <w:r>
        <w:rPr>
          <w:vertAlign w:val="superscript"/>
          <w:bCs/>
          <w:b/>
        </w:rPr>
        <w:t xml:space="preserve">35</w:t>
      </w:r>
      <w:r>
        <w:t xml:space="preserve"> </w:t>
      </w:r>
      <w:r>
        <w:t xml:space="preserve">± 1, lecz również żadne dwa nie mają identycznego profilu, jak czytelnik może zobaczyć jednym spojrzeniem. Te dwanaście manuskryptów także musiało więc zostać skopiowanych z tylu samo egzemplarzy — mamy teraz 44 manuskrypty skopiowane z odrębnych egzemplarzy. Ach, ale istnieje osiem manuskryptów o doskonałym profilu</w:t>
      </w:r>
      <w:r>
        <w:t xml:space="preserve"> </w:t>
      </w:r>
      <w:r>
        <w:rPr>
          <w:bCs/>
          <w:b/>
        </w:rPr>
        <w:t xml:space="preserve">f</w:t>
      </w:r>
      <w:r>
        <w:rPr>
          <w:vertAlign w:val="superscript"/>
          <w:bCs/>
          <w:b/>
        </w:rPr>
        <w:t xml:space="preserve">35</w:t>
      </w:r>
      <w:r>
        <w:t xml:space="preserve">, co z nimi? Cóż, zacznijmy od zawartości: trzy zawierają</w:t>
      </w:r>
      <w:r>
        <w:t xml:space="preserve"> </w:t>
      </w:r>
      <w:r>
        <w:rPr>
          <w:bCs/>
          <w:b/>
        </w:rPr>
        <w:t xml:space="preserve">eapr</w:t>
      </w:r>
      <w:r>
        <w:t xml:space="preserve">, trzy</w:t>
      </w:r>
      <w:r>
        <w:t xml:space="preserve"> </w:t>
      </w:r>
      <w:r>
        <w:rPr>
          <w:bCs/>
          <w:b/>
        </w:rPr>
        <w:t xml:space="preserve">eap</w:t>
      </w:r>
      <w:r>
        <w:t xml:space="preserve">, dwa</w:t>
      </w:r>
      <w:r>
        <w:t xml:space="preserve"> </w:t>
      </w:r>
      <w:r>
        <w:rPr>
          <w:bCs/>
          <w:b/>
        </w:rPr>
        <w:t xml:space="preserve">apr</w:t>
      </w:r>
      <w:r>
        <w:t xml:space="preserve"> </w:t>
      </w:r>
      <w:r>
        <w:t xml:space="preserve">— przynajmniej te trzy grupy muszą reprezentować odrębne egzemplarze. Pozostaje nam więc najwyżej pięć manuskryptów, które mogły nie reprezentować odrębnego egzemplarza. Odkładając na bok z góry przyjęte poglądy, jaką obiektywną podstawę mógłby mieć ktokolwiek, by twierdzić, że tych pięciu nie skopiowano według tej samej zasady co pozostałe, mianowicie w celu zachowania tekstu egzemplarza? Wydaje mi się sprawiedliwe rozumienie, że 52 zachowane manuskrypty z M. Lavras reprezentują tyle samo odrębnych egzemplarzy.</w:t>
      </w:r>
      <w:r>
        <w:rPr>
          <w:rStyle w:val="FootnoteReference"/>
        </w:rPr>
        <w:footnoteReference w:id="372"/>
      </w:r>
    </w:p>
    <w:bookmarkEnd w:id="373"/>
    <w:bookmarkEnd w:id="374"/>
    <w:bookmarkStart w:id="376" w:name="recenzja-f35-kr"/>
    <w:p>
      <w:pPr>
        <w:pStyle w:val="Heading3"/>
      </w:pPr>
      <w:r>
        <w:t xml:space="preserve">Recenzja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p>
      <w:pPr>
        <w:pStyle w:val="FirstParagraph"/>
      </w:pPr>
      <w:r>
        <w:t xml:space="preserve">Ponieważ</w:t>
      </w:r>
      <w:r>
        <w:t xml:space="preserve"> </w:t>
      </w:r>
      <w:r>
        <w:rPr>
          <w:bCs/>
          <w:b/>
        </w:rPr>
        <w:t xml:space="preserve">f</w:t>
      </w:r>
      <w:r>
        <w:rPr>
          <w:vertAlign w:val="superscript"/>
          <w:bCs/>
          <w:b/>
        </w:rPr>
        <w:t xml:space="preserve">35</w:t>
      </w:r>
      <w:r>
        <w:t xml:space="preserve"> </w:t>
      </w:r>
      <w:r>
        <w:t xml:space="preserve">jest jedyną znaczącą grupą o znacznej liczbie manuskryptów i profilu określonym empirycznie, możemy z pewnością ustalić jej tekst archetypalny — mamy najbardziej spójny ze wszystkich typów tekstu. Czy jest jednak „recenzją”? Von Soden twierdził, że tak, przypisując ją do XII wieku, nie wiem, czy wskazał źródło, ale jeśli to zrobił, mylił się. Minuskuł 35 wraz z innymi manuskryptami z XI wieku należy do tej grupy — ich egzemplarze pochodziły przypuszczalnie z X wieku lub były wcześniejsze. W innym miejscu wykazałem</w:t>
      </w:r>
      <w:r>
        <w:rPr>
          <w:rStyle w:val="FootnoteReference"/>
        </w:rPr>
        <w:footnoteReference w:id="375"/>
      </w:r>
      <w:r>
        <w:t xml:space="preserve">, że</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jest niezależna od</w:t>
      </w:r>
      <w:r>
        <w:t xml:space="preserve"> </w:t>
      </w:r>
      <w:r>
        <w:rPr>
          <w:bCs/>
          <w:b/>
        </w:rPr>
        <w:t xml:space="preserve">K</w:t>
      </w:r>
      <w:r>
        <w:rPr>
          <w:vertAlign w:val="superscript"/>
          <w:bCs/>
          <w:b/>
        </w:rPr>
        <w:t xml:space="preserve">x</w:t>
      </w:r>
      <w:r>
        <w:t xml:space="preserve"> </w:t>
      </w:r>
      <w:r>
        <w:t xml:space="preserve">w całym Nowym Testamencie — jeśli jest niezależna, nie mogła opierać się na</w:t>
      </w:r>
      <w:r>
        <w:t xml:space="preserve"> </w:t>
      </w:r>
      <w:r>
        <w:rPr>
          <w:bCs/>
          <w:b/>
        </w:rPr>
        <w:t xml:space="preserve">K</w:t>
      </w:r>
      <w:r>
        <w:rPr>
          <w:vertAlign w:val="superscript"/>
          <w:bCs/>
          <w:b/>
        </w:rPr>
        <w:t xml:space="preserve">x</w:t>
      </w:r>
      <w:r>
        <w:t xml:space="preserve">.</w:t>
      </w:r>
      <w:r>
        <w:t xml:space="preserve"> </w:t>
      </w:r>
      <w:r>
        <w:rPr>
          <w:bCs/>
          <w:b/>
        </w:rPr>
        <w:t xml:space="preserve">f</w:t>
      </w:r>
      <w:r>
        <w:rPr>
          <w:vertAlign w:val="superscript"/>
          <w:bCs/>
          <w:b/>
        </w:rPr>
        <w:t xml:space="preserve">35</w:t>
      </w:r>
      <w:r>
        <w:t xml:space="preserve"> </w:t>
      </w:r>
      <w:r>
        <w:t xml:space="preserve">wielokrotnie ma jawne wczesne poświadczenie przeciwko</w:t>
      </w:r>
      <w:r>
        <w:t xml:space="preserve"> </w:t>
      </w:r>
      <w:r>
        <w:rPr>
          <w:bCs/>
          <w:b/>
        </w:rPr>
        <w:t xml:space="preserve">K</w:t>
      </w:r>
      <w:r>
        <w:rPr>
          <w:vertAlign w:val="superscript"/>
          <w:bCs/>
          <w:b/>
        </w:rPr>
        <w:t xml:space="preserve">x</w:t>
      </w:r>
      <w:r>
        <w:t xml:space="preserve">, lecz nie ma wzorca zgodności, są przypadkowe. Jest poświadczona (przeciwko</w:t>
      </w:r>
      <w:r>
        <w:t xml:space="preserve"> </w:t>
      </w:r>
      <w:r>
        <w:rPr>
          <w:bCs/>
          <w:b/>
        </w:rPr>
        <w:t xml:space="preserve">K</w:t>
      </w:r>
      <w:r>
        <w:rPr>
          <w:vertAlign w:val="superscript"/>
          <w:bCs/>
          <w:b/>
        </w:rPr>
        <w:t xml:space="preserve">x</w:t>
      </w:r>
      <w:r>
        <w:t xml:space="preserve">) przez P</w:t>
      </w:r>
      <w:r>
        <w:rPr>
          <w:vertAlign w:val="superscript"/>
        </w:rPr>
        <w:t xml:space="preserve">45,46,47,66,75</w:t>
      </w:r>
      <w:r>
        <w:t xml:space="preserve">, ℵ, A, B, C, D, W, lat, syr, cop — czasem tylko przez jednego, czasem przez dwóch, trzech, czterech lub więcej spośród nich, lecz w nieustannie zmieniających się wzorcach. Jeśli nie ma wzorca, nie ma zależności,</w:t>
      </w:r>
      <w:r>
        <w:t xml:space="preserve"> </w:t>
      </w:r>
      <w:r>
        <w:rPr>
          <w:bCs/>
          <w:b/>
        </w:rPr>
        <w:t xml:space="preserve">f</w:t>
      </w:r>
      <w:r>
        <w:rPr>
          <w:vertAlign w:val="superscript"/>
          <w:bCs/>
          <w:b/>
        </w:rPr>
        <w:t xml:space="preserve">35</w:t>
      </w:r>
      <w:r>
        <w:t xml:space="preserve"> </w:t>
      </w:r>
      <w:r>
        <w:t xml:space="preserve">ma starożytne odczyty, ponieważ sama jest starożytna.</w:t>
      </w:r>
    </w:p>
    <w:p>
      <w:pPr>
        <w:pStyle w:val="BodyText"/>
      </w:pPr>
      <w:r>
        <w:t xml:space="preserve">Wracając do</w:t>
      </w:r>
      <w:r>
        <w:t xml:space="preserve"> </w:t>
      </w:r>
      <w:r>
        <w:rPr>
          <w:iCs/>
          <w:i/>
        </w:rPr>
        <w:t xml:space="preserve">TuT</w:t>
      </w:r>
      <w:r>
        <w:t xml:space="preserve"> </w:t>
      </w:r>
      <w:r>
        <w:t xml:space="preserve">i Listów Ogólnych, wymienię obecne miejsca przechowywania manuskryptów</w:t>
      </w:r>
      <w:r>
        <w:t xml:space="preserve"> </w:t>
      </w:r>
      <w:r>
        <w:rPr>
          <w:bCs/>
          <w:b/>
        </w:rPr>
        <w:t xml:space="preserve">f</w:t>
      </w:r>
      <w:r>
        <w:rPr>
          <w:vertAlign w:val="superscript"/>
          <w:bCs/>
          <w:b/>
        </w:rPr>
        <w:t xml:space="preserve">35</w:t>
      </w:r>
      <w:r>
        <w:t xml:space="preserve"> </w:t>
      </w:r>
      <w:r>
        <w:t xml:space="preserve">według stulecia:</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Stulecie</w:t>
            </w:r>
          </w:p>
        </w:tc>
        <w:tc>
          <w:tcPr/>
          <w:p>
            <w:pPr>
              <w:pStyle w:val="Compact"/>
              <w:jc w:val="left"/>
            </w:pPr>
            <w:r>
              <w:t xml:space="preserve">Miejsca</w:t>
            </w:r>
          </w:p>
        </w:tc>
      </w:tr>
      <w:tr>
        <w:tc>
          <w:tcPr/>
          <w:p>
            <w:pPr>
              <w:pStyle w:val="Compact"/>
              <w:jc w:val="center"/>
            </w:pPr>
            <w:r>
              <w:t xml:space="preserve">XI</w:t>
            </w:r>
          </w:p>
        </w:tc>
        <w:tc>
          <w:tcPr/>
          <w:p>
            <w:pPr>
              <w:pStyle w:val="Compact"/>
              <w:jc w:val="left"/>
            </w:pPr>
            <w:r>
              <w:t xml:space="preserve">Paryż, Trikala, Watykan</w:t>
            </w:r>
          </w:p>
        </w:tc>
      </w:tr>
      <w:tr>
        <w:tc>
          <w:tcPr/>
          <w:p>
            <w:pPr>
              <w:pStyle w:val="Compact"/>
              <w:jc w:val="center"/>
            </w:pPr>
            <w:r>
              <w:t xml:space="preserve">XII</w:t>
            </w:r>
          </w:p>
        </w:tc>
        <w:tc>
          <w:tcPr/>
          <w:p>
            <w:pPr>
              <w:pStyle w:val="Compact"/>
              <w:jc w:val="left"/>
            </w:pPr>
            <w:r>
              <w:t xml:space="preserve">Athos (Kutlumusiu, M. Lavras, Panteleimonos, Stavronikita, Vatopediu), Jerozolima</w:t>
            </w:r>
          </w:p>
        </w:tc>
      </w:tr>
      <w:tr>
        <w:tc>
          <w:tcPr/>
          <w:p>
            <w:pPr>
              <w:pStyle w:val="Compact"/>
              <w:jc w:val="center"/>
            </w:pPr>
            <w:r>
              <w:t xml:space="preserve">XIII</w:t>
            </w:r>
          </w:p>
        </w:tc>
        <w:tc>
          <w:tcPr/>
          <w:p>
            <w:pPr>
              <w:pStyle w:val="Compact"/>
              <w:jc w:val="left"/>
            </w:pPr>
            <w:r>
              <w:t xml:space="preserve">Ateny, Athos (Iviron, Konstamonitu, M. Lavras, Pantokratoros, Filotheu), Bolonia, Kalawrita, Lejda, Watykan</w:t>
            </w:r>
          </w:p>
        </w:tc>
      </w:tr>
      <w:tr>
        <w:tc>
          <w:tcPr/>
          <w:p>
            <w:pPr>
              <w:pStyle w:val="Compact"/>
              <w:jc w:val="center"/>
            </w:pPr>
            <w:r>
              <w:t xml:space="preserve">XIV</w:t>
            </w:r>
          </w:p>
        </w:tc>
        <w:tc>
          <w:tcPr/>
          <w:p>
            <w:pPr>
              <w:pStyle w:val="Compact"/>
              <w:jc w:val="left"/>
            </w:pPr>
            <w:r>
              <w:t xml:space="preserve">Ateny, Athos (Dionysiu, Esfigmenu, Iviron, Karakallu, Kavsokalyvion, M. Lavras, Vatopediu), Grottaferrata, Jerozolima, Karditsa, Londyn, Ochryda, Paryż, Patmos, Rzym, Synaj, Watykan</w:t>
            </w:r>
          </w:p>
        </w:tc>
      </w:tr>
      <w:tr>
        <w:tc>
          <w:tcPr/>
          <w:p>
            <w:pPr>
              <w:pStyle w:val="Compact"/>
              <w:jc w:val="center"/>
            </w:pPr>
            <w:r>
              <w:t xml:space="preserve">XV</w:t>
            </w:r>
          </w:p>
        </w:tc>
        <w:tc>
          <w:tcPr/>
          <w:p>
            <w:pPr>
              <w:pStyle w:val="Compact"/>
              <w:jc w:val="left"/>
            </w:pPr>
            <w:r>
              <w:t xml:space="preserve">Ateny, Athos (Iviron, M. Lavras), Bukareszt, Londyn, Meteory, Synaj, Sparta, Watykan, Wenecja, Żytawa</w:t>
            </w:r>
          </w:p>
        </w:tc>
      </w:tr>
      <w:tr>
        <w:tc>
          <w:tcPr/>
          <w:p>
            <w:pPr>
              <w:pStyle w:val="Compact"/>
              <w:jc w:val="center"/>
            </w:pPr>
            <w:r>
              <w:t xml:space="preserve">XVI</w:t>
            </w:r>
          </w:p>
        </w:tc>
        <w:tc>
          <w:tcPr/>
          <w:p>
            <w:pPr>
              <w:pStyle w:val="Compact"/>
              <w:jc w:val="left"/>
            </w:pPr>
            <w:r>
              <w:t xml:space="preserve">Ateny, Athos (Iviron, Kutlumusiu, M. Lavras), Lesbos, Synaj</w:t>
            </w:r>
          </w:p>
        </w:tc>
      </w:tr>
      <w:tr>
        <w:tc>
          <w:tcPr/>
          <w:p>
            <w:pPr>
              <w:pStyle w:val="Compact"/>
              <w:jc w:val="center"/>
            </w:pPr>
            <w:r>
              <w:t xml:space="preserve">XVII</w:t>
            </w:r>
          </w:p>
        </w:tc>
        <w:tc>
          <w:tcPr/>
          <w:p>
            <w:pPr>
              <w:pStyle w:val="Compact"/>
              <w:jc w:val="left"/>
            </w:pPr>
            <w:r>
              <w:t xml:space="preserve">Athos (Dionysiu, M. Lavras)</w:t>
            </w:r>
          </w:p>
        </w:tc>
      </w:tr>
    </w:tbl>
    <w:p>
      <w:pPr>
        <w:pStyle w:val="BodyText"/>
      </w:pPr>
      <w:r>
        <w:t xml:space="preserve">Manuskrypty w Watykanie, Grottaferracie, Jerozolimie, na Patmos, Synaju, Athos, w Trikali, Meteorach i na Lesbos przynajmniej są najprawdopodobniej oparte na linii przodków przechowywanych lokalnie, wszelki import egzemplarzy nastąpił prawdopodobnie we wczesnych wiekach. Jeśli manuskrypty</w:t>
      </w:r>
      <w:r>
        <w:t xml:space="preserve"> </w:t>
      </w:r>
      <w:r>
        <w:rPr>
          <w:bCs/>
          <w:b/>
        </w:rPr>
        <w:t xml:space="preserve">f</w:t>
      </w:r>
      <w:r>
        <w:rPr>
          <w:vertAlign w:val="superscript"/>
          <w:bCs/>
          <w:b/>
        </w:rPr>
        <w:t xml:space="preserve">35</w:t>
      </w:r>
      <w:r>
        <w:t xml:space="preserve"> </w:t>
      </w:r>
      <w:r>
        <w:t xml:space="preserve">znajdują się dziś w tych miejscach, przypuszczalnie dzieje się tak dlatego, że manuskrypty</w:t>
      </w:r>
      <w:r>
        <w:t xml:space="preserve"> </w:t>
      </w:r>
      <w:r>
        <w:rPr>
          <w:bCs/>
          <w:b/>
        </w:rPr>
        <w:t xml:space="preserve">f</w:t>
      </w:r>
      <w:r>
        <w:rPr>
          <w:vertAlign w:val="superscript"/>
          <w:bCs/>
          <w:b/>
        </w:rPr>
        <w:t xml:space="preserve">35</w:t>
      </w:r>
      <w:r>
        <w:t xml:space="preserve"> </w:t>
      </w:r>
      <w:r>
        <w:t xml:space="preserve">znajdowały się tam od początku.</w:t>
      </w:r>
    </w:p>
    <w:p>
      <w:pPr>
        <w:pStyle w:val="BodyText"/>
      </w:pPr>
      <w:r>
        <w:t xml:space="preserve">Odrzucam jako całkowicie bezpodstawny zarzut, że</w:t>
      </w:r>
      <w:r>
        <w:t xml:space="preserve"> </w:t>
      </w:r>
      <w:r>
        <w:rPr>
          <w:bCs/>
          <w:b/>
        </w:rPr>
        <w:t xml:space="preserve">f</w:t>
      </w:r>
      <w:r>
        <w:rPr>
          <w:vertAlign w:val="superscript"/>
          <w:bCs/>
          <w:b/>
        </w:rPr>
        <w:t xml:space="preserve">35</w:t>
      </w:r>
      <w:r>
        <w:t xml:space="preserve"> </w:t>
      </w:r>
      <w:r>
        <w:t xml:space="preserve">jest recenzją. Jeśli ktoś chce twierdzić, że nią jest, proszę, aby podał, kto jej dokonał, kiedy i gdzie, oraz przedstawił dowody na poparcie tego twierdzenia. Bez dowodów każde takie twierdzenie jest niepoważne i nieodpowiedzialne.</w:t>
      </w:r>
    </w:p>
    <w:bookmarkEnd w:id="376"/>
    <w:bookmarkEnd w:id="377"/>
    <w:bookmarkStart w:id="385" w:name="X654f453812fa20075156a4d644b9a1816602b98"/>
    <w:p>
      <w:pPr>
        <w:pStyle w:val="Heading2"/>
      </w:pPr>
      <w:r>
        <w:t xml:space="preserve">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w:t>
      </w:r>
    </w:p>
    <w:p>
      <w:pPr>
        <w:pStyle w:val="FirstParagraph"/>
      </w:pPr>
      <w:r>
        <w:t xml:space="preserve">Jeśli chcesz być kandydatem na najlepszego hydraulika w mieście, musisz być hydraulikiem, na najlepszego prawnika — musisz być prawnikiem, na najlepszego onkologa — musisz być onkologiem, i tak dalej. Podobnie, jeśli chcesz być kandydatem na archetyp Autografu, musisz być archetypem, rzeczywistym, najzupełniej prawdziwym, obiektywnie weryfikowalnym archetypem. Niniejsza część podejmuje następujące pytanie: czy w Listach Ogólnych istnieją jakieś obiektywnie rozpoznawalne archetypy?</w:t>
      </w:r>
    </w:p>
    <w:p>
      <w:pPr>
        <w:pStyle w:val="BodyText"/>
      </w:pPr>
      <w:r>
        <w:t xml:space="preserve">Zwracam uwagę na poniższe dowody zaczerpnięte z mojego aparatu krytycznego do tych ksiąg. Będę rozpatrywał księgi pojedynczo. Odczyt</w:t>
      </w:r>
      <w:r>
        <w:t xml:space="preserve"> </w:t>
      </w:r>
      <w:r>
        <w:rPr>
          <w:bCs/>
          <w:b/>
        </w:rPr>
        <w:t xml:space="preserve">f</w:t>
      </w:r>
      <w:r>
        <w:rPr>
          <w:vertAlign w:val="superscript"/>
          <w:bCs/>
          <w:b/>
        </w:rPr>
        <w:t xml:space="preserve">35</w:t>
      </w:r>
      <w:r>
        <w:t xml:space="preserve"> </w:t>
      </w:r>
      <w:r>
        <w:t xml:space="preserve">zawsze będzie pierwszy, a pełny wykaz określa archetyp tej rodziny.</w:t>
      </w:r>
      <w:r>
        <w:rPr>
          <w:rStyle w:val="FootnoteReference"/>
        </w:rPr>
        <w:footnoteReference w:id="378"/>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Jakuba</w:t>
            </w:r>
          </w:p>
        </w:tc>
        <w:tc>
          <w:tcPr/>
          <w:p>
            <w:pPr>
              <w:pStyle w:val="Compact"/>
            </w:pPr>
          </w:p>
        </w:tc>
      </w:tr>
      <w:tr>
        <w:tc>
          <w:tcPr/>
          <w:p>
            <w:pPr>
              <w:pStyle w:val="Compact"/>
              <w:jc w:val="center"/>
            </w:pPr>
            <w:r>
              <w:t xml:space="preserve">1,05</w:t>
            </w:r>
          </w:p>
        </w:tc>
        <w:tc>
          <w:tcPr/>
          <w:p>
            <w:pPr>
              <w:pStyle w:val="Compact"/>
              <w:jc w:val="left"/>
            </w:pPr>
            <w:r>
              <w:t xml:space="preserve">ουκ</w:t>
            </w:r>
            <w:r>
              <w:t xml:space="preserve"> </w:t>
            </w:r>
            <w:r>
              <w:rPr>
                <w:bCs/>
                <w:b/>
              </w:rPr>
              <w:t xml:space="preserve">f</w:t>
            </w:r>
            <w:r>
              <w:rPr>
                <w:vertAlign w:val="superscript"/>
                <w:bCs/>
                <w:b/>
              </w:rPr>
              <w:t xml:space="preserve">35</w:t>
            </w:r>
            <w:r>
              <w:t xml:space="preserve"> </w:t>
            </w:r>
            <w:r>
              <w:t xml:space="preserve">(70,3%) || μη ℵA,B,C (29,7%);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r>
              <w:rPr>
                <w:rStyle w:val="FootnoteReference"/>
              </w:rPr>
              <w:footnoteReference w:id="379"/>
            </w:r>
          </w:p>
        </w:tc>
      </w:tr>
      <w:tr>
        <w:tc>
          <w:tcPr/>
          <w:p>
            <w:pPr>
              <w:pStyle w:val="Compact"/>
              <w:jc w:val="center"/>
            </w:pPr>
            <w:r>
              <w:t xml:space="preserve">1,23</w:t>
            </w:r>
          </w:p>
        </w:tc>
        <w:tc>
          <w:tcPr/>
          <w:p>
            <w:pPr>
              <w:pStyle w:val="Compact"/>
              <w:jc w:val="left"/>
            </w:pPr>
            <w:r>
              <w:t xml:space="preserve">νομου</w:t>
            </w:r>
            <w:r>
              <w:t xml:space="preserve"> </w:t>
            </w:r>
            <w:r>
              <w:rPr>
                <w:bCs/>
                <w:b/>
              </w:rPr>
              <w:t xml:space="preserve">f</w:t>
            </w:r>
            <w:r>
              <w:rPr>
                <w:vertAlign w:val="superscript"/>
                <w:bCs/>
                <w:b/>
              </w:rPr>
              <w:t xml:space="preserve">35</w:t>
            </w:r>
            <w:r>
              <w:t xml:space="preserve"> </w:t>
            </w:r>
            <w:r>
              <w:t xml:space="preserve">(30%) || λογου ℵA,B,C (69%) || λογων (1%);</w:t>
            </w:r>
          </w:p>
        </w:tc>
        <w:tc>
          <w:tcPr/>
          <w:p>
            <w:pPr>
              <w:pStyle w:val="Compact"/>
            </w:pPr>
          </w:p>
        </w:tc>
      </w:tr>
      <w:tr>
        <w:tc>
          <w:tcPr/>
          <w:p>
            <w:pPr>
              <w:pStyle w:val="Compact"/>
              <w:jc w:val="center"/>
            </w:pPr>
            <w:r>
              <w:t xml:space="preserve">1,26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(35%) || αλλα ℵA,B,C,0173 (65%);</w:t>
            </w:r>
          </w:p>
        </w:tc>
        <w:tc>
          <w:tcPr/>
          <w:p>
            <w:pPr>
              <w:pStyle w:val="Compact"/>
            </w:pPr>
          </w:p>
        </w:tc>
      </w:tr>
      <w:tr>
        <w:tc>
          <w:tcPr/>
          <w:p>
            <w:pPr>
              <w:pStyle w:val="Compact"/>
              <w:jc w:val="center"/>
            </w:pPr>
            <w:r>
              <w:t xml:space="preserve">2,03</w:t>
            </w:r>
          </w:p>
        </w:tc>
        <w:tc>
          <w:tcPr/>
          <w:p>
            <w:pPr>
              <w:pStyle w:val="Compact"/>
              <w:jc w:val="left"/>
            </w:pPr>
            <w:r>
              <w:t xml:space="preserve">λαμπραν εσθητα</w:t>
            </w:r>
            <w:r>
              <w:t xml:space="preserve"> </w:t>
            </w:r>
            <w:r>
              <w:rPr>
                <w:bCs/>
                <w:b/>
              </w:rPr>
              <w:t xml:space="preserve">f</w:t>
            </w:r>
            <w:r>
              <w:rPr>
                <w:vertAlign w:val="superscript"/>
                <w:bCs/>
                <w:b/>
              </w:rPr>
              <w:t xml:space="preserve">35</w:t>
            </w:r>
            <w:r>
              <w:t xml:space="preserve"> </w:t>
            </w:r>
            <w:r>
              <w:t xml:space="preserve">(30%) || εσθητα την λαμπραν ℵA,B,C (70%);</w:t>
            </w:r>
          </w:p>
        </w:tc>
        <w:tc>
          <w:tcPr/>
          <w:p>
            <w:pPr>
              <w:pStyle w:val="Compact"/>
            </w:pPr>
          </w:p>
        </w:tc>
      </w:tr>
      <w:tr>
        <w:tc>
          <w:tcPr/>
          <w:p>
            <w:pPr>
              <w:pStyle w:val="Compact"/>
              <w:jc w:val="center"/>
            </w:pPr>
            <w:r>
              <w:t xml:space="preserve">2,04</w:t>
            </w:r>
          </w:p>
        </w:tc>
        <w:tc>
          <w:tcPr/>
          <w:p>
            <w:pPr>
              <w:pStyle w:val="Compact"/>
              <w:jc w:val="left"/>
            </w:pPr>
            <w:r>
              <w:t xml:space="preserve">ου</w:t>
            </w:r>
            <w:r>
              <w:t xml:space="preserve"> </w:t>
            </w:r>
            <w:r>
              <w:rPr>
                <w:bCs/>
                <w:b/>
              </w:rPr>
              <w:t xml:space="preserve">f</w:t>
            </w:r>
            <w:r>
              <w:rPr>
                <w:vertAlign w:val="superscript"/>
                <w:bCs/>
                <w:b/>
              </w:rPr>
              <w:t xml:space="preserve">35</w:t>
            </w:r>
            <w:r>
              <w:t xml:space="preserve"> </w:t>
            </w:r>
            <w:r>
              <w:t xml:space="preserve">ℵA,C (26,8%) || και ου (72,2%) || και (0,6%) || --- B (0,4%);</w:t>
            </w:r>
          </w:p>
        </w:tc>
        <w:tc>
          <w:tcPr/>
          <w:p>
            <w:pPr>
              <w:pStyle w:val="Compact"/>
            </w:pPr>
          </w:p>
        </w:tc>
      </w:tr>
      <w:tr>
        <w:tc>
          <w:tcPr/>
          <w:p>
            <w:pPr>
              <w:pStyle w:val="Compact"/>
              <w:jc w:val="center"/>
            </w:pPr>
            <w:r>
              <w:t xml:space="preserve">2,08</w:t>
            </w:r>
          </w:p>
        </w:tc>
        <w:tc>
          <w:tcPr/>
          <w:p>
            <w:pPr>
              <w:pStyle w:val="Compact"/>
              <w:jc w:val="left"/>
            </w:pPr>
            <w:r>
              <w:t xml:space="preserve">σεαυτον</w:t>
            </w:r>
            <w:r>
              <w:t xml:space="preserve"> </w:t>
            </w:r>
            <w:r>
              <w:rPr>
                <w:bCs/>
                <w:b/>
              </w:rPr>
              <w:t xml:space="preserve">f</w:t>
            </w:r>
            <w:r>
              <w:rPr>
                <w:vertAlign w:val="superscript"/>
                <w:bCs/>
                <w:b/>
              </w:rPr>
              <w:t xml:space="preserve">35</w:t>
            </w:r>
            <w:r>
              <w:t xml:space="preserve"> </w:t>
            </w:r>
            <w:r>
              <w:t xml:space="preserve">ℵA(B)C (50%) || εαυτον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2,13</w:t>
            </w:r>
          </w:p>
        </w:tc>
        <w:tc>
          <w:tcPr/>
          <w:p>
            <w:pPr>
              <w:pStyle w:val="Compact"/>
              <w:jc w:val="left"/>
            </w:pPr>
            <w:r>
              <w:t xml:space="preserve">ανηλεος</w:t>
            </w:r>
            <w:r>
              <w:t xml:space="preserve"> </w:t>
            </w:r>
            <w:r>
              <w:rPr>
                <w:bCs/>
                <w:b/>
              </w:rPr>
              <w:t xml:space="preserve">f</w:t>
            </w:r>
            <w:r>
              <w:rPr>
                <w:vertAlign w:val="superscript"/>
                <w:bCs/>
                <w:b/>
              </w:rPr>
              <w:t xml:space="preserve">35</w:t>
            </w:r>
            <w:r>
              <w:t xml:space="preserve"> </w:t>
            </w:r>
            <w:r>
              <w:t xml:space="preserve">(20%) || ανελεος ℵA,B,C (30%) || ανιλεως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λεγη τις</w:t>
            </w:r>
            <w:r>
              <w:t xml:space="preserve"> </w:t>
            </w:r>
            <w:r>
              <w:rPr>
                <w:bCs/>
                <w:b/>
              </w:rPr>
              <w:t xml:space="preserve">f</w:t>
            </w:r>
            <w:r>
              <w:rPr>
                <w:vertAlign w:val="superscript"/>
                <w:bCs/>
                <w:b/>
              </w:rPr>
              <w:t xml:space="preserve">35</w:t>
            </w:r>
            <w:r>
              <w:t xml:space="preserve"> </w:t>
            </w:r>
            <w:r>
              <w:t xml:space="preserve">ℵB (70%) || ~ 21 A,C (1%) || λεγει τις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εχει</w:t>
            </w:r>
            <w:r>
              <w:t xml:space="preserve"> </w:t>
            </w:r>
            <w:r>
              <w:rPr>
                <w:bCs/>
                <w:b/>
              </w:rPr>
              <w:t xml:space="preserve">f</w:t>
            </w:r>
            <w:r>
              <w:rPr>
                <w:vertAlign w:val="superscript"/>
                <w:bCs/>
                <w:b/>
              </w:rPr>
              <w:t xml:space="preserve">35</w:t>
            </w:r>
            <w:r>
              <w:t xml:space="preserve"> </w:t>
            </w:r>
            <w:r>
              <w:t xml:space="preserve">(46%) || εχη ℵA,B,C (47%) || εχειν (4,5%) || σχη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3,02</w:t>
            </w:r>
          </w:p>
        </w:tc>
        <w:tc>
          <w:tcPr/>
          <w:p>
            <w:pPr>
              <w:pStyle w:val="Compact"/>
              <w:jc w:val="left"/>
            </w:pPr>
            <w:r>
              <w:t xml:space="preserve">δυναμενος</w:t>
            </w:r>
            <w:r>
              <w:t xml:space="preserve"> </w:t>
            </w:r>
            <w:r>
              <w:rPr>
                <w:bCs/>
                <w:b/>
              </w:rPr>
              <w:t xml:space="preserve">f</w:t>
            </w:r>
            <w:r>
              <w:rPr>
                <w:vertAlign w:val="superscript"/>
                <w:bCs/>
                <w:b/>
              </w:rPr>
              <w:t xml:space="preserve">35</w:t>
            </w:r>
            <w:r>
              <w:t xml:space="preserve"> </w:t>
            </w:r>
            <w:r>
              <w:t xml:space="preserve">ℵ (23%) || δυνατος A,B (76,5%);</w:t>
            </w:r>
          </w:p>
        </w:tc>
        <w:tc>
          <w:tcPr/>
          <w:p>
            <w:pPr>
              <w:pStyle w:val="Compact"/>
            </w:pPr>
          </w:p>
        </w:tc>
      </w:tr>
      <w:tr>
        <w:tc>
          <w:tcPr/>
          <w:p>
            <w:pPr>
              <w:pStyle w:val="Compact"/>
              <w:jc w:val="center"/>
            </w:pPr>
            <w:r>
              <w:t xml:space="preserve">3,03</w:t>
            </w:r>
          </w:p>
        </w:tc>
        <w:tc>
          <w:tcPr/>
          <w:p>
            <w:pPr>
              <w:pStyle w:val="Compact"/>
              <w:jc w:val="left"/>
            </w:pPr>
            <w:r>
              <w:t xml:space="preserve">ιδε</w:t>
            </w:r>
            <w:r>
              <w:t xml:space="preserve"> </w:t>
            </w:r>
            <w:r>
              <w:rPr>
                <w:bCs/>
                <w:b/>
              </w:rPr>
              <w:t xml:space="preserve">f</w:t>
            </w:r>
            <w:r>
              <w:rPr>
                <w:vertAlign w:val="superscript"/>
                <w:bCs/>
                <w:b/>
              </w:rPr>
              <w:t xml:space="preserve">35</w:t>
            </w:r>
            <w:r>
              <w:t xml:space="preserve"> </w:t>
            </w:r>
            <w:r>
              <w:t xml:space="preserve">(60%) || ει δε (38,5%) || ιδου (0,5%);</w:t>
            </w:r>
            <w:r>
              <w:rPr>
                <w:rStyle w:val="FootnoteReference"/>
              </w:rPr>
              <w:footnoteReference w:id="380"/>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ανεμων σκληρων</w:t>
            </w:r>
            <w:r>
              <w:t xml:space="preserve"> </w:t>
            </w:r>
            <w:r>
              <w:rPr>
                <w:bCs/>
                <w:b/>
              </w:rPr>
              <w:t xml:space="preserve">f</w:t>
            </w:r>
            <w:r>
              <w:rPr>
                <w:vertAlign w:val="superscript"/>
                <w:bCs/>
                <w:b/>
              </w:rPr>
              <w:t xml:space="preserve">35</w:t>
            </w:r>
            <w:r>
              <w:t xml:space="preserve"> </w:t>
            </w:r>
            <w:r>
              <w:t xml:space="preserve">ℵB,C (44%) || ~ 21 A (56%);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ιθυνοντος</w:t>
            </w:r>
            <w:r>
              <w:t xml:space="preserve"> </w:t>
            </w:r>
            <w:r>
              <w:rPr>
                <w:bCs/>
                <w:b/>
              </w:rPr>
              <w:t xml:space="preserve">f</w:t>
            </w:r>
            <w:r>
              <w:rPr>
                <w:vertAlign w:val="superscript"/>
                <w:bCs/>
                <w:b/>
              </w:rPr>
              <w:t xml:space="preserve">35</w:t>
            </w:r>
            <w:r>
              <w:t xml:space="preserve"> </w:t>
            </w:r>
            <w:r>
              <w:t xml:space="preserve">(21%) || ευθυνοντος ℵA,B,C (79%);</w:t>
            </w:r>
          </w:p>
        </w:tc>
        <w:tc>
          <w:tcPr/>
          <w:p>
            <w:pPr>
              <w:pStyle w:val="Compact"/>
            </w:pPr>
          </w:p>
        </w:tc>
      </w:tr>
      <w:tr>
        <w:tc>
          <w:tcPr/>
          <w:p>
            <w:pPr>
              <w:pStyle w:val="Compact"/>
              <w:jc w:val="center"/>
            </w:pPr>
            <w:r>
              <w:t xml:space="preserve">3,18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A,B,C (56,6%) || δε της (42%) || δε ο ℵ (0,4%)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ουκ εχετε</w:t>
            </w:r>
            <w:r>
              <w:t xml:space="preserve"> </w:t>
            </w:r>
            <w:r>
              <w:rPr>
                <w:bCs/>
                <w:b/>
              </w:rPr>
              <w:t xml:space="preserve">f</w:t>
            </w:r>
            <w:r>
              <w:rPr>
                <w:vertAlign w:val="superscript"/>
                <w:bCs/>
                <w:b/>
              </w:rPr>
              <w:t xml:space="preserve">35</w:t>
            </w:r>
            <w:r>
              <w:t xml:space="preserve"> </w:t>
            </w:r>
            <w:r>
              <w:t xml:space="preserve">P</w:t>
            </w:r>
            <w:r>
              <w:rPr>
                <w:vertAlign w:val="superscript"/>
              </w:rPr>
              <w:t xml:space="preserve">100</w:t>
            </w:r>
            <w:r>
              <w:t xml:space="preserve">A,B (64%) || και 12 ℵ (35%) || 12 δε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4,04</w:t>
            </w:r>
          </w:p>
        </w:tc>
        <w:tc>
          <w:tcPr/>
          <w:p>
            <w:pPr>
              <w:pStyle w:val="Compact"/>
              <w:jc w:val="left"/>
            </w:pPr>
            <w:r>
              <w:t xml:space="preserve">ουν</w:t>
            </w:r>
            <w:r>
              <w:t xml:space="preserve"> </w:t>
            </w:r>
            <w:r>
              <w:rPr>
                <w:bCs/>
                <w:b/>
              </w:rPr>
              <w:t xml:space="preserve">f</w:t>
            </w:r>
            <w:r>
              <w:rPr>
                <w:vertAlign w:val="superscript"/>
                <w:bCs/>
                <w:b/>
              </w:rPr>
              <w:t xml:space="preserve">35</w:t>
            </w:r>
            <w:r>
              <w:t xml:space="preserve"> </w:t>
            </w:r>
            <w:r>
              <w:t xml:space="preserve">ℵA,B (58%) || --- (42%);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αντιστητε</w:t>
            </w:r>
            <w:r>
              <w:t xml:space="preserve"> </w:t>
            </w:r>
            <w:r>
              <w:rPr>
                <w:bCs/>
                <w:b/>
              </w:rPr>
              <w:t xml:space="preserve">f</w:t>
            </w:r>
            <w:r>
              <w:rPr>
                <w:vertAlign w:val="superscript"/>
                <w:bCs/>
                <w:b/>
              </w:rPr>
              <w:t xml:space="preserve">35</w:t>
            </w:r>
            <w:r>
              <w:t xml:space="preserve"> </w:t>
            </w:r>
            <w:r>
              <w:t xml:space="preserve">(47,5%) || 1 δε ℵA,B (50%) || 1 ουν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γαρ</w:t>
            </w:r>
            <w:r>
              <w:t xml:space="preserve"> </w:t>
            </w:r>
            <w:r>
              <w:rPr>
                <w:bCs/>
                <w:b/>
              </w:rPr>
              <w:t xml:space="preserve">f</w:t>
            </w:r>
            <w:r>
              <w:rPr>
                <w:vertAlign w:val="superscript"/>
                <w:bCs/>
                <w:b/>
              </w:rPr>
              <w:t xml:space="preserve">35</w:t>
            </w:r>
            <w:r>
              <w:t xml:space="preserve"> </w:t>
            </w:r>
            <w:r>
              <w:t xml:space="preserve">(26%) || --- ℵA,B (74%);</w:t>
            </w:r>
          </w:p>
        </w:tc>
        <w:tc>
          <w:tcPr/>
          <w:p>
            <w:pPr>
              <w:pStyle w:val="Compact"/>
            </w:pPr>
          </w:p>
        </w:tc>
      </w:tr>
      <w:tr>
        <w:tc>
          <w:tcPr/>
          <w:p>
            <w:pPr>
              <w:pStyle w:val="Compact"/>
              <w:jc w:val="center"/>
            </w:pPr>
            <w:r>
              <w:t xml:space="preserve">4,12</w:t>
            </w:r>
          </w:p>
        </w:tc>
        <w:tc>
          <w:tcPr/>
          <w:p>
            <w:pPr>
              <w:pStyle w:val="Compact"/>
              <w:jc w:val="left"/>
            </w:pPr>
            <w:r>
              <w:t xml:space="preserve">και κριτης</w:t>
            </w:r>
            <w:r>
              <w:t xml:space="preserve"> </w:t>
            </w:r>
            <w:r>
              <w:rPr>
                <w:bCs/>
                <w:b/>
              </w:rPr>
              <w:t xml:space="preserve">f</w:t>
            </w:r>
            <w:r>
              <w:rPr>
                <w:vertAlign w:val="superscript"/>
                <w:bCs/>
                <w:b/>
              </w:rPr>
              <w:t xml:space="preserve">35</w:t>
            </w:r>
            <w:r>
              <w:t xml:space="preserve"> </w:t>
            </w:r>
            <w:r>
              <w:t xml:space="preserve">ℵA,B (62%) || --- (38%);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(26%) || υμων (P</w:t>
            </w:r>
            <w:r>
              <w:rPr>
                <w:vertAlign w:val="superscript"/>
              </w:rPr>
              <w:t xml:space="preserve">100</w:t>
            </w:r>
            <w:r>
              <w:t xml:space="preserve">)ℵA(B) (74%)</w:t>
            </w:r>
          </w:p>
        </w:tc>
        <w:tc>
          <w:tcPr/>
          <w:p>
            <w:pPr>
              <w:pStyle w:val="Compact"/>
            </w:pPr>
          </w:p>
        </w:tc>
      </w:tr>
      <w:tr>
        <w:tc>
          <w:tcPr/>
          <w:p>
            <w:pPr>
              <w:pStyle w:val="Compact"/>
              <w:jc w:val="center"/>
            </w:pPr>
            <w:r>
              <w:t xml:space="preserve">4,14</w:t>
            </w:r>
          </w:p>
        </w:tc>
        <w:tc>
          <w:tcPr/>
          <w:p>
            <w:pPr>
              <w:pStyle w:val="Compact"/>
              <w:jc w:val="left"/>
            </w:pPr>
            <w:r>
              <w:t xml:space="preserve">εστιν</w:t>
            </w:r>
            <w:r>
              <w:t xml:space="preserve"> </w:t>
            </w:r>
            <w:r>
              <w:rPr>
                <w:bCs/>
                <w:b/>
              </w:rPr>
              <w:t xml:space="preserve">f</w:t>
            </w:r>
            <w:r>
              <w:rPr>
                <w:vertAlign w:val="superscript"/>
                <w:bCs/>
                <w:b/>
              </w:rPr>
              <w:t xml:space="preserve">35</w:t>
            </w:r>
            <w:r>
              <w:t xml:space="preserve"> </w:t>
            </w:r>
            <w:r>
              <w:t xml:space="preserve">(52%) || εσται (A) (41%) || εστε B (7%)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επειτα</w:t>
            </w:r>
            <w:r>
              <w:t xml:space="preserve"> </w:t>
            </w:r>
            <w:r>
              <w:rPr>
                <w:bCs/>
                <w:b/>
              </w:rPr>
              <w:t xml:space="preserve">f</w:t>
            </w:r>
            <w:r>
              <w:rPr>
                <w:vertAlign w:val="superscript"/>
                <w:bCs/>
                <w:b/>
              </w:rPr>
              <w:t xml:space="preserve">35</w:t>
            </w:r>
            <w:r>
              <w:t xml:space="preserve"> </w:t>
            </w:r>
            <w:r>
              <w:t xml:space="preserve">(29,5%) || 1 δε και (46%) || 1 δε (15%) || 1 και ℵA,B (9,5%);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ℵ (53%) || --- A,B,048 (45,5%) || ου (1,5%);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(A)B (35%) || αδελφοι μου (ℵ) (62%) || --- (3%);</w:t>
            </w:r>
          </w:p>
        </w:tc>
        <w:tc>
          <w:tcPr/>
          <w:p>
            <w:pPr>
              <w:pStyle w:val="Compact"/>
            </w:pPr>
          </w:p>
        </w:tc>
      </w:tr>
      <w:tr>
        <w:tc>
          <w:tcPr/>
          <w:p>
            <w:pPr>
              <w:pStyle w:val="Compact"/>
              <w:jc w:val="center"/>
            </w:pPr>
            <w:r>
              <w:t xml:space="preserve">5,10</w:t>
            </w:r>
          </w:p>
        </w:tc>
        <w:tc>
          <w:tcPr/>
          <w:p>
            <w:pPr>
              <w:pStyle w:val="Compact"/>
              <w:jc w:val="left"/>
            </w:pPr>
            <w:r>
              <w:t xml:space="preserve">εν τω</w:t>
            </w:r>
            <w:r>
              <w:t xml:space="preserve"> </w:t>
            </w:r>
            <w:r>
              <w:rPr>
                <w:bCs/>
                <w:b/>
              </w:rPr>
              <w:t xml:space="preserve">f</w:t>
            </w:r>
            <w:r>
              <w:rPr>
                <w:vertAlign w:val="superscript"/>
                <w:bCs/>
                <w:b/>
              </w:rPr>
              <w:t xml:space="preserve">35</w:t>
            </w:r>
            <w:r>
              <w:t xml:space="preserve"> </w:t>
            </w:r>
            <w:r>
              <w:t xml:space="preserve">B (40%) || τω A (58%) || εν ℵ (0,6%) || επι τω (1,4%);</w:t>
            </w:r>
          </w:p>
        </w:tc>
        <w:tc>
          <w:tcPr/>
          <w:p>
            <w:pPr>
              <w:pStyle w:val="Compact"/>
            </w:pPr>
          </w:p>
        </w:tc>
      </w:tr>
      <w:tr>
        <w:tc>
          <w:tcPr/>
          <w:p>
            <w:pPr>
              <w:pStyle w:val="Compact"/>
              <w:jc w:val="center"/>
            </w:pPr>
            <w:r>
              <w:t xml:space="preserve">5,11</w:t>
            </w:r>
          </w:p>
        </w:tc>
        <w:tc>
          <w:tcPr/>
          <w:p>
            <w:pPr>
              <w:pStyle w:val="Compact"/>
              <w:jc w:val="left"/>
            </w:pPr>
            <w:r>
              <w:t xml:space="preserve">ειδετε</w:t>
            </w:r>
            <w:r>
              <w:t xml:space="preserve"> </w:t>
            </w:r>
            <w:r>
              <w:rPr>
                <w:bCs/>
                <w:b/>
              </w:rPr>
              <w:t xml:space="preserve">f</w:t>
            </w:r>
            <w:r>
              <w:rPr>
                <w:vertAlign w:val="superscript"/>
                <w:bCs/>
                <w:b/>
              </w:rPr>
              <w:t xml:space="preserve">35</w:t>
            </w:r>
            <w:r>
              <w:t xml:space="preserve"> </w:t>
            </w:r>
            <w:r>
              <w:t xml:space="preserve">ℵB (53%) || ιδετε A (45%);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πολυσπλαγχνος</w:t>
            </w:r>
            <w:r>
              <w:t xml:space="preserve"> </w:t>
            </w:r>
            <w:r>
              <w:rPr>
                <w:bCs/>
                <w:b/>
              </w:rPr>
              <w:t xml:space="preserve">f</w:t>
            </w:r>
            <w:r>
              <w:rPr>
                <w:vertAlign w:val="superscript"/>
                <w:bCs/>
                <w:b/>
              </w:rPr>
              <w:t xml:space="preserve">35</w:t>
            </w:r>
            <w:r>
              <w:t xml:space="preserve"> </w:t>
            </w:r>
            <w:r>
              <w:t xml:space="preserve">ℵA,B (65%) || πολυευσπλαγχνος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5,19</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(72%) || αδελφοι μου ℵA,B,048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Jakuba określa powyższych 28 odczytów. Jest on wyraźny i jednoznaczny, mamy więc w Liście Jakuba co najmniej jeden obiektywnie określony archetyp. Dla kontrastu istnieje 14 +?4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w:t>
      </w:r>
      <w:r>
        <w:rPr>
          <w:rStyle w:val="FootnoteReference"/>
        </w:rPr>
        <w:footnoteReference w:id="381"/>
      </w:r>
      <w:r>
        <w:t xml:space="preserve"> </w:t>
      </w:r>
      <w:r>
        <w:t xml:space="preserve">(Nie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Jak zauważył Colwell w odniesieniu do Ewangelii Marka, nie istnieje obiektywnie definiowalny archetyp „aleksandryjski”,</w:t>
      </w:r>
      <w:r>
        <w:rPr>
          <w:rStyle w:val="FootnoteReference"/>
        </w:rPr>
        <w:footnoteReference w:id="382"/>
      </w:r>
      <w:r>
        <w:t xml:space="preserve"> </w:t>
      </w:r>
      <w:r>
        <w:t xml:space="preserve">to samo odnosi się do każdego archetypu „zachodniego”, chyba że pójdziemy za Alandami i uznamy za taki pojedynczy manuskrypt, ich „tekst D” (który obejmuje jednak tylko Ewangelie i Dzieje Apostolskie, nie byłoby więc „tekstu D” dla Listu do Rzymian — Objawienia Jana).</w:t>
      </w:r>
      <w:r>
        <w:rPr>
          <w:rStyle w:val="FootnoteReference"/>
        </w:rPr>
        <w:footnoteReference w:id="383"/>
      </w:r>
      <w:r>
        <w:t xml:space="preserve"> </w:t>
      </w:r>
      <w:r>
        <w:t xml:space="preserve">Przejdźmy do 1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Piotra</w:t>
            </w:r>
          </w:p>
        </w:tc>
        <w:tc>
          <w:tcPr/>
          <w:p>
            <w:pPr>
              <w:pStyle w:val="Compact"/>
            </w:pPr>
          </w:p>
        </w:tc>
      </w:tr>
      <w:tr>
        <w:tc>
          <w:tcPr/>
          <w:p>
            <w:pPr>
              <w:pStyle w:val="Compact"/>
              <w:jc w:val="center"/>
            </w:pPr>
            <w:r>
              <w:t xml:space="preserve">1,03</w:t>
            </w:r>
          </w:p>
        </w:tc>
        <w:tc>
          <w:tcPr/>
          <w:p>
            <w:pPr>
              <w:pStyle w:val="Compact"/>
              <w:jc w:val="left"/>
            </w:pPr>
            <w:r>
              <w:t xml:space="preserve">ελεος αυτου</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(38%) || ~ 21 ℵA,B,C (60%) || 1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1,07</w:t>
            </w:r>
          </w:p>
        </w:tc>
        <w:tc>
          <w:tcPr/>
          <w:p>
            <w:pPr>
              <w:pStyle w:val="Compact"/>
              <w:jc w:val="left"/>
            </w:pPr>
            <w:r>
              <w:t xml:space="preserve">δοξαν και τιμην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(35%) || ~ 321 (28%) || ~ 32 εις 1 (37%);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1,16</w:t>
            </w:r>
          </w:p>
        </w:tc>
        <w:tc>
          <w:tcPr/>
          <w:p>
            <w:pPr>
              <w:pStyle w:val="Compact"/>
              <w:jc w:val="left"/>
            </w:pPr>
            <w:r>
              <w:t xml:space="preserve">γινεσθε</w:t>
            </w:r>
            <w:r>
              <w:t xml:space="preserve"> </w:t>
            </w:r>
            <w:r>
              <w:rPr>
                <w:bCs/>
                <w:b/>
              </w:rPr>
              <w:t xml:space="preserve">f</w:t>
            </w:r>
            <w:r>
              <w:rPr>
                <w:vertAlign w:val="superscript"/>
                <w:bCs/>
                <w:b/>
              </w:rPr>
              <w:t xml:space="preserve">35</w:t>
            </w:r>
            <w:r>
              <w:t xml:space="preserve"> </w:t>
            </w:r>
            <w:r>
              <w:t xml:space="preserve">(52%) || γενεσθε (36%) || εσεσθε P</w:t>
            </w:r>
            <w:r>
              <w:rPr>
                <w:vertAlign w:val="superscript"/>
              </w:rPr>
              <w:t xml:space="preserve">72</w:t>
            </w:r>
            <w:r>
              <w:t xml:space="preserve"> </w:t>
            </w:r>
            <w:r>
              <w:t xml:space="preserve">ℵA,B,C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1,23</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(40%) || αλλα P</w:t>
            </w:r>
            <w:r>
              <w:rPr>
                <w:vertAlign w:val="superscript"/>
              </w:rPr>
              <w:t xml:space="preserve">72</w:t>
            </w:r>
            <w:r>
              <w:t xml:space="preserve"> </w:t>
            </w:r>
            <w:r>
              <w:t xml:space="preserve">ℵA,B (60%);</w:t>
            </w:r>
          </w:p>
        </w:tc>
        <w:tc>
          <w:tcPr/>
          <w:p>
            <w:pPr>
              <w:pStyle w:val="Compact"/>
            </w:pPr>
          </w:p>
        </w:tc>
      </w:tr>
      <w:tr>
        <w:tc>
          <w:tcPr/>
          <w:p>
            <w:pPr>
              <w:pStyle w:val="Compact"/>
              <w:jc w:val="center"/>
            </w:pPr>
            <w:r>
              <w:t xml:space="preserve">2,02</w:t>
            </w:r>
          </w:p>
        </w:tc>
        <w:tc>
          <w:tcPr/>
          <w:p>
            <w:pPr>
              <w:pStyle w:val="Compact"/>
              <w:jc w:val="left"/>
            </w:pPr>
            <w:r>
              <w:t xml:space="preserve">εις σωτηριαν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2,03</w:t>
            </w:r>
          </w:p>
        </w:tc>
        <w:tc>
          <w:tcPr/>
          <w:p>
            <w:pPr>
              <w:pStyle w:val="Compact"/>
              <w:jc w:val="left"/>
            </w:pPr>
            <w:r>
              <w:t xml:space="preserve">χρηστος</w:t>
            </w:r>
            <w:r>
              <w:t xml:space="preserve"> </w:t>
            </w:r>
            <w:r>
              <w:rPr>
                <w:bCs/>
                <w:b/>
              </w:rPr>
              <w:t xml:space="preserve">f</w:t>
            </w:r>
            <w:r>
              <w:rPr>
                <w:vertAlign w:val="superscript"/>
                <w:bCs/>
                <w:b/>
              </w:rPr>
              <w:t xml:space="preserve">35</w:t>
            </w:r>
            <w:r>
              <w:t xml:space="preserve"> </w:t>
            </w:r>
            <w:r>
              <w:t xml:space="preserve">ℵA,B,C (48%) || χριστος P</w:t>
            </w:r>
            <w:r>
              <w:rPr>
                <w:vertAlign w:val="superscript"/>
              </w:rPr>
              <w:t xml:space="preserve">72</w:t>
            </w:r>
            <w:r>
              <w:t xml:space="preserve"> </w:t>
            </w:r>
            <w:r>
              <w:t xml:space="preserve">(52%);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2,06</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C (35%) || εν τη (59%) || εν P</w:t>
            </w:r>
            <w:r>
              <w:rPr>
                <w:vertAlign w:val="superscript"/>
              </w:rPr>
              <w:t xml:space="preserve">72</w:t>
            </w:r>
            <w:r>
              <w:t xml:space="preserve"> </w:t>
            </w:r>
            <w:r>
              <w:t xml:space="preserve">ℵA,B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2,11</w:t>
            </w:r>
          </w:p>
        </w:tc>
        <w:tc>
          <w:tcPr/>
          <w:p>
            <w:pPr>
              <w:pStyle w:val="Compact"/>
              <w:jc w:val="left"/>
            </w:pPr>
            <w:r>
              <w:t xml:space="preserve">απεχεσθαι</w:t>
            </w:r>
            <w:r>
              <w:t xml:space="preserve"> </w:t>
            </w:r>
            <w:r>
              <w:rPr>
                <w:bCs/>
                <w:b/>
              </w:rPr>
              <w:t xml:space="preserve">f</w:t>
            </w:r>
            <w:r>
              <w:rPr>
                <w:vertAlign w:val="superscript"/>
                <w:bCs/>
                <w:b/>
              </w:rPr>
              <w:t xml:space="preserve">35</w:t>
            </w:r>
            <w:r>
              <w:t xml:space="preserve"> </w:t>
            </w:r>
            <w:r>
              <w:t xml:space="preserve">ℵB (65%) || απεχεσθε P</w:t>
            </w:r>
            <w:r>
              <w:rPr>
                <w:vertAlign w:val="superscript"/>
              </w:rPr>
              <w:t xml:space="preserve">72</w:t>
            </w:r>
            <w:r>
              <w:t xml:space="preserve">A,C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2,12</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(52%) || καταλαλωσιν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C (52%) || --- P</w:t>
            </w:r>
            <w:r>
              <w:rPr>
                <w:vertAlign w:val="superscript"/>
              </w:rPr>
              <w:t xml:space="preserve">72</w:t>
            </w:r>
            <w:r>
              <w:t xml:space="preserve"> </w:t>
            </w:r>
            <w:r>
              <w:t xml:space="preserve">ℵA,B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αγαπησατε</w:t>
            </w:r>
            <w:r>
              <w:t xml:space="preserve"> </w:t>
            </w:r>
            <w:r>
              <w:rPr>
                <w:bCs/>
                <w:b/>
              </w:rPr>
              <w:t xml:space="preserve">f</w:t>
            </w:r>
            <w:r>
              <w:rPr>
                <w:vertAlign w:val="superscript"/>
                <w:bCs/>
                <w:b/>
              </w:rPr>
              <w:t xml:space="preserve">35</w:t>
            </w:r>
            <w:r>
              <w:t xml:space="preserve"> </w:t>
            </w:r>
            <w:r>
              <w:t xml:space="preserve">(71%) || αγαπατε P</w:t>
            </w:r>
            <w:r>
              <w:rPr>
                <w:vertAlign w:val="superscript"/>
              </w:rPr>
              <w:t xml:space="preserve">72</w:t>
            </w:r>
            <w:r>
              <w:t xml:space="preserve"> </w:t>
            </w:r>
            <w:r>
              <w:t xml:space="preserve">ℵA,B,C (24%) || ---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2,20</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A (47%) || --- P</w:t>
            </w:r>
            <w:r>
              <w:rPr>
                <w:vertAlign w:val="superscript"/>
              </w:rPr>
              <w:t xml:space="preserve">72,81v</w:t>
            </w:r>
            <w:r>
              <w:t xml:space="preserve"> </w:t>
            </w:r>
            <w:r>
              <w:t xml:space="preserve">ℵB,C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2,21</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(23%) || --- ℵA,B,C (77%);</w:t>
            </w:r>
          </w:p>
        </w:tc>
        <w:tc>
          <w:tcPr/>
          <w:p>
            <w:pPr>
              <w:pStyle w:val="Compact"/>
            </w:pPr>
          </w:p>
        </w:tc>
      </w:tr>
      <w:tr>
        <w:tc>
          <w:tcPr/>
          <w:p>
            <w:pPr>
              <w:pStyle w:val="Compact"/>
              <w:jc w:val="center"/>
            </w:pPr>
            <w:r>
              <w:t xml:space="preserve">2,24</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ℵ (71%) || --- P</w:t>
            </w:r>
            <w:r>
              <w:rPr>
                <w:vertAlign w:val="superscript"/>
              </w:rPr>
              <w:t xml:space="preserve">72,81v</w:t>
            </w:r>
            <w:r>
              <w:t xml:space="preserve">A,B,C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2,25</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(50%) || υμων P</w:t>
            </w:r>
            <w:r>
              <w:rPr>
                <w:vertAlign w:val="superscript"/>
              </w:rPr>
              <w:t xml:space="preserve">72</w:t>
            </w:r>
            <w:r>
              <w:t xml:space="preserve"> </w:t>
            </w:r>
            <w:r>
              <w:t xml:space="preserve">ℵA,B,C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3,06</w:t>
            </w:r>
          </w:p>
        </w:tc>
        <w:tc>
          <w:tcPr/>
          <w:p>
            <w:pPr>
              <w:pStyle w:val="Compact"/>
              <w:jc w:val="left"/>
            </w:pPr>
            <w:r>
              <w:t xml:space="preserve">εγενηθητε</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 </w:t>
            </w:r>
            <w:r>
              <w:t xml:space="preserve">ℵA,B,C (63%) || εγεννηθητε P</w:t>
            </w:r>
            <w:r>
              <w:rPr>
                <w:vertAlign w:val="superscript"/>
              </w:rPr>
              <w:t xml:space="preserve">72</w:t>
            </w:r>
            <w:r>
              <w:t xml:space="preserve"> </w:t>
            </w:r>
            <w:r>
              <w:t xml:space="preserve">(35%) || εγεννηθη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χαριτος ζωης</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B,C (58%) || 1 ζωσης (35%) || ποικιλης 12 ℵA (7%) || 12 αιωνιου P</w:t>
            </w:r>
            <w:r>
              <w:rPr>
                <w:vertAlign w:val="superscript"/>
              </w:rPr>
              <w:t xml:space="preserve">72</w:t>
            </w:r>
            <w:r>
              <w:t xml:space="preserve">;</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εγκοπτεσθαι</w:t>
            </w:r>
            <w:r>
              <w:t xml:space="preserve"> </w:t>
            </w:r>
            <w:r>
              <w:rPr>
                <w:bCs/>
                <w:b/>
              </w:rPr>
              <w:t xml:space="preserve">f</w:t>
            </w:r>
            <w:r>
              <w:rPr>
                <w:vertAlign w:val="superscript"/>
                <w:bCs/>
                <w:b/>
              </w:rPr>
              <w:t xml:space="preserve">35</w:t>
            </w:r>
            <w:r>
              <w:t xml:space="preserve"> </w:t>
            </w:r>
            <w:r>
              <w:t xml:space="preserve">P</w:t>
            </w:r>
            <w:r>
              <w:rPr>
                <w:vertAlign w:val="superscript"/>
              </w:rPr>
              <w:t xml:space="preserve">81</w:t>
            </w:r>
            <w:r>
              <w:t xml:space="preserve">(ℵ)A,B (70%) || εκκοπτεσθαι P</w:t>
            </w:r>
            <w:r>
              <w:rPr>
                <w:vertAlign w:val="superscript"/>
              </w:rPr>
              <w:t xml:space="preserve">72</w:t>
            </w:r>
            <w:r>
              <w:t xml:space="preserve">C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3,10</w:t>
            </w:r>
          </w:p>
        </w:tc>
        <w:tc>
          <w:tcPr/>
          <w:p>
            <w:pPr>
              <w:pStyle w:val="Compact"/>
              <w:jc w:val="left"/>
            </w:pPr>
            <w:r>
              <w:t xml:space="preserve">ημερας ιδειν</w:t>
            </w:r>
            <w:r>
              <w:t xml:space="preserve"> </w:t>
            </w:r>
            <w:r>
              <w:rPr>
                <w:bCs/>
                <w:b/>
              </w:rPr>
              <w:t xml:space="preserve">f</w:t>
            </w:r>
            <w:r>
              <w:rPr>
                <w:vertAlign w:val="superscript"/>
                <w:bCs/>
                <w:b/>
              </w:rPr>
              <w:t xml:space="preserve">35</w:t>
            </w:r>
            <w:r>
              <w:t xml:space="preserve"> </w:t>
            </w:r>
            <w:r>
              <w:t xml:space="preserve">C (26%) || ~ 21 P</w:t>
            </w:r>
            <w:r>
              <w:rPr>
                <w:vertAlign w:val="superscript"/>
              </w:rPr>
              <w:t xml:space="preserve">72,81v</w:t>
            </w:r>
            <w:r>
              <w:t xml:space="preserve"> </w:t>
            </w:r>
            <w:r>
              <w:t xml:space="preserve">ℵA,B (74%);</w:t>
            </w:r>
          </w:p>
        </w:tc>
        <w:tc>
          <w:tcPr/>
          <w:p>
            <w:pPr>
              <w:pStyle w:val="Compact"/>
            </w:pPr>
          </w:p>
        </w:tc>
      </w:tr>
      <w:tr>
        <w:tc>
          <w:tcPr/>
          <w:p>
            <w:pPr>
              <w:pStyle w:val="Compact"/>
              <w:jc w:val="center"/>
            </w:pPr>
            <w:r>
              <w:t xml:space="preserve">3,16</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ℵA,C (44,4%) || καταλαλωσιν (50%) || καταλαλεισθε P</w:t>
            </w:r>
            <w:r>
              <w:rPr>
                <w:vertAlign w:val="superscript"/>
              </w:rPr>
              <w:t xml:space="preserve">72</w:t>
            </w:r>
            <w:r>
              <w:t xml:space="preserve">B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τη αγαθη εν χριστω αναστροφη</w:t>
            </w:r>
            <w:r>
              <w:t xml:space="preserve"> </w:t>
            </w:r>
            <w:r>
              <w:rPr>
                <w:bCs/>
                <w:b/>
              </w:rPr>
              <w:t xml:space="preserve">f</w:t>
            </w:r>
            <w:r>
              <w:rPr>
                <w:vertAlign w:val="superscript"/>
                <w:bCs/>
                <w:b/>
              </w:rPr>
              <w:t xml:space="preserve">35</w:t>
            </w:r>
            <w:r>
              <w:t xml:space="preserve"> </w:t>
            </w:r>
            <w:r>
              <w:t xml:space="preserve">(20%) || την αγαθην 34 αναστροφην (ℵ)A,B (50%) || την 34 αγαθην αναστροφην P</w:t>
            </w:r>
            <w:r>
              <w:rPr>
                <w:vertAlign w:val="superscript"/>
              </w:rPr>
              <w:t xml:space="preserve">72</w:t>
            </w:r>
            <w:r>
              <w:t xml:space="preserve"> </w:t>
            </w:r>
            <w:r>
              <w:t xml:space="preserve">(24%) || την 34 αγνην αναστροφην C (1%) || την καλην 34 αναστροφην (4%)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A,C (64%) || υμας P</w:t>
            </w:r>
            <w:r>
              <w:rPr>
                <w:vertAlign w:val="superscript"/>
              </w:rPr>
              <w:t xml:space="preserve">72</w:t>
            </w:r>
            <w:r>
              <w:t xml:space="preserve">B (36%)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(22%) || --- P</w:t>
            </w:r>
            <w:r>
              <w:rPr>
                <w:vertAlign w:val="superscript"/>
              </w:rPr>
              <w:t xml:space="preserve">72</w:t>
            </w:r>
            <w:r>
              <w:t xml:space="preserve"> </w:t>
            </w:r>
            <w:r>
              <w:t xml:space="preserve">ℵA,B,C (78%);</w:t>
            </w:r>
          </w:p>
        </w:tc>
        <w:tc>
          <w:tcPr/>
          <w:p>
            <w:pPr>
              <w:pStyle w:val="Compact"/>
            </w:pPr>
          </w:p>
        </w:tc>
      </w:tr>
      <w:tr>
        <w:tc>
          <w:tcPr/>
          <w:p>
            <w:pPr>
              <w:pStyle w:val="Compact"/>
              <w:jc w:val="center"/>
            </w:pPr>
            <w:r>
              <w:t xml:space="preserve">4,03</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(41,7%) || ημιν C (47,1%) || --- P</w:t>
            </w:r>
            <w:r>
              <w:rPr>
                <w:vertAlign w:val="superscript"/>
              </w:rPr>
              <w:t xml:space="preserve">72</w:t>
            </w:r>
            <w:r>
              <w:t xml:space="preserve">A,B (11,2%);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χρονος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(26%) || χρονος του βιου (74%);</w:t>
            </w:r>
          </w:p>
        </w:tc>
        <w:tc>
          <w:tcPr/>
          <w:p>
            <w:pPr>
              <w:pStyle w:val="Compact"/>
            </w:pPr>
          </w:p>
        </w:tc>
      </w:tr>
      <w:tr>
        <w:tc>
          <w:tcPr/>
          <w:p>
            <w:pPr>
              <w:pStyle w:val="Compact"/>
              <w:jc w:val="center"/>
            </w:pPr>
            <w:r>
              <w:t xml:space="preserve">4,03</w:t>
            </w:r>
          </w:p>
        </w:tc>
        <w:tc>
          <w:tcPr/>
          <w:p>
            <w:pPr>
              <w:pStyle w:val="Compact"/>
              <w:jc w:val="left"/>
            </w:pPr>
            <w:r>
              <w:t xml:space="preserve">ειδωλολατριαις</w:t>
            </w:r>
            <w:r>
              <w:t xml:space="preserve"> </w:t>
            </w:r>
            <w:r>
              <w:rPr>
                <w:bCs/>
                <w:b/>
              </w:rPr>
              <w:t xml:space="preserve">f</w:t>
            </w:r>
            <w:r>
              <w:rPr>
                <w:vertAlign w:val="superscript"/>
                <w:bCs/>
                <w:b/>
              </w:rPr>
              <w:t xml:space="preserve">35</w:t>
            </w:r>
            <w:r>
              <w:t xml:space="preserve"> </w:t>
            </w:r>
            <w:r>
              <w:t xml:space="preserve">ℵA,C (70%) || ειδωλολατρειαις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τας</w:t>
            </w:r>
            <w:r>
              <w:t xml:space="preserve"> </w:t>
            </w:r>
            <w:r>
              <w:rPr>
                <w:bCs/>
                <w:b/>
              </w:rPr>
              <w:t xml:space="preserve">f</w:t>
            </w:r>
            <w:r>
              <w:rPr>
                <w:vertAlign w:val="superscript"/>
                <w:bCs/>
                <w:b/>
              </w:rPr>
              <w:t xml:space="preserve">35</w:t>
            </w:r>
            <w:r>
              <w:t xml:space="preserve"> </w:t>
            </w:r>
            <w:r>
              <w:t xml:space="preserve">(70%) || --- P</w:t>
            </w:r>
            <w:r>
              <w:rPr>
                <w:vertAlign w:val="superscript"/>
              </w:rPr>
              <w:t xml:space="preserve">72</w:t>
            </w:r>
            <w:r>
              <w:t xml:space="preserve"> </w:t>
            </w:r>
            <w:r>
              <w:t xml:space="preserve">ℵA,B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(49%) || --- P</w:t>
            </w:r>
            <w:r>
              <w:rPr>
                <w:vertAlign w:val="superscript"/>
              </w:rPr>
              <w:t xml:space="preserve">72</w:t>
            </w:r>
            <w:r>
              <w:t xml:space="preserve"> </w:t>
            </w:r>
            <w:r>
              <w:t xml:space="preserve">ℵA,B (51%);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καλυπτει</w:t>
            </w:r>
            <w:r>
              <w:t xml:space="preserve"> </w:t>
            </w:r>
            <w:r>
              <w:rPr>
                <w:bCs/>
                <w:b/>
              </w:rPr>
              <w:t xml:space="preserve">f</w:t>
            </w:r>
            <w:r>
              <w:rPr>
                <w:vertAlign w:val="superscript"/>
                <w:bCs/>
                <w:b/>
              </w:rPr>
              <w:t xml:space="preserve">35</w:t>
            </w:r>
            <w:r>
              <w:t xml:space="preserve"> </w:t>
            </w:r>
            <w:r>
              <w:t xml:space="preserve">A,B (60%) || καλυψει P</w:t>
            </w:r>
            <w:r>
              <w:rPr>
                <w:vertAlign w:val="superscript"/>
              </w:rPr>
              <w:t xml:space="preserve">72</w:t>
            </w:r>
            <w:r>
              <w:t xml:space="preserve"> </w:t>
            </w:r>
            <w:r>
              <w:t xml:space="preserve">ℵ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(69%) || ης P</w:t>
            </w:r>
            <w:r>
              <w:rPr>
                <w:vertAlign w:val="superscript"/>
              </w:rPr>
              <w:t xml:space="preserve">72</w:t>
            </w:r>
            <w:r>
              <w:t xml:space="preserve"> </w:t>
            </w:r>
            <w:r>
              <w:t xml:space="preserve">ℵA,B (28%) || --- (3%);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δοξαζηται Θεος</w:t>
            </w:r>
            <w:r>
              <w:t xml:space="preserve"> </w:t>
            </w:r>
            <w:r>
              <w:rPr>
                <w:bCs/>
                <w:b/>
              </w:rPr>
              <w:t xml:space="preserve">f</w:t>
            </w:r>
            <w:r>
              <w:rPr>
                <w:vertAlign w:val="superscript"/>
                <w:bCs/>
                <w:b/>
              </w:rPr>
              <w:t xml:space="preserve">35</w:t>
            </w:r>
            <w:r>
              <w:t xml:space="preserve"> </w:t>
            </w:r>
            <w:r>
              <w:t xml:space="preserve">(20%) || 1 ο 2 P</w:t>
            </w:r>
            <w:r>
              <w:rPr>
                <w:vertAlign w:val="superscript"/>
              </w:rPr>
              <w:t xml:space="preserve">72</w:t>
            </w:r>
            <w:r>
              <w:t xml:space="preserve"> </w:t>
            </w:r>
            <w:r>
              <w:t xml:space="preserve">ℵA,B (73%) || ~ο 21 (6%);</w:t>
            </w:r>
          </w:p>
        </w:tc>
        <w:tc>
          <w:tcPr/>
          <w:p>
            <w:pPr>
              <w:pStyle w:val="Compact"/>
            </w:pPr>
          </w:p>
        </w:tc>
      </w:tr>
      <w:tr>
        <w:tc>
          <w:tcPr/>
          <w:p>
            <w:pPr>
              <w:pStyle w:val="Compact"/>
              <w:jc w:val="center"/>
            </w:pPr>
            <w:r>
              <w:t xml:space="preserve">4,11</w:t>
            </w:r>
          </w:p>
        </w:tc>
        <w:tc>
          <w:tcPr/>
          <w:p>
            <w:pPr>
              <w:pStyle w:val="Compact"/>
              <w:jc w:val="left"/>
            </w:pPr>
            <w:r>
              <w:t xml:space="preserve">αιωνας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(27%) || αιωνας των αιωνων ℵA,B (73%);</w:t>
            </w:r>
          </w:p>
        </w:tc>
        <w:tc>
          <w:tcPr/>
          <w:p>
            <w:pPr>
              <w:pStyle w:val="Compact"/>
            </w:pPr>
          </w:p>
        </w:tc>
      </w:tr>
      <w:tr>
        <w:tc>
          <w:tcPr/>
          <w:p>
            <w:pPr>
              <w:pStyle w:val="Compact"/>
              <w:jc w:val="center"/>
            </w:pPr>
            <w:r>
              <w:t xml:space="preserve">4,14</w:t>
            </w:r>
          </w:p>
        </w:tc>
        <w:tc>
          <w:tcPr/>
          <w:p>
            <w:pPr>
              <w:pStyle w:val="Compact"/>
              <w:jc w:val="left"/>
            </w:pPr>
            <w:r>
              <w:t xml:space="preserve">αναπεπαυται</w:t>
            </w:r>
            <w:r>
              <w:t xml:space="preserve"> </w:t>
            </w:r>
            <w:r>
              <w:rPr>
                <w:bCs/>
                <w:b/>
              </w:rPr>
              <w:t xml:space="preserve">f</w:t>
            </w:r>
            <w:r>
              <w:rPr>
                <w:vertAlign w:val="superscript"/>
                <w:bCs/>
                <w:b/>
              </w:rPr>
              <w:t xml:space="preserve">35</w:t>
            </w:r>
            <w:r>
              <w:t xml:space="preserve"> </w:t>
            </w:r>
            <w:r>
              <w:t xml:space="preserve">(39%) || επαναπαυεται A (6%) || επαναπεπαυται P</w:t>
            </w:r>
            <w:r>
              <w:rPr>
                <w:vertAlign w:val="superscript"/>
              </w:rPr>
              <w:t xml:space="preserve">72</w:t>
            </w:r>
            <w:r>
              <w:t xml:space="preserve"> </w:t>
            </w:r>
            <w:r>
              <w:t xml:space="preserve">(2%) || αναπαυεται ℵB (52%) || αναπεμπεται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5,03</w:t>
            </w:r>
          </w:p>
        </w:tc>
        <w:tc>
          <w:tcPr/>
          <w:p>
            <w:pPr>
              <w:pStyle w:val="Compact"/>
              <w:jc w:val="left"/>
            </w:pPr>
            <w:r>
              <w:t xml:space="preserve">μηδε</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(49%) || μηδ ℵA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υπερ</w:t>
            </w:r>
            <w:r>
              <w:t xml:space="preserve"> </w:t>
            </w:r>
            <w:r>
              <w:rPr>
                <w:bCs/>
                <w:b/>
              </w:rPr>
              <w:t xml:space="preserve">f</w:t>
            </w:r>
            <w:r>
              <w:rPr>
                <w:vertAlign w:val="superscript"/>
                <w:bCs/>
                <w:b/>
              </w:rPr>
              <w:t xml:space="preserve">35</w:t>
            </w:r>
            <w:r>
              <w:t xml:space="preserve"> </w:t>
            </w:r>
            <w:r>
              <w:t xml:space="preserve">(35%) || περι P</w:t>
            </w:r>
            <w:r>
              <w:rPr>
                <w:vertAlign w:val="superscript"/>
              </w:rPr>
              <w:t xml:space="preserve">72</w:t>
            </w:r>
            <w:r>
              <w:t xml:space="preserve"> </w:t>
            </w:r>
            <w:r>
              <w:t xml:space="preserve">ℵA,B (65%);</w:t>
            </w:r>
          </w:p>
        </w:tc>
        <w:tc>
          <w:tcPr/>
          <w:p>
            <w:pPr>
              <w:pStyle w:val="Compact"/>
            </w:pPr>
          </w:p>
        </w:tc>
      </w:tr>
      <w:tr>
        <w:tc>
          <w:tcPr/>
          <w:p>
            <w:pPr>
              <w:pStyle w:val="Compact"/>
              <w:jc w:val="center"/>
            </w:pPr>
            <w:r>
              <w:t xml:space="preserve">5,08</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(50%) || --- ℵA,B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5,08</w:t>
            </w:r>
          </w:p>
        </w:tc>
        <w:tc>
          <w:tcPr/>
          <w:p>
            <w:pPr>
              <w:pStyle w:val="Compact"/>
              <w:jc w:val="left"/>
            </w:pPr>
            <w:r>
              <w:t xml:space="preserve">περιερχεται</w:t>
            </w:r>
            <w:r>
              <w:t xml:space="preserve"> </w:t>
            </w:r>
            <w:r>
              <w:rPr>
                <w:bCs/>
                <w:b/>
              </w:rPr>
              <w:t xml:space="preserve">f</w:t>
            </w:r>
            <w:r>
              <w:rPr>
                <w:vertAlign w:val="superscript"/>
                <w:bCs/>
                <w:b/>
              </w:rPr>
              <w:t xml:space="preserve">35</w:t>
            </w:r>
            <w:r>
              <w:t xml:space="preserve"> </w:t>
            </w:r>
            <w:r>
              <w:t xml:space="preserve">(24%) || περιπατει P</w:t>
            </w:r>
            <w:r>
              <w:rPr>
                <w:vertAlign w:val="superscript"/>
              </w:rPr>
              <w:t xml:space="preserve">72</w:t>
            </w:r>
            <w:r>
              <w:t xml:space="preserve"> </w:t>
            </w:r>
            <w:r>
              <w:t xml:space="preserve">ℵA,B (76%);</w:t>
            </w:r>
          </w:p>
        </w:tc>
        <w:tc>
          <w:tcPr/>
          <w:p>
            <w:pPr>
              <w:pStyle w:val="Compact"/>
            </w:pPr>
          </w:p>
        </w:tc>
      </w:tr>
      <w:tr>
        <w:tc>
          <w:tcPr/>
          <w:p>
            <w:pPr>
              <w:pStyle w:val="Compact"/>
              <w:jc w:val="center"/>
            </w:pPr>
            <w:r>
              <w:t xml:space="preserve">5,08</w:t>
            </w:r>
          </w:p>
        </w:tc>
        <w:tc>
          <w:tcPr/>
          <w:p>
            <w:pPr>
              <w:pStyle w:val="Compact"/>
              <w:jc w:val="left"/>
            </w:pPr>
            <w:r>
              <w:t xml:space="preserve">καταπιειν</w:t>
            </w:r>
            <w:r>
              <w:t xml:space="preserve"> </w:t>
            </w:r>
            <w:r>
              <w:rPr>
                <w:bCs/>
                <w:b/>
              </w:rPr>
              <w:t xml:space="preserve">f</w:t>
            </w:r>
            <w:r>
              <w:rPr>
                <w:vertAlign w:val="superscript"/>
                <w:bCs/>
                <w:b/>
              </w:rPr>
              <w:t xml:space="preserve">35</w:t>
            </w:r>
            <w:r>
              <w:t xml:space="preserve"> </w:t>
            </w:r>
            <w:r>
              <w:t xml:space="preserve">(ℵ)B (53%) || καταπιει (25%) || καταπιη P</w:t>
            </w:r>
            <w:r>
              <w:rPr>
                <w:vertAlign w:val="superscript"/>
              </w:rPr>
              <w:t xml:space="preserve">72</w:t>
            </w:r>
            <w:r>
              <w:t xml:space="preserve">A (22%);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στηριξαι</w:t>
            </w:r>
            <w:r>
              <w:t xml:space="preserve"> </w:t>
            </w:r>
            <w:r>
              <w:rPr>
                <w:bCs/>
                <w:b/>
              </w:rPr>
              <w:t xml:space="preserve">f</w:t>
            </w:r>
            <w:r>
              <w:rPr>
                <w:vertAlign w:val="superscript"/>
                <w:bCs/>
                <w:b/>
              </w:rPr>
              <w:t xml:space="preserve">35</w:t>
            </w:r>
            <w:r>
              <w:t xml:space="preserve"> </w:t>
            </w:r>
            <w:r>
              <w:t xml:space="preserve">(33%) || στηριξει P</w:t>
            </w:r>
            <w:r>
              <w:rPr>
                <w:vertAlign w:val="superscript"/>
              </w:rPr>
              <w:t xml:space="preserve">72</w:t>
            </w:r>
            <w:r>
              <w:t xml:space="preserve"> </w:t>
            </w:r>
            <w:r>
              <w:t xml:space="preserve">ℵA,B (66%) || στηριξοι (1%);</w:t>
            </w:r>
          </w:p>
        </w:tc>
        <w:tc>
          <w:tcPr/>
          <w:p>
            <w:pPr>
              <w:pStyle w:val="Compact"/>
            </w:pPr>
          </w:p>
        </w:tc>
      </w:tr>
      <w:tr>
        <w:tc>
          <w:tcPr/>
          <w:p>
            <w:pPr>
              <w:pStyle w:val="Compact"/>
              <w:jc w:val="center"/>
            </w:pPr>
            <w:r>
              <w:t xml:space="preserve">5,10</w:t>
            </w:r>
          </w:p>
        </w:tc>
        <w:tc>
          <w:tcPr/>
          <w:p>
            <w:pPr>
              <w:pStyle w:val="Compact"/>
              <w:jc w:val="left"/>
            </w:pPr>
            <w:r>
              <w:t xml:space="preserve">σθενωσαι</w:t>
            </w:r>
            <w:r>
              <w:t xml:space="preserve"> </w:t>
            </w:r>
            <w:r>
              <w:rPr>
                <w:bCs/>
                <w:b/>
              </w:rPr>
              <w:t xml:space="preserve">f</w:t>
            </w:r>
            <w:r>
              <w:rPr>
                <w:vertAlign w:val="superscript"/>
                <w:bCs/>
                <w:b/>
              </w:rPr>
              <w:t xml:space="preserve">35</w:t>
            </w:r>
            <w:r>
              <w:t xml:space="preserve"> </w:t>
            </w:r>
            <w:r>
              <w:t xml:space="preserve">(30%) || σθενωσει ℵA,B (66%) || σθενωσοι (1%) || --- P</w:t>
            </w:r>
            <w:r>
              <w:rPr>
                <w:vertAlign w:val="superscript"/>
              </w:rPr>
              <w:t xml:space="preserve">72</w:t>
            </w:r>
            <w:r>
              <w:t xml:space="preserve"> </w:t>
            </w:r>
            <w:r>
              <w:t xml:space="preserve">(3%);</w:t>
            </w:r>
          </w:p>
        </w:tc>
        <w:tc>
          <w:tcPr/>
          <w:p>
            <w:pPr>
              <w:pStyle w:val="Compact"/>
            </w:pPr>
          </w:p>
        </w:tc>
      </w:tr>
      <w:tr>
        <w:tc>
          <w:tcPr/>
          <w:p>
            <w:pPr>
              <w:pStyle w:val="Compact"/>
              <w:jc w:val="center"/>
            </w:pPr>
            <w:r>
              <w:t xml:space="preserve">5,10</w:t>
            </w:r>
          </w:p>
        </w:tc>
        <w:tc>
          <w:tcPr/>
          <w:p>
            <w:pPr>
              <w:pStyle w:val="Compact"/>
              <w:jc w:val="left"/>
            </w:pPr>
            <w:r>
              <w:t xml:space="preserve">θεμελιωσαι</w:t>
            </w:r>
            <w:r>
              <w:t xml:space="preserve"> </w:t>
            </w:r>
            <w:r>
              <w:rPr>
                <w:bCs/>
                <w:b/>
              </w:rPr>
              <w:t xml:space="preserve">f</w:t>
            </w:r>
            <w:r>
              <w:rPr>
                <w:vertAlign w:val="superscript"/>
                <w:bCs/>
                <w:b/>
              </w:rPr>
              <w:t xml:space="preserve">35</w:t>
            </w:r>
            <w:r>
              <w:t xml:space="preserve"> </w:t>
            </w:r>
            <w:r>
              <w:t xml:space="preserve">(30%) || θεμελιωσει P</w:t>
            </w:r>
            <w:r>
              <w:rPr>
                <w:vertAlign w:val="superscript"/>
              </w:rPr>
              <w:t xml:space="preserve">72</w:t>
            </w:r>
            <w:r>
              <w:t xml:space="preserve"> </w:t>
            </w:r>
            <w:r>
              <w:t xml:space="preserve">ℵ (66%) || θεμελιωσοι (1%) || --- A,B (3%);</w:t>
            </w:r>
          </w:p>
        </w:tc>
        <w:tc>
          <w:tcPr/>
          <w:p>
            <w:pPr>
              <w:pStyle w:val="Compact"/>
            </w:pPr>
          </w:p>
        </w:tc>
      </w:tr>
      <w:tr>
        <w:tc>
          <w:tcPr/>
          <w:p>
            <w:pPr>
              <w:pStyle w:val="Compact"/>
              <w:jc w:val="center"/>
            </w:pPr>
            <w:r>
              <w:t xml:space="preserve">5,11</w:t>
            </w:r>
          </w:p>
        </w:tc>
        <w:tc>
          <w:tcPr/>
          <w:p>
            <w:pPr>
              <w:pStyle w:val="Compact"/>
              <w:jc w:val="left"/>
            </w:pPr>
            <w:r>
              <w:t xml:space="preserve">η δοξα και το κρατος</w:t>
            </w:r>
            <w:r>
              <w:t xml:space="preserve"> </w:t>
            </w:r>
            <w:r>
              <w:rPr>
                <w:bCs/>
                <w:b/>
              </w:rPr>
              <w:t xml:space="preserve">f</w:t>
            </w:r>
            <w:r>
              <w:rPr>
                <w:vertAlign w:val="superscript"/>
                <w:bCs/>
                <w:b/>
              </w:rPr>
              <w:t xml:space="preserve">35</w:t>
            </w:r>
            <w:r>
              <w:t xml:space="preserve"> </w:t>
            </w:r>
            <w:r>
              <w:t xml:space="preserve">ℵ (59,6%) || 125 (31,3%) || ~ 45312 (7%) || 4 (-το P</w:t>
            </w:r>
            <w:r>
              <w:rPr>
                <w:vertAlign w:val="superscript"/>
              </w:rPr>
              <w:t xml:space="preserve">72</w:t>
            </w:r>
            <w:r>
              <w:t xml:space="preserve">) 5 P</w:t>
            </w:r>
            <w:r>
              <w:rPr>
                <w:vertAlign w:val="superscript"/>
              </w:rPr>
              <w:t xml:space="preserve">72</w:t>
            </w:r>
            <w:r>
              <w:t xml:space="preserve">A,B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Piotra określają powyższe 42 odczyty. Jest on wyraźny i jednoznaczny, mamy więc w 1 Liście Piotra co najmniej jeden obiektywnie określony archetyp. Dla kontrastu istnieją 24 +?6 zestawy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Piotra</w:t>
            </w:r>
          </w:p>
        </w:tc>
        <w:tc>
          <w:tcPr/>
          <w:p>
            <w:pPr>
              <w:pStyle w:val="Compact"/>
            </w:pPr>
          </w:p>
        </w:tc>
      </w:tr>
      <w:tr>
        <w:tc>
          <w:tcPr/>
          <w:p>
            <w:pPr>
              <w:pStyle w:val="Compact"/>
              <w:jc w:val="center"/>
            </w:pPr>
            <w:r>
              <w:t xml:space="preserve">1,02</w:t>
            </w:r>
          </w:p>
        </w:tc>
        <w:tc>
          <w:tcPr/>
          <w:p>
            <w:pPr>
              <w:pStyle w:val="Compact"/>
              <w:jc w:val="left"/>
            </w:pPr>
            <w:r>
              <w:t xml:space="preserve">ιησου του κυριου ημων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)B,C (68%) (234 1,4%) || 1 χριστου 234 ℵA (15%) || χριστου 1234 (8%) || σωτηρος 1 χριστου 234 (1,2%) || ~ 2341 χριστου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1,05</w:t>
            </w:r>
          </w:p>
        </w:tc>
        <w:tc>
          <w:tcPr/>
          <w:p>
            <w:pPr>
              <w:pStyle w:val="Compact"/>
              <w:jc w:val="left"/>
            </w:pPr>
            <w:r>
              <w:t xml:space="preserve">δε τουτο</w:t>
            </w:r>
            <w:r>
              <w:t xml:space="preserve"> </w:t>
            </w:r>
            <w:r>
              <w:rPr>
                <w:bCs/>
                <w:b/>
              </w:rPr>
              <w:t xml:space="preserve">f</w:t>
            </w:r>
            <w:r>
              <w:rPr>
                <w:vertAlign w:val="superscript"/>
                <w:bCs/>
                <w:b/>
              </w:rPr>
              <w:t xml:space="preserve">35</w:t>
            </w:r>
            <w:r>
              <w:t xml:space="preserve"> </w:t>
            </w:r>
            <w:r>
              <w:t xml:space="preserve">ℵ (66%) || ~ 21 P</w:t>
            </w:r>
            <w:r>
              <w:rPr>
                <w:vertAlign w:val="superscript"/>
              </w:rPr>
              <w:t xml:space="preserve">72</w:t>
            </w:r>
            <w:r>
              <w:t xml:space="preserve">B,C (32%) || 1 A (1%) || 2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2,02</w:t>
            </w:r>
          </w:p>
        </w:tc>
        <w:tc>
          <w:tcPr/>
          <w:p>
            <w:pPr>
              <w:pStyle w:val="Compact"/>
              <w:jc w:val="left"/>
            </w:pPr>
            <w:r>
              <w:t xml:space="preserve">ας</w:t>
            </w:r>
            <w:r>
              <w:t xml:space="preserve"> </w:t>
            </w:r>
            <w:r>
              <w:rPr>
                <w:bCs/>
                <w:b/>
              </w:rPr>
              <w:t xml:space="preserve">f</w:t>
            </w:r>
            <w:r>
              <w:rPr>
                <w:vertAlign w:val="superscript"/>
                <w:bCs/>
                <w:b/>
              </w:rPr>
              <w:t xml:space="preserve">35</w:t>
            </w:r>
            <w:r>
              <w:t xml:space="preserve"> </w:t>
            </w:r>
            <w:r>
              <w:t xml:space="preserve">(20%) || ους P</w:t>
            </w:r>
            <w:r>
              <w:rPr>
                <w:vertAlign w:val="superscript"/>
              </w:rPr>
              <w:t xml:space="preserve">72</w:t>
            </w:r>
            <w:r>
              <w:t xml:space="preserve"> </w:t>
            </w:r>
            <w:r>
              <w:t xml:space="preserve">ℵA,B,C (80%);</w:t>
            </w:r>
          </w:p>
        </w:tc>
        <w:tc>
          <w:tcPr/>
          <w:p>
            <w:pPr>
              <w:pStyle w:val="Compact"/>
            </w:pPr>
          </w:p>
        </w:tc>
      </w:tr>
      <w:tr>
        <w:tc>
          <w:tcPr/>
          <w:p>
            <w:pPr>
              <w:pStyle w:val="Compact"/>
              <w:jc w:val="center"/>
            </w:pPr>
            <w:r>
              <w:t xml:space="preserve">2,09</w:t>
            </w:r>
          </w:p>
        </w:tc>
        <w:tc>
          <w:tcPr/>
          <w:p>
            <w:pPr>
              <w:pStyle w:val="Compact"/>
              <w:jc w:val="left"/>
            </w:pPr>
            <w:r>
              <w:t xml:space="preserve">πειρασμων</w:t>
            </w:r>
            <w:r>
              <w:t xml:space="preserve"> </w:t>
            </w:r>
            <w:r>
              <w:rPr>
                <w:bCs/>
                <w:b/>
              </w:rPr>
              <w:t xml:space="preserve">f</w:t>
            </w:r>
            <w:r>
              <w:rPr>
                <w:vertAlign w:val="superscript"/>
                <w:bCs/>
                <w:b/>
              </w:rPr>
              <w:t xml:space="preserve">35</w:t>
            </w:r>
            <w:r>
              <w:t xml:space="preserve"> </w:t>
            </w:r>
            <w:r>
              <w:t xml:space="preserve">ℵ (33%) || πειρασμου (P</w:t>
            </w:r>
            <w:r>
              <w:rPr>
                <w:vertAlign w:val="superscript"/>
              </w:rPr>
              <w:t xml:space="preserve">72</w:t>
            </w:r>
            <w:r>
              <w:t xml:space="preserve">)A,B,C (67%);</w:t>
            </w:r>
          </w:p>
        </w:tc>
        <w:tc>
          <w:tcPr/>
          <w:p>
            <w:pPr>
              <w:pStyle w:val="Compact"/>
            </w:pPr>
          </w:p>
        </w:tc>
      </w:tr>
      <w:tr>
        <w:tc>
          <w:tcPr/>
          <w:p>
            <w:pPr>
              <w:pStyle w:val="Compact"/>
              <w:jc w:val="center"/>
            </w:pPr>
            <w:r>
              <w:t xml:space="preserve">2,12</w:t>
            </w:r>
          </w:p>
        </w:tc>
        <w:tc>
          <w:tcPr/>
          <w:p>
            <w:pPr>
              <w:pStyle w:val="Compact"/>
              <w:jc w:val="left"/>
            </w:pPr>
            <w:r>
              <w:t xml:space="preserve">γεγενημενα φυσικα</w:t>
            </w:r>
            <w:r>
              <w:t xml:space="preserve"> </w:t>
            </w:r>
            <w:r>
              <w:rPr>
                <w:bCs/>
                <w:b/>
              </w:rPr>
              <w:t xml:space="preserve">f</w:t>
            </w:r>
            <w:r>
              <w:rPr>
                <w:vertAlign w:val="superscript"/>
                <w:bCs/>
                <w:b/>
              </w:rPr>
              <w:t xml:space="preserve">35</w:t>
            </w:r>
            <w:r>
              <w:t xml:space="preserve"> </w:t>
            </w:r>
            <w:r>
              <w:t xml:space="preserve">ℵ (26%) || ~ 21 (54%) || γεγεννημενα 2 A,B,C (3%) || ~ 2 γεγεννημενα (12%) || 1 (4,2%) || 2 P</w:t>
            </w:r>
            <w:r>
              <w:rPr>
                <w:vertAlign w:val="superscript"/>
              </w:rPr>
              <w:t xml:space="preserve">72</w:t>
            </w:r>
            <w:r>
              <w:t xml:space="preserve"> </w:t>
            </w:r>
            <w:r>
              <w:t xml:space="preserve">(0,4%);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εις αιωνας</w:t>
            </w:r>
            <w:r>
              <w:t xml:space="preserve"> </w:t>
            </w:r>
            <w:r>
              <w:rPr>
                <w:bCs/>
                <w:b/>
              </w:rPr>
              <w:t xml:space="preserve">f</w:t>
            </w:r>
            <w:r>
              <w:rPr>
                <w:vertAlign w:val="superscript"/>
                <w:bCs/>
                <w:b/>
              </w:rPr>
              <w:t xml:space="preserve">35</w:t>
            </w:r>
            <w:r>
              <w:t xml:space="preserve"> </w:t>
            </w:r>
            <w:r>
              <w:t xml:space="preserve">(25,1%) || 1 αιωνα A,C (70,3%) || 1 τον αιωνα (2,4%) || --- P</w:t>
            </w:r>
            <w:r>
              <w:rPr>
                <w:vertAlign w:val="superscript"/>
              </w:rPr>
              <w:t xml:space="preserve">72</w:t>
            </w:r>
            <w:r>
              <w:t xml:space="preserve"> </w:t>
            </w:r>
            <w:r>
              <w:t xml:space="preserve">ℵB (2,2%);</w:t>
            </w:r>
          </w:p>
        </w:tc>
        <w:tc>
          <w:tcPr/>
          <w:p>
            <w:pPr>
              <w:pStyle w:val="Compact"/>
            </w:pPr>
          </w:p>
        </w:tc>
      </w:tr>
      <w:tr>
        <w:tc>
          <w:tcPr/>
          <w:p>
            <w:pPr>
              <w:pStyle w:val="Compact"/>
              <w:jc w:val="center"/>
            </w:pPr>
            <w:r>
              <w:t xml:space="preserve">2,18</w:t>
            </w:r>
          </w:p>
        </w:tc>
        <w:tc>
          <w:tcPr/>
          <w:p>
            <w:pPr>
              <w:pStyle w:val="Compact"/>
              <w:jc w:val="left"/>
            </w:pPr>
            <w:r>
              <w:t xml:space="preserve">ασελγειας</w:t>
            </w:r>
            <w:r>
              <w:t xml:space="preserve"> </w:t>
            </w:r>
            <w:r>
              <w:rPr>
                <w:bCs/>
                <w:b/>
              </w:rPr>
              <w:t xml:space="preserve">f</w:t>
            </w:r>
            <w:r>
              <w:rPr>
                <w:vertAlign w:val="superscript"/>
                <w:bCs/>
                <w:b/>
              </w:rPr>
              <w:t xml:space="preserve">35</w:t>
            </w:r>
            <w:r>
              <w:t xml:space="preserve"> </w:t>
            </w:r>
            <w:r>
              <w:t xml:space="preserve">(40%) || ασελγειαις P</w:t>
            </w:r>
            <w:r>
              <w:rPr>
                <w:vertAlign w:val="superscript"/>
              </w:rPr>
              <w:t xml:space="preserve">72</w:t>
            </w:r>
            <w:r>
              <w:t xml:space="preserve"> </w:t>
            </w:r>
            <w:r>
              <w:t xml:space="preserve">ℵA,B,C (60%);</w:t>
            </w:r>
          </w:p>
        </w:tc>
        <w:tc>
          <w:tcPr/>
          <w:p>
            <w:pPr>
              <w:pStyle w:val="Compact"/>
            </w:pPr>
          </w:p>
        </w:tc>
      </w:tr>
      <w:tr>
        <w:tc>
          <w:tcPr/>
          <w:p>
            <w:pPr>
              <w:pStyle w:val="Compact"/>
              <w:jc w:val="center"/>
            </w:pPr>
            <w:r>
              <w:t xml:space="preserve">3,02</w:t>
            </w:r>
          </w:p>
        </w:tc>
        <w:tc>
          <w:tcPr/>
          <w:p>
            <w:pPr>
              <w:pStyle w:val="Compact"/>
              <w:jc w:val="left"/>
            </w:pPr>
            <w:r>
              <w:t xml:space="preserve">υμων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(70%) || ημων (28,8%) || ---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3,05</w:t>
            </w:r>
          </w:p>
        </w:tc>
        <w:tc>
          <w:tcPr/>
          <w:p>
            <w:pPr>
              <w:pStyle w:val="Compact"/>
              <w:jc w:val="left"/>
            </w:pPr>
            <w:r>
              <w:t xml:space="preserve">συνεστωτα</w:t>
            </w:r>
            <w:r>
              <w:t xml:space="preserve"> </w:t>
            </w:r>
            <w:r>
              <w:rPr>
                <w:bCs/>
                <w:b/>
              </w:rPr>
              <w:t xml:space="preserve">f</w:t>
            </w:r>
            <w:r>
              <w:rPr>
                <w:vertAlign w:val="superscript"/>
                <w:bCs/>
                <w:b/>
              </w:rPr>
              <w:t xml:space="preserve">35</w:t>
            </w:r>
            <w:r>
              <w:t xml:space="preserve"> </w:t>
            </w:r>
            <w:r>
              <w:t xml:space="preserve">ℵ (23%) || συνεστωσα P</w:t>
            </w:r>
            <w:r>
              <w:rPr>
                <w:vertAlign w:val="superscript"/>
              </w:rPr>
              <w:t xml:space="preserve">72</w:t>
            </w:r>
            <w:r>
              <w:t xml:space="preserve">A,C(048) (76%);</w:t>
            </w:r>
          </w:p>
        </w:tc>
        <w:tc>
          <w:tcPr/>
          <w:p>
            <w:pPr>
              <w:pStyle w:val="Compact"/>
            </w:pPr>
          </w:p>
        </w:tc>
      </w:tr>
      <w:tr>
        <w:tc>
          <w:tcPr/>
          <w:p>
            <w:pPr>
              <w:pStyle w:val="Compact"/>
              <w:jc w:val="center"/>
            </w:pPr>
            <w:r>
              <w:t xml:space="preserve">3,10</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ℵ,048 (67%) || η οι P</w:t>
            </w:r>
            <w:r>
              <w:rPr>
                <w:vertAlign w:val="superscript"/>
              </w:rPr>
              <w:t xml:space="preserve">72</w:t>
            </w:r>
            <w:r>
              <w:t xml:space="preserve">A,B,C (33%);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3,15</w:t>
            </w:r>
          </w:p>
        </w:tc>
        <w:tc>
          <w:tcPr/>
          <w:p>
            <w:pPr>
              <w:pStyle w:val="Compact"/>
              <w:jc w:val="left"/>
            </w:pPr>
            <w:r>
              <w:t xml:space="preserve">αυτω δοθεισαν</w:t>
            </w:r>
            <w:r>
              <w:t xml:space="preserve"> </w:t>
            </w:r>
            <w:r>
              <w:rPr>
                <w:bCs/>
                <w:b/>
              </w:rPr>
              <w:t xml:space="preserve">f</w:t>
            </w:r>
            <w:r>
              <w:rPr>
                <w:vertAlign w:val="superscript"/>
                <w:bCs/>
                <w:b/>
              </w:rPr>
              <w:t xml:space="preserve">35</w:t>
            </w:r>
            <w:r>
              <w:t xml:space="preserve"> </w:t>
            </w:r>
            <w:r>
              <w:t xml:space="preserve">(60%) || ~ 21 P</w:t>
            </w:r>
            <w:r>
              <w:rPr>
                <w:vertAlign w:val="superscript"/>
              </w:rPr>
              <w:t xml:space="preserve">72</w:t>
            </w:r>
            <w:r>
              <w:t xml:space="preserve">(ℵ)A,B,C,048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εισιν</w:t>
            </w:r>
            <w:r>
              <w:t xml:space="preserve"> </w:t>
            </w:r>
            <w:r>
              <w:rPr>
                <w:bCs/>
                <w:b/>
              </w:rPr>
              <w:t xml:space="preserve">f</w:t>
            </w:r>
            <w:r>
              <w:rPr>
                <w:vertAlign w:val="superscript"/>
                <w:bCs/>
                <w:b/>
              </w:rPr>
              <w:t xml:space="preserve">35</w:t>
            </w:r>
            <w:r>
              <w:t xml:space="preserve"> </w:t>
            </w:r>
            <w:r>
              <w:t xml:space="preserve">A (33%) || εστιν P</w:t>
            </w:r>
            <w:r>
              <w:rPr>
                <w:vertAlign w:val="superscript"/>
              </w:rPr>
              <w:t xml:space="preserve">72</w:t>
            </w:r>
            <w:r>
              <w:t xml:space="preserve"> </w:t>
            </w:r>
            <w:r>
              <w:t xml:space="preserve">ℵB,C (67%);</w:t>
            </w:r>
          </w:p>
        </w:tc>
        <w:tc>
          <w:tcPr/>
          <w:p>
            <w:pPr>
              <w:pStyle w:val="Compact"/>
            </w:pPr>
          </w:p>
        </w:tc>
      </w:tr>
      <w:tr>
        <w:tc>
          <w:tcPr/>
          <w:p>
            <w:pPr>
              <w:pStyle w:val="Compact"/>
              <w:jc w:val="center"/>
            </w:pPr>
            <w:r>
              <w:t xml:space="preserve">3,18</w:t>
            </w:r>
          </w:p>
        </w:tc>
        <w:tc>
          <w:tcPr/>
          <w:p>
            <w:pPr>
              <w:pStyle w:val="Compact"/>
              <w:jc w:val="left"/>
            </w:pPr>
            <w:r>
              <w:t xml:space="preserve">αυξανητε</w:t>
            </w:r>
            <w:r>
              <w:t xml:space="preserve"> </w:t>
            </w:r>
            <w:r>
              <w:rPr>
                <w:bCs/>
                <w:b/>
              </w:rPr>
              <w:t xml:space="preserve">f</w:t>
            </w:r>
            <w:r>
              <w:rPr>
                <w:vertAlign w:val="superscript"/>
                <w:bCs/>
                <w:b/>
              </w:rPr>
              <w:t xml:space="preserve">35</w:t>
            </w:r>
            <w:r>
              <w:t xml:space="preserve"> </w:t>
            </w:r>
            <w:r>
              <w:t xml:space="preserve">(27%) || αυξανετε ℵA,B (60%) || αυξανεσθε P</w:t>
            </w:r>
            <w:r>
              <w:rPr>
                <w:vertAlign w:val="superscript"/>
              </w:rPr>
              <w:t xml:space="preserve">72</w:t>
            </w:r>
            <w:r>
              <w:t xml:space="preserve">C (5%) || αυξανησθε (3%) || αυξανοιτε (5%).</w:t>
            </w:r>
          </w:p>
        </w:tc>
        <w:tc>
          <w:tcPr/>
          <w:p>
            <w:pPr>
              <w:pStyle w:val="Compact"/>
            </w:pP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Liście Piotra określa powyższych 13 odczytów. Jest on wyraźny i jednoznaczny, mamy więc w 2 Liście Piotra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4 +?2 zestawy wariantów, w których</w:t>
      </w:r>
      <w:r>
        <w:t xml:space="preserve"> </w:t>
      </w:r>
      <w:r>
        <w:rPr>
          <w:bCs/>
          <w:b/>
        </w:rPr>
        <w:t xml:space="preserve">K</w:t>
      </w:r>
      <w:r>
        <w:rPr>
          <w:vertAlign w:val="superscript"/>
          <w:bCs/>
          <w:b/>
        </w:rPr>
        <w:t xml:space="preserve">x</w:t>
      </w:r>
      <w:r>
        <w:t xml:space="preserve"> </w:t>
      </w:r>
      <w:r>
        <w:t xml:space="preserve">jest poważnie podzielony, są na tyle nieliczne, że postulowanie archetypu może być możliwe. (Nie uwzględniłem pewnej liczby mniejszych podziałów — 25%, 20%, 15% — które mogłyby skomplikować każdą taką próbę. Inne uwagi znajdują się wyżej, przy Liście Jakuba). Przejdźmy do 1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Jana</w:t>
            </w:r>
          </w:p>
        </w:tc>
        <w:tc>
          <w:tcPr/>
          <w:p>
            <w:pPr>
              <w:pStyle w:val="Compact"/>
            </w:pPr>
          </w:p>
        </w:tc>
      </w:tr>
      <w:tr>
        <w:tc>
          <w:tcPr/>
          <w:p>
            <w:pPr>
              <w:pStyle w:val="Compact"/>
              <w:jc w:val="center"/>
            </w:pPr>
            <w:r>
              <w:t xml:space="preserve">1,04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ℵB (59%) || υμων A,C (41%);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1,06</w:t>
            </w:r>
          </w:p>
        </w:tc>
        <w:tc>
          <w:tcPr/>
          <w:p>
            <w:pPr>
              <w:pStyle w:val="Compact"/>
              <w:jc w:val="left"/>
            </w:pPr>
            <w:r>
              <w:t xml:space="preserve">περιπατουμεν</w:t>
            </w:r>
            <w:r>
              <w:t xml:space="preserve"> </w:t>
            </w:r>
            <w:r>
              <w:rPr>
                <w:bCs/>
                <w:b/>
              </w:rPr>
              <w:t xml:space="preserve">f</w:t>
            </w:r>
            <w:r>
              <w:rPr>
                <w:vertAlign w:val="superscript"/>
                <w:bCs/>
                <w:b/>
              </w:rPr>
              <w:t xml:space="preserve">35</w:t>
            </w:r>
            <w:r>
              <w:t xml:space="preserve"> </w:t>
            </w:r>
            <w:r>
              <w:t xml:space="preserve">(29%) || περιπατωμεν</w:t>
            </w:r>
            <w:r>
              <w:t xml:space="preserve"> </w:t>
            </w:r>
            <w:r>
              <w:rPr>
                <w:bCs/>
                <w:b/>
              </w:rPr>
              <w:t xml:space="preserve">f</w:t>
            </w:r>
            <w:r>
              <w:rPr>
                <w:vertAlign w:val="superscript"/>
                <w:bCs/>
                <w:b/>
              </w:rPr>
              <w:t xml:space="preserve">35pt</w:t>
            </w:r>
            <w:r>
              <w:t xml:space="preserve"> </w:t>
            </w:r>
            <w:r>
              <w:t xml:space="preserve">ℵA,B,C (71%);</w:t>
            </w:r>
          </w:p>
        </w:tc>
        <w:tc>
          <w:tcPr/>
          <w:p>
            <w:pPr>
              <w:pStyle w:val="Compact"/>
            </w:pPr>
          </w:p>
        </w:tc>
      </w:tr>
      <w:tr>
        <w:tc>
          <w:tcPr/>
          <w:p>
            <w:pPr>
              <w:pStyle w:val="Compact"/>
              <w:jc w:val="center"/>
            </w:pPr>
            <w:r>
              <w:t xml:space="preserve">2,16</w:t>
            </w:r>
          </w:p>
        </w:tc>
        <w:tc>
          <w:tcPr/>
          <w:p>
            <w:pPr>
              <w:pStyle w:val="Compact"/>
              <w:jc w:val="left"/>
            </w:pPr>
            <w:r>
              <w:t xml:space="preserve">αλαζονεια</w:t>
            </w:r>
            <w:r>
              <w:t xml:space="preserve"> </w:t>
            </w:r>
            <w:r>
              <w:rPr>
                <w:bCs/>
                <w:b/>
              </w:rPr>
              <w:t xml:space="preserve">f</w:t>
            </w:r>
            <w:r>
              <w:rPr>
                <w:vertAlign w:val="superscript"/>
                <w:bCs/>
                <w:b/>
              </w:rPr>
              <w:t xml:space="preserve">35</w:t>
            </w:r>
            <w:r>
              <w:t xml:space="preserve"> </w:t>
            </w:r>
            <w:r>
              <w:t xml:space="preserve">C (72%) || αλαζονια ℵA,B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2,24</w:t>
            </w:r>
          </w:p>
        </w:tc>
        <w:tc>
          <w:tcPr/>
          <w:p>
            <w:pPr>
              <w:pStyle w:val="Compact"/>
              <w:jc w:val="left"/>
            </w:pPr>
            <w:r>
              <w:t xml:space="preserve">πατρι και εν τω υιω</w:t>
            </w:r>
            <w:r>
              <w:t xml:space="preserve"> </w:t>
            </w:r>
            <w:r>
              <w:rPr>
                <w:bCs/>
                <w:b/>
              </w:rPr>
              <w:t xml:space="preserve">f</w:t>
            </w:r>
            <w:r>
              <w:rPr>
                <w:vertAlign w:val="superscript"/>
                <w:bCs/>
                <w:b/>
              </w:rPr>
              <w:t xml:space="preserve">35</w:t>
            </w:r>
            <w:r>
              <w:t xml:space="preserve"> </w:t>
            </w:r>
            <w:r>
              <w:t xml:space="preserve">ℵ (35%) || ~ 52341 A(B)C (65%);</w:t>
            </w:r>
          </w:p>
        </w:tc>
        <w:tc>
          <w:tcPr/>
          <w:p>
            <w:pPr>
              <w:pStyle w:val="Compact"/>
            </w:pPr>
          </w:p>
        </w:tc>
      </w:tr>
      <w:tr>
        <w:tc>
          <w:tcPr/>
          <w:p>
            <w:pPr>
              <w:pStyle w:val="Compact"/>
              <w:jc w:val="center"/>
            </w:pPr>
            <w:r>
              <w:t xml:space="preserve">2,27</w:t>
            </w:r>
          </w:p>
        </w:tc>
        <w:tc>
          <w:tcPr/>
          <w:p>
            <w:pPr>
              <w:pStyle w:val="Compact"/>
              <w:jc w:val="left"/>
            </w:pPr>
            <w:r>
              <w:t xml:space="preserve">διδασκη</w:t>
            </w:r>
            <w:r>
              <w:t xml:space="preserve"> </w:t>
            </w:r>
            <w:r>
              <w:rPr>
                <w:bCs/>
                <w:b/>
              </w:rPr>
              <w:t xml:space="preserve">f</w:t>
            </w:r>
            <w:r>
              <w:rPr>
                <w:vertAlign w:val="superscript"/>
                <w:bCs/>
                <w:b/>
              </w:rPr>
              <w:t xml:space="preserve">35</w:t>
            </w:r>
            <w:r>
              <w:t xml:space="preserve"> </w:t>
            </w:r>
            <w:r>
              <w:t xml:space="preserve">ℵA,B (71%) || διδασκει C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2,29</w:t>
            </w:r>
          </w:p>
        </w:tc>
        <w:tc>
          <w:tcPr/>
          <w:p>
            <w:pPr>
              <w:pStyle w:val="Compact"/>
              <w:jc w:val="left"/>
            </w:pPr>
            <w:r>
              <w:t xml:space="preserve">ειδητε</w:t>
            </w:r>
            <w:r>
              <w:t xml:space="preserve"> </w:t>
            </w:r>
            <w:r>
              <w:rPr>
                <w:bCs/>
                <w:b/>
              </w:rPr>
              <w:t xml:space="preserve">f</w:t>
            </w:r>
            <w:r>
              <w:rPr>
                <w:vertAlign w:val="superscript"/>
                <w:bCs/>
                <w:b/>
              </w:rPr>
              <w:t xml:space="preserve">35</w:t>
            </w:r>
            <w:r>
              <w:t xml:space="preserve"> </w:t>
            </w:r>
            <w:r>
              <w:t xml:space="preserve">ℵB,C (37%) || ιδητε A (59%) || οιδατε (4%);</w:t>
            </w:r>
          </w:p>
        </w:tc>
        <w:tc>
          <w:tcPr/>
          <w:p>
            <w:pPr>
              <w:pStyle w:val="Compact"/>
            </w:pPr>
          </w:p>
        </w:tc>
      </w:tr>
      <w:tr>
        <w:tc>
          <w:tcPr/>
          <w:p>
            <w:pPr>
              <w:pStyle w:val="Compact"/>
              <w:jc w:val="center"/>
            </w:pPr>
            <w:r>
              <w:t xml:space="preserve">2,29</w:t>
            </w:r>
          </w:p>
        </w:tc>
        <w:tc>
          <w:tcPr/>
          <w:p>
            <w:pPr>
              <w:pStyle w:val="Compact"/>
              <w:jc w:val="left"/>
            </w:pPr>
            <w:r>
              <w:t xml:space="preserve">γεγεννηται</w:t>
            </w:r>
            <w:r>
              <w:t xml:space="preserve"> </w:t>
            </w:r>
            <w:r>
              <w:rPr>
                <w:bCs/>
                <w:b/>
              </w:rPr>
              <w:t xml:space="preserve">f</w:t>
            </w:r>
            <w:r>
              <w:rPr>
                <w:vertAlign w:val="superscript"/>
                <w:bCs/>
                <w:b/>
              </w:rPr>
              <w:t xml:space="preserve">35</w:t>
            </w:r>
            <w:r>
              <w:t xml:space="preserve"> </w:t>
            </w:r>
            <w:r>
              <w:t xml:space="preserve">ℵA,B,C (70%) || γεγενηται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3,01</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A,B (36%) || υμας ℵC (63,5%) || --- (0,5%);</w:t>
            </w:r>
          </w:p>
        </w:tc>
        <w:tc>
          <w:tcPr/>
          <w:p>
            <w:pPr>
              <w:pStyle w:val="Compact"/>
            </w:pPr>
          </w:p>
        </w:tc>
      </w:tr>
      <w:tr>
        <w:tc>
          <w:tcPr/>
          <w:p>
            <w:pPr>
              <w:pStyle w:val="Compact"/>
              <w:jc w:val="center"/>
            </w:pPr>
            <w:r>
              <w:t xml:space="preserve">3,06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(20%) || --- ℵA,B,C (80%);</w:t>
            </w:r>
          </w:p>
        </w:tc>
        <w:tc>
          <w:tcPr/>
          <w:p>
            <w:pPr>
              <w:pStyle w:val="Compact"/>
            </w:pPr>
          </w:p>
        </w:tc>
      </w:tr>
      <w:tr>
        <w:tc>
          <w:tcPr/>
          <w:p>
            <w:pPr>
              <w:pStyle w:val="Compact"/>
              <w:jc w:val="center"/>
            </w:pPr>
            <w:r>
              <w:t xml:space="preserve">3,15</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ℵA,C (70%) || αυτω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3,17</w:t>
            </w:r>
          </w:p>
        </w:tc>
        <w:tc>
          <w:tcPr/>
          <w:p>
            <w:pPr>
              <w:pStyle w:val="Compact"/>
              <w:jc w:val="left"/>
            </w:pPr>
            <w:r>
              <w:t xml:space="preserve">θεωρη</w:t>
            </w:r>
            <w:r>
              <w:t xml:space="preserve"> </w:t>
            </w:r>
            <w:r>
              <w:rPr>
                <w:bCs/>
                <w:b/>
              </w:rPr>
              <w:t xml:space="preserve">f</w:t>
            </w:r>
            <w:r>
              <w:rPr>
                <w:vertAlign w:val="superscript"/>
                <w:bCs/>
                <w:b/>
              </w:rPr>
              <w:t xml:space="preserve">35</w:t>
            </w:r>
            <w:r>
              <w:t xml:space="preserve"> </w:t>
            </w:r>
            <w:r>
              <w:t xml:space="preserve">ℵA,B,C (47%) || θεωρει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3,19</w:t>
            </w:r>
          </w:p>
        </w:tc>
        <w:tc>
          <w:tcPr/>
          <w:p>
            <w:pPr>
              <w:pStyle w:val="Compact"/>
              <w:jc w:val="left"/>
            </w:pPr>
            <w:r>
              <w:t xml:space="preserve">πεισωμεν</w:t>
            </w:r>
            <w:r>
              <w:t xml:space="preserve"> </w:t>
            </w:r>
            <w:r>
              <w:rPr>
                <w:bCs/>
                <w:b/>
              </w:rPr>
              <w:t xml:space="preserve">f</w:t>
            </w:r>
            <w:r>
              <w:rPr>
                <w:vertAlign w:val="superscript"/>
                <w:bCs/>
                <w:b/>
              </w:rPr>
              <w:t xml:space="preserve">35</w:t>
            </w:r>
            <w:r>
              <w:t xml:space="preserve"> </w:t>
            </w:r>
            <w:r>
              <w:t xml:space="preserve">(43%) || πεισομεν ℵA,B,C (56%);</w:t>
            </w:r>
          </w:p>
        </w:tc>
        <w:tc>
          <w:tcPr/>
          <w:p>
            <w:pPr>
              <w:pStyle w:val="Compact"/>
            </w:pPr>
          </w:p>
        </w:tc>
      </w:tr>
      <w:tr>
        <w:tc>
          <w:tcPr/>
          <w:p>
            <w:pPr>
              <w:pStyle w:val="Compact"/>
              <w:jc w:val="center"/>
            </w:pPr>
            <w:r>
              <w:t xml:space="preserve">3,21</w:t>
            </w:r>
          </w:p>
        </w:tc>
        <w:tc>
          <w:tcPr/>
          <w:p>
            <w:pPr>
              <w:pStyle w:val="Compact"/>
              <w:jc w:val="left"/>
            </w:pPr>
            <w:r>
              <w:t xml:space="preserve">καταγινωσκη</w:t>
            </w:r>
            <w:r>
              <w:t xml:space="preserve"> </w:t>
            </w:r>
            <w:r>
              <w:rPr>
                <w:bCs/>
                <w:b/>
              </w:rPr>
              <w:t xml:space="preserve">f</w:t>
            </w:r>
            <w:r>
              <w:rPr>
                <w:vertAlign w:val="superscript"/>
                <w:bCs/>
                <w:b/>
              </w:rPr>
              <w:t xml:space="preserve">35</w:t>
            </w:r>
            <w:r>
              <w:t xml:space="preserve"> </w:t>
            </w:r>
            <w:r>
              <w:t xml:space="preserve">ℵB,C (71%) || καταγινωσκει A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3,23</w:t>
            </w:r>
          </w:p>
        </w:tc>
        <w:tc>
          <w:tcPr/>
          <w:p>
            <w:pPr>
              <w:pStyle w:val="Compact"/>
              <w:jc w:val="left"/>
            </w:pPr>
            <w:r>
              <w:t xml:space="preserve">πιστευσωμεν</w:t>
            </w:r>
            <w:r>
              <w:t xml:space="preserve"> </w:t>
            </w:r>
            <w:r>
              <w:rPr>
                <w:bCs/>
                <w:b/>
              </w:rPr>
              <w:t xml:space="preserve">f</w:t>
            </w:r>
            <w:r>
              <w:rPr>
                <w:vertAlign w:val="superscript"/>
                <w:bCs/>
                <w:b/>
              </w:rPr>
              <w:t xml:space="preserve">35</w:t>
            </w:r>
            <w:r>
              <w:t xml:space="preserve"> </w:t>
            </w:r>
            <w:r>
              <w:t xml:space="preserve">B (66,9%) || πιστευωμεν ℵA,C (26,5%) || πιστευομεν (5,4%) || πιστευσομεν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3,24</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(30%) || και εν A,B,C</w:t>
            </w:r>
            <w:r>
              <w:rPr>
                <w:vertAlign w:val="superscript"/>
              </w:rPr>
              <w:t xml:space="preserve">v</w:t>
            </w:r>
            <w:r>
              <w:t xml:space="preserve"> </w:t>
            </w:r>
            <w:r>
              <w:t xml:space="preserve">(70%);</w:t>
            </w:r>
          </w:p>
        </w:tc>
        <w:tc>
          <w:tcPr/>
          <w:p>
            <w:pPr>
              <w:pStyle w:val="Compact"/>
            </w:pPr>
          </w:p>
        </w:tc>
      </w:tr>
      <w:tr>
        <w:tc>
          <w:tcPr/>
          <w:p>
            <w:pPr>
              <w:pStyle w:val="Compact"/>
              <w:jc w:val="center"/>
            </w:pPr>
            <w:r>
              <w:t xml:space="preserve">4,02</w:t>
            </w:r>
          </w:p>
        </w:tc>
        <w:tc>
          <w:tcPr/>
          <w:p>
            <w:pPr>
              <w:pStyle w:val="Compact"/>
              <w:jc w:val="left"/>
            </w:pPr>
            <w:r>
              <w:t xml:space="preserve">γινωσκεται</w:t>
            </w:r>
            <w:r>
              <w:t xml:space="preserve"> </w:t>
            </w:r>
            <w:r>
              <w:rPr>
                <w:bCs/>
                <w:b/>
              </w:rPr>
              <w:t xml:space="preserve">f</w:t>
            </w:r>
            <w:r>
              <w:rPr>
                <w:vertAlign w:val="superscript"/>
                <w:bCs/>
                <w:b/>
              </w:rPr>
              <w:t xml:space="preserve">35</w:t>
            </w:r>
            <w:r>
              <w:t xml:space="preserve"> </w:t>
            </w:r>
            <w:r>
              <w:t xml:space="preserve">(67%) || γινωσκετε A,B,C (25%) || γινωσκομεν ℵ (8%);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ομολογει</w:t>
            </w:r>
            <w:r>
              <w:t xml:space="preserve"> </w:t>
            </w:r>
            <w:r>
              <w:rPr>
                <w:bCs/>
                <w:b/>
              </w:rPr>
              <w:t xml:space="preserve">f</w:t>
            </w:r>
            <w:r>
              <w:rPr>
                <w:vertAlign w:val="superscript"/>
                <w:bCs/>
                <w:b/>
              </w:rPr>
              <w:t xml:space="preserve">35</w:t>
            </w:r>
            <w:r>
              <w:t xml:space="preserve"> </w:t>
            </w:r>
            <w:r>
              <w:t xml:space="preserve">ℵ (73,5%) || ομολογει τον A,B (24,2%);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εκ</w:t>
            </w:r>
            <w:r>
              <w:t xml:space="preserve"> </w:t>
            </w:r>
            <w:r>
              <w:rPr>
                <w:bCs/>
                <w:b/>
              </w:rPr>
              <w:t xml:space="preserve">f</w:t>
            </w:r>
            <w:r>
              <w:rPr>
                <w:vertAlign w:val="superscript"/>
                <w:bCs/>
                <w:b/>
              </w:rPr>
              <w:t xml:space="preserve">35</w:t>
            </w:r>
            <w:r>
              <w:t xml:space="preserve"> </w:t>
            </w:r>
            <w:r>
              <w:t xml:space="preserve">ℵA,B (70%) || ---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4,16</w:t>
            </w:r>
          </w:p>
        </w:tc>
        <w:tc>
          <w:tcPr/>
          <w:p>
            <w:pPr>
              <w:pStyle w:val="Compact"/>
              <w:jc w:val="left"/>
            </w:pPr>
            <w:r>
              <w:t xml:space="preserve">αυτω</w:t>
            </w:r>
            <w:r>
              <w:t xml:space="preserve"> </w:t>
            </w:r>
            <w:r>
              <w:rPr>
                <w:bCs/>
                <w:b/>
              </w:rPr>
              <w:t xml:space="preserve">f</w:t>
            </w:r>
            <w:r>
              <w:rPr>
                <w:vertAlign w:val="superscript"/>
                <w:bCs/>
                <w:b/>
              </w:rPr>
              <w:t xml:space="preserve">35</w:t>
            </w:r>
            <w:r>
              <w:t xml:space="preserve"> </w:t>
            </w:r>
            <w:r>
              <w:t xml:space="preserve">A (37%) || αυτω μενει ℵB (63%);</w:t>
            </w:r>
          </w:p>
        </w:tc>
        <w:tc>
          <w:tcPr/>
          <w:p>
            <w:pPr>
              <w:pStyle w:val="Compact"/>
            </w:pPr>
          </w:p>
        </w:tc>
      </w:tr>
      <w:tr>
        <w:tc>
          <w:tcPr/>
          <w:p>
            <w:pPr>
              <w:pStyle w:val="Compact"/>
              <w:jc w:val="center"/>
            </w:pPr>
            <w:r>
              <w:t xml:space="preserve">5,04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ℵ,A,B (56,4%) || υμων (43,2%) || --- (0,4%);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(70%) || και εν (A)B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 (48%) || αυτω A,B (52%);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ο θεος ημιν</w:t>
            </w:r>
            <w:r>
              <w:t xml:space="preserve"> </w:t>
            </w:r>
            <w:r>
              <w:rPr>
                <w:bCs/>
                <w:b/>
              </w:rPr>
              <w:t xml:space="preserve">f</w:t>
            </w:r>
            <w:r>
              <w:rPr>
                <w:vertAlign w:val="superscript"/>
                <w:bCs/>
                <w:b/>
              </w:rPr>
              <w:t xml:space="preserve">35</w:t>
            </w:r>
            <w:r>
              <w:t xml:space="preserve"> </w:t>
            </w:r>
            <w:r>
              <w:t xml:space="preserve">B (24%) || ~ 312 ℵA (76%);</w:t>
            </w:r>
          </w:p>
        </w:tc>
        <w:tc>
          <w:tcPr/>
          <w:p>
            <w:pPr>
              <w:pStyle w:val="Compact"/>
            </w:pPr>
          </w:p>
        </w:tc>
      </w:tr>
      <w:tr>
        <w:tc>
          <w:tcPr/>
          <w:p>
            <w:pPr>
              <w:pStyle w:val="Compact"/>
              <w:jc w:val="center"/>
            </w:pPr>
            <w:r>
              <w:t xml:space="preserve">5,20</w:t>
            </w:r>
          </w:p>
        </w:tc>
        <w:tc>
          <w:tcPr/>
          <w:p>
            <w:pPr>
              <w:pStyle w:val="Compact"/>
              <w:jc w:val="left"/>
            </w:pPr>
            <w:r>
              <w:t xml:space="preserve">γινωσκωμεν</w:t>
            </w:r>
            <w:r>
              <w:t xml:space="preserve"> </w:t>
            </w:r>
            <w:r>
              <w:rPr>
                <w:bCs/>
                <w:b/>
              </w:rPr>
              <w:t xml:space="preserve">f</w:t>
            </w:r>
            <w:r>
              <w:rPr>
                <w:vertAlign w:val="superscript"/>
                <w:bCs/>
                <w:b/>
              </w:rPr>
              <w:t xml:space="preserve">35</w:t>
            </w:r>
            <w:r>
              <w:t xml:space="preserve"> </w:t>
            </w:r>
            <w:r>
              <w:t xml:space="preserve">(66%) || γινωσκομεν ℵA,B (34%);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5,20</w:t>
            </w:r>
          </w:p>
        </w:tc>
        <w:tc>
          <w:tcPr/>
          <w:p>
            <w:pPr>
              <w:pStyle w:val="Compact"/>
              <w:jc w:val="left"/>
            </w:pPr>
            <w:r>
              <w:t xml:space="preserve">η ζωη η</w:t>
            </w:r>
            <w:r>
              <w:t xml:space="preserve"> </w:t>
            </w:r>
            <w:r>
              <w:rPr>
                <w:bCs/>
                <w:b/>
              </w:rPr>
              <w:t xml:space="preserve">f</w:t>
            </w:r>
            <w:r>
              <w:rPr>
                <w:vertAlign w:val="superscript"/>
                <w:bCs/>
                <w:b/>
              </w:rPr>
              <w:t xml:space="preserve">35</w:t>
            </w:r>
            <w:r>
              <w:t xml:space="preserve"> </w:t>
            </w:r>
            <w:r>
              <w:t xml:space="preserve">(60%) || 2 ℵA,B (26%) || 12 (6%) || 23 (4%) || --- (4%).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Jana określa powyższych 26 odczytów. Jest on wyraźny i jednoznaczny, mamy więc w 1 Liście Jana co najmniej jeden obiektywnie określony archetyp. Dla kontrastu istnieje 11 +?6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i 3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Jana</w:t>
            </w:r>
          </w:p>
        </w:tc>
        <w:tc>
          <w:tcPr/>
          <w:p>
            <w:pPr>
              <w:pStyle w:val="Compact"/>
            </w:pPr>
          </w:p>
        </w:tc>
      </w:tr>
      <w:tr>
        <w:tc>
          <w:tcPr/>
          <w:p>
            <w:pPr>
              <w:pStyle w:val="Compact"/>
              <w:jc w:val="center"/>
            </w:pPr>
            <w:r>
              <w:t xml:space="preserve">02</w:t>
            </w:r>
          </w:p>
        </w:tc>
        <w:tc>
          <w:tcPr/>
          <w:p>
            <w:pPr>
              <w:pStyle w:val="Compact"/>
              <w:jc w:val="left"/>
            </w:pPr>
            <w:r>
              <w:t xml:space="preserve">εσται μεθ υμων</w:t>
            </w:r>
            <w:r>
              <w:t xml:space="preserve"> </w:t>
            </w:r>
            <w:r>
              <w:rPr>
                <w:bCs/>
                <w:b/>
              </w:rPr>
              <w:t xml:space="preserve">f</w:t>
            </w:r>
            <w:r>
              <w:rPr>
                <w:vertAlign w:val="superscript"/>
                <w:bCs/>
                <w:b/>
              </w:rPr>
              <w:t xml:space="preserve">35</w:t>
            </w:r>
            <w:r>
              <w:t xml:space="preserve"> </w:t>
            </w:r>
            <w:r>
              <w:t xml:space="preserve">(58%) || εσται μεθ ημων ℵB,0232 (40%) || --- A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05</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A (35%) || αλλα ℵB (65%);</w:t>
            </w:r>
          </w:p>
        </w:tc>
        <w:tc>
          <w:tcPr/>
          <w:p>
            <w:pPr>
              <w:pStyle w:val="Compact"/>
            </w:pPr>
          </w:p>
        </w:tc>
      </w:tr>
      <w:tr>
        <w:tc>
          <w:tcPr/>
          <w:p>
            <w:pPr>
              <w:pStyle w:val="Compact"/>
              <w:jc w:val="center"/>
            </w:pPr>
            <w:r>
              <w:t xml:space="preserve">05</w:t>
            </w:r>
          </w:p>
        </w:tc>
        <w:tc>
          <w:tcPr/>
          <w:p>
            <w:pPr>
              <w:pStyle w:val="Compact"/>
              <w:jc w:val="left"/>
            </w:pPr>
            <w:r>
              <w:t xml:space="preserve">εχομεν</w:t>
            </w:r>
            <w:r>
              <w:t xml:space="preserve"> </w:t>
            </w:r>
            <w:r>
              <w:rPr>
                <w:bCs/>
                <w:b/>
              </w:rPr>
              <w:t xml:space="preserve">f</w:t>
            </w:r>
            <w:r>
              <w:rPr>
                <w:vertAlign w:val="superscript"/>
                <w:bCs/>
                <w:b/>
              </w:rPr>
              <w:t xml:space="preserve">35</w:t>
            </w:r>
            <w:r>
              <w:t xml:space="preserve"> </w:t>
            </w:r>
            <w:r>
              <w:t xml:space="preserve">(30%) || ειχομεν ℵA,B (70%);</w:t>
            </w:r>
          </w:p>
        </w:tc>
        <w:tc>
          <w:tcPr/>
          <w:p>
            <w:pPr>
              <w:pStyle w:val="Compact"/>
            </w:pPr>
          </w:p>
        </w:tc>
      </w:tr>
      <w:tr>
        <w:tc>
          <w:tcPr/>
          <w:p>
            <w:pPr>
              <w:pStyle w:val="Compact"/>
              <w:jc w:val="center"/>
            </w:pPr>
            <w:r>
              <w:t xml:space="preserve">09</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(20%) || --- ℵA,B (80%);</w:t>
            </w:r>
          </w:p>
        </w:tc>
        <w:tc>
          <w:tcPr/>
          <w:p>
            <w:pPr>
              <w:pStyle w:val="Compact"/>
            </w:pPr>
          </w:p>
        </w:tc>
      </w:tr>
      <w:tr>
        <w:tc>
          <w:tcPr/>
          <w:p>
            <w:pPr>
              <w:pStyle w:val="Compact"/>
              <w:jc w:val="center"/>
            </w:pPr>
            <w:r>
              <w:t xml:space="preserve">12</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(30%) || αλλα ℵA,B (70%).</w:t>
            </w:r>
          </w:p>
        </w:tc>
        <w:tc>
          <w:tcPr/>
          <w:p>
            <w:pPr>
              <w:pStyle w:val="Compact"/>
            </w:pPr>
          </w:p>
        </w:tc>
      </w:tr>
    </w:tbl>
    <w:p/>
    <w:tbl>
      <w:tblPr>
        <w:tblStyle w:val="Table"/>
        <w:tblW w:type="pct" w:w="5000"/>
        <w:tblLook w:firstRow="1" w:lastRow="0" w:firstColumn="0" w:lastColumn="0" w:noHBand="0" w:noVBand="0" w:val="0020"/>
        <w:jc w:val="start"/>
      </w:tblPr>
      <w:tblGrid>
        <w:gridCol w:w="4950"/>
        <w:gridCol w:w="2970"/>
      </w:tblGrid>
      <w:tr>
        <w:trPr>
          <w:tblHeader w:val="true"/>
        </w:trPr>
        <w:tc>
          <w:tcPr/>
          <w:p>
            <w:pPr>
              <w:pStyle w:val="Compact"/>
              <w:jc w:val="center"/>
            </w:pPr>
            <w:r>
              <w:t xml:space="preserve">Miejsce</w:t>
            </w:r>
          </w:p>
        </w:tc>
        <w:tc>
          <w:tcPr/>
          <w:p>
            <w:pPr>
              <w:pStyle w:val="Compact"/>
              <w:jc w:val="left"/>
            </w:pPr>
            <w:r>
              <w:t xml:space="preserve">Odczyty</w:t>
            </w:r>
          </w:p>
        </w:tc>
      </w:tr>
      <w:tr>
        <w:tc>
          <w:tcPr/>
          <w:p>
            <w:pPr>
              <w:pStyle w:val="Compact"/>
            </w:pPr>
          </w:p>
        </w:tc>
        <w:tc>
          <w:tcPr/>
          <w:p>
            <w:pPr>
              <w:pStyle w:val="Compact"/>
              <w:jc w:val="left"/>
            </w:pPr>
            <w:r>
              <w:rPr>
                <w:bCs/>
                <w:b/>
              </w:rPr>
              <w:t xml:space="preserve">3 List Jana</w:t>
            </w:r>
          </w:p>
        </w:tc>
      </w:tr>
      <w:tr>
        <w:tc>
          <w:tcPr/>
          <w:p>
            <w:pPr>
              <w:pStyle w:val="Compact"/>
              <w:jc w:val="center"/>
            </w:pPr>
            <w:r>
              <w:t xml:space="preserve">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(25%) || --- ℵA,B,C (75%);</w:t>
            </w:r>
          </w:p>
        </w:tc>
      </w:tr>
      <w:tr>
        <w:tc>
          <w:tcPr/>
          <w:p>
            <w:pPr>
              <w:pStyle w:val="Compact"/>
              <w:jc w:val="center"/>
            </w:pPr>
            <w:r>
              <w:t xml:space="preserve">12</w:t>
            </w:r>
          </w:p>
        </w:tc>
        <w:tc>
          <w:tcPr/>
          <w:p>
            <w:pPr>
              <w:pStyle w:val="Compact"/>
              <w:jc w:val="left"/>
            </w:pPr>
            <w:r>
              <w:t xml:space="preserve">οιδαμεν</w:t>
            </w:r>
            <w:r>
              <w:t xml:space="preserve"> </w:t>
            </w:r>
            <w:r>
              <w:rPr>
                <w:bCs/>
                <w:b/>
              </w:rPr>
              <w:t xml:space="preserve">f</w:t>
            </w:r>
            <w:r>
              <w:rPr>
                <w:vertAlign w:val="superscript"/>
                <w:bCs/>
                <w:b/>
              </w:rPr>
              <w:t xml:space="preserve">35</w:t>
            </w:r>
            <w:r>
              <w:t xml:space="preserve"> </w:t>
            </w:r>
            <w:r>
              <w:t xml:space="preserve">(23%) || οιδατε (61,5%) || οιδας ℵA,B,C,048 (15,1%) || οιδα (0,4%).</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i 3 Liście Jana określa powyższych 7 odczytów. Jest on wyraźny i jednoznaczny, mamy więc w tych księgach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 Przejdźmy do Listu Judy.</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Judy</w:t>
            </w:r>
          </w:p>
        </w:tc>
        <w:tc>
          <w:tcPr/>
          <w:p>
            <w:pPr>
              <w:pStyle w:val="Compact"/>
            </w:pPr>
          </w:p>
        </w:tc>
      </w:tr>
      <w:tr>
        <w:tc>
          <w:tcPr/>
          <w:p>
            <w:pPr>
              <w:pStyle w:val="Compact"/>
              <w:jc w:val="center"/>
            </w:pPr>
            <w:r>
              <w:t xml:space="preserve">06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(30%) || αλλα P</w:t>
            </w:r>
            <w:r>
              <w:rPr>
                <w:vertAlign w:val="superscript"/>
              </w:rPr>
              <w:t xml:space="preserve">72</w:t>
            </w:r>
            <w:r>
              <w:t xml:space="preserve"> </w:t>
            </w:r>
            <w:r>
              <w:t xml:space="preserve">ℵA,B (70%);</w:t>
            </w:r>
          </w:p>
        </w:tc>
        <w:tc>
          <w:tcPr/>
          <w:p>
            <w:pPr>
              <w:pStyle w:val="Compact"/>
            </w:pPr>
          </w:p>
        </w:tc>
      </w:tr>
      <w:tr>
        <w:tc>
          <w:tcPr/>
          <w:p>
            <w:pPr>
              <w:pStyle w:val="Compact"/>
              <w:jc w:val="center"/>
            </w:pPr>
            <w:r>
              <w:t xml:space="preserve">16</w:t>
            </w:r>
          </w:p>
        </w:tc>
        <w:tc>
          <w:tcPr/>
          <w:p>
            <w:pPr>
              <w:pStyle w:val="Compact"/>
              <w:jc w:val="left"/>
            </w:pPr>
            <w:r>
              <w:t xml:space="preserve">εαυτων</w:t>
            </w:r>
            <w:r>
              <w:t xml:space="preserve"> </w:t>
            </w:r>
            <w:r>
              <w:rPr>
                <w:bCs/>
                <w:b/>
              </w:rPr>
              <w:t xml:space="preserve">f</w:t>
            </w:r>
            <w:r>
              <w:rPr>
                <w:vertAlign w:val="superscript"/>
                <w:bCs/>
                <w:b/>
              </w:rPr>
              <w:t xml:space="preserve">35</w:t>
            </w:r>
            <w:r>
              <w:t xml:space="preserve"> </w:t>
            </w:r>
            <w:r>
              <w:t xml:space="preserve">C (35%) || αυτων ℵA,B (65%);</w:t>
            </w:r>
          </w:p>
        </w:tc>
        <w:tc>
          <w:tcPr/>
          <w:p>
            <w:pPr>
              <w:pStyle w:val="Compact"/>
            </w:pPr>
          </w:p>
        </w:tc>
      </w:tr>
      <w:tr>
        <w:tc>
          <w:tcPr/>
          <w:p>
            <w:pPr>
              <w:pStyle w:val="Compact"/>
              <w:jc w:val="center"/>
            </w:pPr>
            <w:r>
              <w:t xml:space="preserve">24</w:t>
            </w:r>
          </w:p>
        </w:tc>
        <w:tc>
          <w:tcPr/>
          <w:p>
            <w:pPr>
              <w:pStyle w:val="Compact"/>
              <w:jc w:val="left"/>
            </w:pPr>
            <w:r>
              <w:t xml:space="preserve">αυτους</w:t>
            </w:r>
            <w:r>
              <w:t xml:space="preserve"> </w:t>
            </w:r>
            <w:r>
              <w:rPr>
                <w:bCs/>
                <w:b/>
              </w:rPr>
              <w:t xml:space="preserve">f</w:t>
            </w:r>
            <w:r>
              <w:rPr>
                <w:vertAlign w:val="superscript"/>
                <w:bCs/>
                <w:b/>
              </w:rPr>
              <w:t xml:space="preserve">35</w:t>
            </w:r>
            <w:r>
              <w:t xml:space="preserve"> </w:t>
            </w:r>
            <w:r>
              <w:t xml:space="preserve">(68,8%) || υμας ℵB,C (29,2%) || ημας A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Judy określają powyższe 3 odczyty. Jest on wyraźny i jednoznaczny, mamy więc w tej księdze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w:t>
      </w:r>
    </w:p>
    <w:bookmarkStart w:id="384" w:name="wniosek-1"/>
    <w:p>
      <w:pPr>
        <w:pStyle w:val="Heading3"/>
      </w:pPr>
      <w:r>
        <w:t xml:space="preserve">Wniosek</w:t>
      </w:r>
    </w:p>
    <w:p>
      <w:pPr>
        <w:pStyle w:val="FirstParagraph"/>
      </w:pPr>
      <w:r>
        <w:t xml:space="preserve">Gdy potraktujemy siedem listów jako blok lub grupę, przedstawione dowody dostarczają odpowiedzi na pytanie początkowe: w Listach Ogólnych istnieje tylko jeden obiektywnie rozpoznawalny archetyp — właśnie</w:t>
      </w:r>
      <w:r>
        <w:t xml:space="preserve"> </w:t>
      </w:r>
      <w:r>
        <w:rPr>
          <w:bCs/>
          <w:b/>
        </w:rPr>
        <w:t xml:space="preserve">f</w:t>
      </w:r>
      <w:r>
        <w:rPr>
          <w:vertAlign w:val="superscript"/>
          <w:bCs/>
          <w:b/>
        </w:rPr>
        <w:t xml:space="preserve">35</w:t>
      </w:r>
      <w:r>
        <w:t xml:space="preserve">. Jego charakterystyczny profil określa 119 odczytów wymienionych powyżej. Dla kontrastu istnieją 54 +?18 zestawy wariantów, w których</w:t>
      </w:r>
      <w:r>
        <w:t xml:space="preserve"> </w:t>
      </w:r>
      <w:r>
        <w:rPr>
          <w:bCs/>
          <w:b/>
        </w:rPr>
        <w:t xml:space="preserve">K</w:t>
      </w:r>
      <w:r>
        <w:rPr>
          <w:vertAlign w:val="superscript"/>
          <w:bCs/>
          <w:b/>
        </w:rPr>
        <w:t xml:space="preserve">x</w:t>
      </w:r>
      <w:r>
        <w:t xml:space="preserve"> </w:t>
      </w:r>
      <w:r>
        <w:t xml:space="preserve">jest poważnie podzielony, co czyni istnienie jednego archetypu</w:t>
      </w:r>
      <w:r>
        <w:t xml:space="preserve"> </w:t>
      </w:r>
      <w:r>
        <w:rPr>
          <w:bCs/>
          <w:b/>
        </w:rPr>
        <w:t xml:space="preserve">K</w:t>
      </w:r>
      <w:r>
        <w:rPr>
          <w:vertAlign w:val="superscript"/>
          <w:bCs/>
          <w:b/>
        </w:rPr>
        <w:t xml:space="preserve">x</w:t>
      </w:r>
      <w:r>
        <w:t xml:space="preserve"> </w:t>
      </w:r>
      <w:r>
        <w:t xml:space="preserve">dla tych ksiąg wysoce wątpliwym. (Nie uwzględniłem pewnej liczby mniejszych podziałów — 28 około 25%, 53 około 20%, 57 około 15% — które mogłyby skomplikować każdą próbę ustalenia archetypu</w:t>
      </w:r>
      <w:r>
        <w:t xml:space="preserve"> </w:t>
      </w:r>
      <w:r>
        <w:rPr>
          <w:bCs/>
          <w:b/>
        </w:rPr>
        <w:t xml:space="preserve">K</w:t>
      </w:r>
      <w:r>
        <w:rPr>
          <w:vertAlign w:val="superscript"/>
          <w:bCs/>
          <w:b/>
        </w:rPr>
        <w:t xml:space="preserve">x</w:t>
      </w:r>
      <w:r>
        <w:t xml:space="preserve">, zwłaszcza jeśli skład stron tych podziałów nie jest stały ani przewidywalny). Nie znam żadnych innych możliwych kandydatów. Przy obecnym stanie naszej niewiedzy w Listach Ogólnych istnieje tylko jeden kwalifikujący się kandydat na archetyp Autografu:</w:t>
      </w:r>
      <w:r>
        <w:t xml:space="preserve"> </w:t>
      </w:r>
      <w:r>
        <w:rPr>
          <w:bCs/>
          <w:b/>
        </w:rPr>
        <w:t xml:space="preserve">f</w:t>
      </w:r>
      <w:r>
        <w:rPr>
          <w:vertAlign w:val="superscript"/>
          <w:bCs/>
          <w:b/>
        </w:rPr>
        <w:t xml:space="preserve">35</w:t>
      </w:r>
      <w:r>
        <w:t xml:space="preserve">. (Jeśli w twoim mieście jest tylko jeden kandydat na burmistrza, kto zostaje wybrany?)</w:t>
      </w:r>
    </w:p>
    <w:bookmarkEnd w:id="384"/>
    <w:bookmarkEnd w:id="385"/>
    <w:bookmarkStart w:id="439" w:name="X1fed85a2d30dbb7540fb502ea753a90e442032e"/>
    <w:p>
      <w:pPr>
        <w:pStyle w:val="Heading2"/>
      </w:pPr>
      <w:r>
        <w:rPr>
          <w:iCs/>
          <w:i/>
          <w:bCs/>
          <w:b/>
        </w:rPr>
        <w:t xml:space="preserve">Concordia discors</w:t>
      </w:r>
      <w:r>
        <w:t xml:space="preserve"> </w:t>
      </w:r>
      <w:r>
        <w:t xml:space="preserve">i odczyty mniejszościowe</w:t>
      </w:r>
      <w:r>
        <w:t xml:space="preserve"> </w:t>
      </w:r>
      <w:r>
        <w:rPr>
          <w:bCs/>
          <w:b/>
        </w:rPr>
        <w:t xml:space="preserve">f</w:t>
      </w:r>
      <w:r>
        <w:rPr>
          <w:vertAlign w:val="superscript"/>
          <w:bCs/>
          <w:b/>
        </w:rPr>
        <w:t xml:space="preserve">35</w:t>
      </w:r>
      <w:r>
        <w:t xml:space="preserve"> </w:t>
      </w:r>
      <w:r>
        <w:t xml:space="preserve">w Listach Ogólnych</w:t>
      </w:r>
    </w:p>
    <w:p>
      <w:pPr>
        <w:pStyle w:val="FirstParagraph"/>
      </w:pPr>
      <w:r>
        <w:t xml:space="preserve">Ponad sto lat temu i w całej swojej twórczości John William Burgon wielokrotnie zwracał uwagę na</w:t>
      </w:r>
      <w:r>
        <w:t xml:space="preserve"> </w:t>
      </w:r>
      <w:r>
        <w:rPr>
          <w:iCs/>
          <w:i/>
        </w:rPr>
        <w:t xml:space="preserve">concordia discors</w:t>
      </w:r>
      <w:r>
        <w:t xml:space="preserve">, panujące zamieszanie i niezgodność, jakie wczesne uncjały (ℵABCD — każdy z nich osobiście skolacjonował) wykazują między sobą. Ewangelia Łukasza 11,2-4 dostarcza jednego przykładu.</w:t>
      </w:r>
    </w:p>
    <w:p>
      <w:pPr>
        <w:pStyle w:val="BlockText"/>
      </w:pPr>
      <w:r>
        <w:t xml:space="preserve">„Pięć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w:t>
      </w:r>
      <w:r>
        <w:rPr>
          <w:rStyle w:val="FootnoteReference"/>
        </w:rPr>
        <w:footnoteReference w:id="386"/>
      </w:r>
    </w:p>
    <w:bookmarkStart w:id="404" w:name="list-jakuba"/>
    <w:p>
      <w:pPr>
        <w:pStyle w:val="Heading3"/>
      </w:pPr>
      <w:r>
        <w:t xml:space="preserve">List Jakuba</w:t>
      </w:r>
    </w:p>
    <w:bookmarkStart w:id="388" w:name="concordia-discors"/>
    <w:p>
      <w:pPr>
        <w:pStyle w:val="Heading4"/>
      </w:pPr>
      <w:r>
        <w:rPr>
          <w:iCs/>
          <w:i/>
        </w:rPr>
        <w:t xml:space="preserve">Concordia discors</w:t>
      </w:r>
    </w:p>
    <w:p>
      <w:pPr>
        <w:pStyle w:val="FirstParagraph"/>
      </w:pPr>
      <w:r>
        <w:t xml:space="preserve">Cztery z tych uncjałów zachowały się w Liście Jakuba (ℵABC), do których dodaję P</w:t>
      </w:r>
      <w:r>
        <w:rPr>
          <w:vertAlign w:val="superscript"/>
        </w:rPr>
        <w:t xml:space="preserve">20,100</w:t>
      </w:r>
      <w:r>
        <w:t xml:space="preserve"> </w:t>
      </w:r>
      <w:r>
        <w:t xml:space="preserve">i 048,</w:t>
      </w:r>
      <w:r>
        <w:rPr>
          <w:rStyle w:val="FootnoteReference"/>
        </w:rPr>
        <w:footnoteReference w:id="387"/>
      </w:r>
      <w:r>
        <w:t xml:space="preserve"> </w:t>
      </w:r>
      <w:r>
        <w:t xml:space="preserve">a to, co Burgon nazywa ich „ekscentryczną skłonnością”, jest wyraźnie widoczne. Ich ekscentryczność, oglądana z perspektywy normalnego przekazu, wystarczy, by rozgrzać serce nawet najbardziej zatwardziałego ikonoklasty. Jednak właśnie ta ekscentryczność dowodzi ich niezależności, co będzie szczególnie istotne w dalszym ciągu. Przedstawiam w tabeli ich zachowanie w 120 istotnych zestawach wariantów (z wyłączeniem 5 z</w:t>
      </w:r>
      <w:r>
        <w:t xml:space="preserve"> </w:t>
      </w:r>
      <w:r>
        <w:rPr>
          <w:iCs/>
          <w:i/>
        </w:rPr>
        <w:t xml:space="preserve">rell</w:t>
      </w:r>
      <w:r>
        <w:t xml:space="preserve">) uwzględnionych w aparacie krytycznym mojego wydania greckiego Tekstu Listu Jakuba.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53</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20</w:t>
            </w:r>
          </w:p>
        </w:tc>
        <w:tc>
          <w:tcPr/>
          <w:p>
            <w:pPr>
              <w:pStyle w:val="Compact"/>
              <w:jc w:val="right"/>
            </w:pPr>
            <w:r>
              <w:t xml:space="preserve">1</w:t>
            </w:r>
          </w:p>
        </w:tc>
        <w:tc>
          <w:tcPr/>
          <w:p>
            <w:pPr>
              <w:pStyle w:val="Compact"/>
            </w:pPr>
          </w:p>
        </w:tc>
      </w:tr>
      <w:tr>
        <w:tc>
          <w:tcPr/>
          <w:p>
            <w:pPr>
              <w:pStyle w:val="Compact"/>
              <w:jc w:val="left"/>
            </w:pPr>
            <w:r>
              <w:t xml:space="preserve">z udziałem P</w:t>
            </w:r>
            <w:r>
              <w:rPr>
                <w:vertAlign w:val="superscript"/>
              </w:rPr>
              <w:t xml:space="preserve">100</w:t>
            </w:r>
          </w:p>
        </w:tc>
        <w:tc>
          <w:tcPr/>
          <w:p>
            <w:pPr>
              <w:pStyle w:val="Compact"/>
              <w:jc w:val="right"/>
            </w:pPr>
            <w:r>
              <w:t xml:space="preserve">7</w:t>
            </w:r>
          </w:p>
        </w:tc>
        <w:tc>
          <w:tcPr/>
          <w:p>
            <w:pPr>
              <w:pStyle w:val="Compact"/>
            </w:pP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37</w:t>
            </w:r>
          </w:p>
        </w:tc>
        <w:tc>
          <w:tcPr/>
          <w:p>
            <w:pPr>
              <w:pStyle w:val="Compact"/>
            </w:pPr>
          </w:p>
        </w:tc>
      </w:tr>
      <w:tr>
        <w:tc>
          <w:tcPr/>
          <w:p>
            <w:pPr>
              <w:pStyle w:val="Compact"/>
              <w:jc w:val="left"/>
            </w:pPr>
            <w:r>
              <w:t xml:space="preserve">z udziałem B</w:t>
            </w:r>
          </w:p>
        </w:tc>
        <w:tc>
          <w:tcPr/>
          <w:p>
            <w:pPr>
              <w:pStyle w:val="Compact"/>
              <w:jc w:val="right"/>
            </w:pPr>
            <w:r>
              <w:t xml:space="preserve">17</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1</w:t>
            </w:r>
          </w:p>
        </w:tc>
        <w:tc>
          <w:tcPr/>
          <w:p>
            <w:pPr>
              <w:pStyle w:val="Compact"/>
            </w:pPr>
          </w:p>
        </w:tc>
      </w:tr>
    </w:tbl>
    <w:p>
      <w:pPr>
        <w:pStyle w:val="BodyText"/>
      </w:pPr>
      <w:r>
        <w:t xml:space="preserve">W 114 istotnych zestawach wariantów (120 minus 6)</w:t>
      </w:r>
      <w:r>
        <w:t xml:space="preserve"> </w:t>
      </w:r>
      <w:r>
        <w:rPr>
          <w:bCs/>
          <w:b/>
        </w:rPr>
        <w:t xml:space="preserve">f</w:t>
      </w:r>
      <w:r>
        <w:rPr>
          <w:vertAlign w:val="superscript"/>
          <w:bCs/>
          <w:b/>
        </w:rPr>
        <w:t xml:space="preserve">35</w:t>
      </w:r>
      <w:r>
        <w:t xml:space="preserve"> </w:t>
      </w:r>
      <w:r>
        <w:t xml:space="preserve">ma jawne poświadczenie tych wczesnych uncjałów w 52%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388"/>
    <w:bookmarkStart w:id="403" w:name="odczyty-mniejszościowe-f35"/>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aparat mojego greckiego Tekstu Listu Jakuba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389" w:name="ανηλεος-213-20"/>
    <w:p>
      <w:pPr>
        <w:pStyle w:val="Heading5"/>
      </w:pPr>
      <w:r>
        <w:rPr>
          <w:iCs/>
          <w:i/>
        </w:rPr>
        <w:t xml:space="preserve">ανηλεος</w:t>
      </w:r>
      <w:r>
        <w:t xml:space="preserve"> </w:t>
      </w:r>
      <w:r>
        <w:t xml:space="preserve">2,13 (20%)</w:t>
      </w:r>
    </w:p>
    <w:p>
      <w:pPr>
        <w:pStyle w:val="FirstParagraph"/>
      </w:pPr>
      <w:r>
        <w:t xml:space="preserve">Jedyne manuskrypty</w:t>
      </w:r>
      <w:r>
        <w:t xml:space="preserve"> </w:t>
      </w:r>
      <w:r>
        <w:rPr>
          <w:bCs/>
          <w:b/>
        </w:rPr>
        <w:t xml:space="preserve">f</w:t>
      </w:r>
      <w:r>
        <w:rPr>
          <w:vertAlign w:val="superscript"/>
          <w:bCs/>
          <w:b/>
        </w:rPr>
        <w:t xml:space="preserve">35</w:t>
      </w:r>
      <w:r>
        <w:t xml:space="preserve"> </w:t>
      </w:r>
      <w:r>
        <w:t xml:space="preserve">uwzględnione w</w:t>
      </w:r>
      <w:r>
        <w:t xml:space="preserve"> </w:t>
      </w:r>
      <w:r>
        <w:rPr>
          <w:iCs/>
          <w:i/>
        </w:rPr>
        <w:t xml:space="preserve">ECM</w:t>
      </w:r>
      <w:r>
        <w:t xml:space="preserve">, 18 i 35, fałszywie przypisano do innego wariantu, tak że odczytu tego nawet nie wymieniono w</w:t>
      </w:r>
      <w:r>
        <w:t xml:space="preserve"> </w:t>
      </w:r>
      <w:r>
        <w:rPr>
          <w:iCs/>
          <w:i/>
        </w:rPr>
        <w:t xml:space="preserve">ECM</w:t>
      </w:r>
      <w:r>
        <w:t xml:space="preserve">, nie wymienił go też von Soden. Bez najmniejszej wątpliwości jest to odczyt</w:t>
      </w:r>
      <w:r>
        <w:t xml:space="preserve"> </w:t>
      </w:r>
      <w:r>
        <w:rPr>
          <w:bCs/>
          <w:b/>
        </w:rPr>
        <w:t xml:space="preserve">f</w:t>
      </w:r>
      <w:r>
        <w:rPr>
          <w:vertAlign w:val="superscript"/>
          <w:bCs/>
          <w:b/>
        </w:rPr>
        <w:t xml:space="preserve">35</w:t>
      </w:r>
      <w:r>
        <w:t xml:space="preserve">, lecz dopiero w miarę kolacjonowania kolejnych manuskryptów dowiemy się, czy przetrwał w innych liniach przekazu. Trudno uwierzyć, by ktoś wprowadził formę attycką w średniowieczu, dlatego</w:t>
      </w:r>
      <w:r>
        <w:t xml:space="preserve"> </w:t>
      </w:r>
      <w:r>
        <w:rPr>
          <w:bCs/>
          <w:b/>
        </w:rPr>
        <w:t xml:space="preserve">f</w:t>
      </w:r>
      <w:r>
        <w:rPr>
          <w:vertAlign w:val="superscript"/>
          <w:bCs/>
          <w:b/>
        </w:rPr>
        <w:t xml:space="preserve">35</w:t>
      </w:r>
      <w:r>
        <w:t xml:space="preserve"> </w:t>
      </w:r>
      <w:r>
        <w:t xml:space="preserve">jest wczesna, a moim zdaniem ten odczyt jest najprawdopodobniej oryginalny.</w:t>
      </w:r>
    </w:p>
    <w:bookmarkEnd w:id="389"/>
    <w:bookmarkStart w:id="391" w:name="ιθυνοντος-34-21"/>
    <w:p>
      <w:pPr>
        <w:pStyle w:val="Heading5"/>
      </w:pPr>
      <w:r>
        <w:rPr>
          <w:iCs/>
          <w:i/>
        </w:rPr>
        <w:t xml:space="preserve">ιθυνοντος</w:t>
      </w:r>
      <w:r>
        <w:t xml:space="preserve"> </w:t>
      </w:r>
      <w:r>
        <w:t xml:space="preserve">3,4 (21%)</w:t>
      </w:r>
    </w:p>
    <w:p>
      <w:pPr>
        <w:pStyle w:val="FirstParagraph"/>
      </w:pPr>
      <w:r>
        <w:t xml:space="preserve">Wszystkie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w:t>
      </w:r>
      <w:r>
        <w:rPr>
          <w:rStyle w:val="FootnoteReference"/>
        </w:rPr>
        <w:footnoteReference w:id="390"/>
      </w:r>
      <w:r>
        <w:t xml:space="preserve"> </w:t>
      </w:r>
      <w:r>
        <w:t xml:space="preserve">ma odrębny profil, niektóre radykalnie odrębny. Jednak trzy z nich (1270, 1297, 1598) są w oczywisty sposób spokrewnione i przypuszczalnie miały niezbyt odległego wspólnego przodka. Mamy zatem sześć niezależnych linii przekazu (poza</w:t>
      </w:r>
      <w:r>
        <w:t xml:space="preserve"> </w:t>
      </w:r>
      <w:r>
        <w:rPr>
          <w:bCs/>
          <w:b/>
        </w:rPr>
        <w:t xml:space="preserve">f</w:t>
      </w:r>
      <w:r>
        <w:rPr>
          <w:vertAlign w:val="superscript"/>
          <w:bCs/>
          <w:b/>
        </w:rPr>
        <w:t xml:space="preserve">35</w:t>
      </w:r>
      <w:r>
        <w:t xml:space="preserve">), które prawdopodobnie sięgają wczesnych wieków. Chwileczkę, rękopis kursywny 1595, choć dość odmienny od tych trzech, prawdopodobnie połączyłby się z nimi w V wieku, pozostaje więc pięć linii. Ponadto wraz ze wzrostem odległości w czasie coraz mniej prawdopodobne staje się wprowadzenie starożytnej klasycznej pisowni. Odczyt ten jest z pewnością starożytny, a moim zdaniem najprawdopodobniej oryginalny.</w:t>
      </w:r>
    </w:p>
    <w:bookmarkEnd w:id="391"/>
    <w:bookmarkStart w:id="394" w:name="δυναμενος-32-ℵ-23"/>
    <w:p>
      <w:pPr>
        <w:pStyle w:val="Heading5"/>
      </w:pPr>
      <w:r>
        <w:rPr>
          <w:iCs/>
          <w:i/>
        </w:rPr>
        <w:t xml:space="preserve">δυναμενος</w:t>
      </w:r>
      <w:r>
        <w:t xml:space="preserve"> </w:t>
      </w:r>
      <w:r>
        <w:t xml:space="preserve">3,2 ℵ (23%)</w:t>
      </w:r>
    </w:p>
    <w:p>
      <w:pPr>
        <w:pStyle w:val="FirstParagraph"/>
      </w:pPr>
      <w:r>
        <w:t xml:space="preserve">Ku mojemu zdziwieniu między ośmioma manuskryptami spoza</w:t>
      </w:r>
      <w:r>
        <w:t xml:space="preserve"> </w:t>
      </w:r>
      <w:r>
        <w:rPr>
          <w:bCs/>
          <w:b/>
        </w:rPr>
        <w:t xml:space="preserve">f</w:t>
      </w:r>
      <w:r>
        <w:rPr>
          <w:vertAlign w:val="superscript"/>
          <w:bCs/>
          <w:b/>
        </w:rPr>
        <w:t xml:space="preserve">35</w:t>
      </w:r>
      <w:r>
        <w:t xml:space="preserve">, które</w:t>
      </w:r>
      <w:r>
        <w:t xml:space="preserve"> </w:t>
      </w:r>
      <w:r>
        <w:rPr>
          <w:iCs/>
          <w:i/>
        </w:rPr>
        <w:t xml:space="preserve">ECM</w:t>
      </w:r>
      <w:r>
        <w:t xml:space="preserve"> </w:t>
      </w:r>
      <w:r>
        <w:t xml:space="preserve">wymienia dla ιθυνοντος, a 23 manuskryptami spoza</w:t>
      </w:r>
      <w:r>
        <w:t xml:space="preserve"> </w:t>
      </w:r>
      <w:r>
        <w:rPr>
          <w:bCs/>
          <w:b/>
        </w:rPr>
        <w:t xml:space="preserve">f</w:t>
      </w:r>
      <w:r>
        <w:rPr>
          <w:vertAlign w:val="superscript"/>
          <w:bCs/>
          <w:b/>
        </w:rPr>
        <w:t xml:space="preserve">35</w:t>
      </w:r>
      <w:r>
        <w:t xml:space="preserve"> </w:t>
      </w:r>
      <w:r>
        <w:t xml:space="preserve">wymienionymi dla δυναμενος nie ma</w:t>
      </w:r>
      <w:r>
        <w:t xml:space="preserve"> </w:t>
      </w:r>
      <w:r>
        <w:rPr>
          <w:u w:val="single"/>
          <w:bCs/>
          <w:b/>
        </w:rPr>
        <w:t xml:space="preserve">absolutnie żadnego</w:t>
      </w:r>
      <w:r>
        <w:t xml:space="preserve"> </w:t>
      </w:r>
      <w:r>
        <w:t xml:space="preserve">pokrywania się. Ku mojemu dalszemu zdziwieniu wśród tych 23 nie ma ani jednego manuskryptu bizantyjskiego.</w:t>
      </w:r>
      <w:r>
        <w:rPr>
          <w:rStyle w:val="FootnoteReference"/>
        </w:rPr>
        <w:footnoteReference w:id="392"/>
      </w:r>
      <w:r>
        <w:t xml:space="preserve"> </w:t>
      </w:r>
      <w:r>
        <w:rPr>
          <w:bCs/>
          <w:b/>
        </w:rPr>
        <w:t xml:space="preserve">f</w:t>
      </w:r>
      <w:r>
        <w:rPr>
          <w:vertAlign w:val="superscript"/>
          <w:bCs/>
          <w:b/>
        </w:rPr>
        <w:t xml:space="preserve">35</w:t>
      </w:r>
      <w:r>
        <w:t xml:space="preserve"> </w:t>
      </w:r>
      <w:r>
        <w:t xml:space="preserve">jest więc tutaj całkowicie niezależna od</w:t>
      </w:r>
      <w:r>
        <w:t xml:space="preserve"> </w:t>
      </w:r>
      <w:r>
        <w:rPr>
          <w:bCs/>
          <w:b/>
        </w:rPr>
        <w:t xml:space="preserve">K</w:t>
      </w:r>
      <w:r>
        <w:rPr>
          <w:vertAlign w:val="superscript"/>
          <w:bCs/>
          <w:b/>
        </w:rPr>
        <w:t xml:space="preserve">x</w:t>
      </w:r>
      <w:r>
        <w:t xml:space="preserve">, a mimo to dołącza do niej ℵ, wiemy zatem już, że odczyt jest wczesny. Przeanalizujmy jednak rękopisy kursywne.</w:t>
      </w:r>
    </w:p>
    <w:p>
      <w:pPr>
        <w:pStyle w:val="BodyText"/>
      </w:pPr>
      <w:r>
        <w:t xml:space="preserve">Ponieważ żadne dwa nie mają identycznego profilu, 23 są przypuszczalnie niezależne w swoim pokoleniu. Istnieje jednak kilka par mających przypuszczalnie niezbyt odległego wspólnego przodka — do tej kategorii zaliczam 206-429, 254-1524 i 630-2200. Pierwsze dwie pary są jednak same ze sobą spokrewnione i mają wspólnego praprzodka. Do przodka 630-2200 dołącza 2138, a do ich praprzodka 2495. Manuskrypty 621 i 2412 spotykają się kilka pokoleń wcześniej. Wyobrażam sobie zatem, że w V wieku mamy szesnaście niezależnych linii przekazu (poza</w:t>
      </w:r>
      <w:r>
        <w:t xml:space="preserve"> </w:t>
      </w:r>
      <w:r>
        <w:rPr>
          <w:bCs/>
          <w:b/>
        </w:rPr>
        <w:t xml:space="preserve">f</w:t>
      </w:r>
      <w:r>
        <w:rPr>
          <w:vertAlign w:val="superscript"/>
          <w:bCs/>
          <w:b/>
        </w:rPr>
        <w:t xml:space="preserve">35</w:t>
      </w:r>
      <w:r>
        <w:t xml:space="preserve">). Gdy cofniemy się do III wieku, nadal powinniśmy mieć co najmniej sześć niezależnych linii ręczących za δυναμενος (podobnie jak za ιθυνοντος), lecz w każdym przypadku są to</w:t>
      </w:r>
      <w:r>
        <w:t xml:space="preserve"> </w:t>
      </w:r>
      <w:r>
        <w:rPr>
          <w:bCs/>
          <w:b/>
        </w:rPr>
        <w:t xml:space="preserve">całkowicie odmienne</w:t>
      </w:r>
      <w:r>
        <w:t xml:space="preserve"> </w:t>
      </w:r>
      <w:r>
        <w:t xml:space="preserve">linie!!! Oznacza to, że</w:t>
      </w:r>
      <w:r>
        <w:t xml:space="preserve"> </w:t>
      </w:r>
      <w:r>
        <w:rPr>
          <w:bCs/>
          <w:b/>
        </w:rPr>
        <w:t xml:space="preserve">f</w:t>
      </w:r>
      <w:r>
        <w:rPr>
          <w:vertAlign w:val="superscript"/>
          <w:bCs/>
          <w:b/>
        </w:rPr>
        <w:t xml:space="preserve">35</w:t>
      </w:r>
      <w:r>
        <w:t xml:space="preserve"> </w:t>
      </w:r>
      <w:r>
        <w:t xml:space="preserve">jest niezależna od wszystkich jedenastu linii (z pewnością — przy ιθυνοντος</w:t>
      </w:r>
      <w:r>
        <w:t xml:space="preserve"> </w:t>
      </w:r>
      <w:r>
        <w:rPr>
          <w:bCs/>
          <w:b/>
        </w:rPr>
        <w:t xml:space="preserve">f</w:t>
      </w:r>
      <w:r>
        <w:rPr>
          <w:vertAlign w:val="superscript"/>
          <w:bCs/>
          <w:b/>
        </w:rPr>
        <w:t xml:space="preserve">35</w:t>
      </w:r>
      <w:r>
        <w:t xml:space="preserve"> </w:t>
      </w:r>
      <w:r>
        <w:t xml:space="preserve">jest niezależna od sześciu wspierających δυναμενος, a przy δυναμενος jest niezależna od pięciu wspierających ιθυνοντος, jest zatem niezależna od wszystkich jedenastu).</w:t>
      </w:r>
    </w:p>
    <w:p>
      <w:pPr>
        <w:pStyle w:val="BodyText"/>
      </w:pPr>
      <w:r>
        <w:t xml:space="preserve">Odczyt ten jest z pewnością starożytny, niczego w ogóle nie zawdzięcza</w:t>
      </w:r>
      <w:r>
        <w:t xml:space="preserve"> </w:t>
      </w:r>
      <w:r>
        <w:rPr>
          <w:bCs/>
          <w:b/>
        </w:rPr>
        <w:t xml:space="preserve">K</w:t>
      </w:r>
      <w:r>
        <w:rPr>
          <w:vertAlign w:val="superscript"/>
          <w:bCs/>
          <w:b/>
        </w:rPr>
        <w:t xml:space="preserve">x</w:t>
      </w:r>
      <w:r>
        <w:t xml:space="preserve"> </w:t>
      </w:r>
      <w:r>
        <w:t xml:space="preserve">(masie bizantyjskiej), a moim zdaniem jest najprawdopodobniej oryginalny.</w:t>
      </w:r>
      <w:r>
        <w:rPr>
          <w:rStyle w:val="FootnoteReference"/>
        </w:rPr>
        <w:footnoteReference w:id="393"/>
      </w:r>
    </w:p>
    <w:bookmarkEnd w:id="394"/>
    <w:bookmarkStart w:id="395" w:name="ημων-414-26"/>
    <w:p>
      <w:pPr>
        <w:pStyle w:val="Heading5"/>
      </w:pPr>
      <w:r>
        <w:rPr>
          <w:iCs/>
          <w:i/>
        </w:rPr>
        <w:t xml:space="preserve">ημων</w:t>
      </w:r>
      <w:r>
        <w:t xml:space="preserve"> </w:t>
      </w:r>
      <w:r>
        <w:t xml:space="preserve">4,14 (26%)</w:t>
      </w:r>
    </w:p>
    <w:p>
      <w:pPr>
        <w:pStyle w:val="FirstParagraph"/>
      </w:pPr>
      <w:r>
        <w:t xml:space="preserve">Wariant ten dzieli 206-429, 254-1524 i 630-2200 z δυναμενος, a reprezentują one tylko dwie linie przekazu, dzieli także niezależne 1490 i 1831. Pozostaje 10 dalszych manuskryptów spoza</w:t>
      </w:r>
      <w:r>
        <w:t xml:space="preserve"> </w:t>
      </w:r>
      <w:r>
        <w:rPr>
          <w:bCs/>
          <w:b/>
        </w:rPr>
        <w:t xml:space="preserve">f</w:t>
      </w:r>
      <w:r>
        <w:rPr>
          <w:vertAlign w:val="superscript"/>
          <w:bCs/>
          <w:b/>
        </w:rPr>
        <w:t xml:space="preserve">35</w:t>
      </w:r>
      <w:r>
        <w:t xml:space="preserve"> </w:t>
      </w:r>
      <w:r>
        <w:t xml:space="preserve">wymienionych dla tego wariantu, z których sześć jest bizantyjskich (lecz wszystkie są dość odmienne). Spośród tych dziesięciu tylko dwa połączyłyby się przed V wiekiem, co pozostawia nam, jak sobie wyobrażam, trzynaście niezależnych linii przekazu (poza</w:t>
      </w:r>
      <w:r>
        <w:t xml:space="preserve"> </w:t>
      </w:r>
      <w:r>
        <w:rPr>
          <w:bCs/>
          <w:b/>
        </w:rPr>
        <w:t xml:space="preserve">f</w:t>
      </w:r>
      <w:r>
        <w:rPr>
          <w:vertAlign w:val="superscript"/>
          <w:bCs/>
          <w:b/>
        </w:rPr>
        <w:t xml:space="preserve">35</w:t>
      </w:r>
      <w:r>
        <w:t xml:space="preserve">) sięgających V wieku. Gdy cofniemy się do III wieku, nadal powinniśmy mieć co najmniej sześć niezależnych linii przekazu dla ημων. Sześć manuskryptów bizantyjskich w oczywisty sposób nie reprezentuje</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5"/>
    <w:bookmarkStart w:id="396" w:name="γαρ-411-26"/>
    <w:p>
      <w:pPr>
        <w:pStyle w:val="Heading5"/>
      </w:pPr>
      <w:r>
        <w:rPr>
          <w:iCs/>
          <w:i/>
        </w:rPr>
        <w:t xml:space="preserve">γαρ</w:t>
      </w:r>
      <w:r>
        <w:t xml:space="preserve"> </w:t>
      </w:r>
      <w:r>
        <w:t xml:space="preserve">4,11 (26%)</w:t>
      </w:r>
    </w:p>
    <w:p>
      <w:pPr>
        <w:pStyle w:val="FirstParagraph"/>
      </w:pPr>
      <w:r>
        <w:t xml:space="preserve">Wykaz manuskryptów jest tutaj podobny do wykazu dla δυναμενος, dzieli z nim 13 spośród 16 niezależnych linii i zyskuje siedem nowych (jedna jest wspólna z ιθυνοντος), co daje 20 (poza</w:t>
      </w:r>
      <w:r>
        <w:t xml:space="preserve"> </w:t>
      </w:r>
      <w:r>
        <w:rPr>
          <w:bCs/>
          <w:b/>
        </w:rPr>
        <w:t xml:space="preserve">f</w:t>
      </w:r>
      <w:r>
        <w:rPr>
          <w:vertAlign w:val="superscript"/>
          <w:bCs/>
          <w:b/>
        </w:rPr>
        <w:t xml:space="preserve">35</w:t>
      </w:r>
      <w:r>
        <w:t xml:space="preserve">). Odczyt ten jest więc również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6"/>
    <w:bookmarkStart w:id="397" w:name="ου-24-ℵ-ac-268"/>
    <w:p>
      <w:pPr>
        <w:pStyle w:val="Heading5"/>
      </w:pPr>
      <w:r>
        <w:rPr>
          <w:iCs/>
          <w:i/>
        </w:rPr>
        <w:t xml:space="preserve">ου</w:t>
      </w:r>
      <w:r>
        <w:t xml:space="preserve"> </w:t>
      </w:r>
      <w:r>
        <w:t xml:space="preserve">2,4 ℵ A,C (26,8%)</w:t>
      </w:r>
    </w:p>
    <w:p>
      <w:pPr>
        <w:pStyle w:val="FirstParagraph"/>
      </w:pPr>
      <w:r>
        <w:t xml:space="preserve">Ponieważ odczyt ten jest również wspierany przez ℵ A,C, nie ma wątpliwości co do jego wieku. Wykaz manuskryptów odtwarza tutaj wszystkie poza siedmioma manuskryptami z wykazu dla γαρ, lecz zawiera około dwudziestu dalszych manuskryptów. Ponieważ jest to jeden z zestawów uwzględnionych w</w:t>
      </w:r>
      <w:r>
        <w:t xml:space="preserve"> </w:t>
      </w:r>
      <w:r>
        <w:rPr>
          <w:iCs/>
          <w:i/>
        </w:rPr>
        <w:t xml:space="preserve">TuT</w:t>
      </w:r>
      <w:r>
        <w:t xml:space="preserve">, odsetek jest dokładny.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7"/>
    <w:bookmarkStart w:id="398" w:name="επειτα-414-295"/>
    <w:p>
      <w:pPr>
        <w:pStyle w:val="Heading5"/>
      </w:pPr>
      <w:r>
        <w:rPr>
          <w:iCs/>
          <w:i/>
        </w:rPr>
        <w:t xml:space="preserve">επειτα</w:t>
      </w:r>
      <w:r>
        <w:t xml:space="preserve"> </w:t>
      </w:r>
      <w:r>
        <w:t xml:space="preserve">4,14 (29,5%)</w:t>
      </w:r>
    </w:p>
    <w:p>
      <w:pPr>
        <w:pStyle w:val="FirstParagraph"/>
      </w:pPr>
      <w:r>
        <w:t xml:space="preserve">Wykaz manuskryptów jest tutaj dość podobny do wykazu dla γαρ, lecz jest ich mniej. Mimo to istnieje około 15 niezależnych linii przekazu.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8"/>
    <w:bookmarkStart w:id="399" w:name="νομου-123-30"/>
    <w:p>
      <w:pPr>
        <w:pStyle w:val="Heading5"/>
      </w:pPr>
      <w:r>
        <w:rPr>
          <w:iCs/>
          <w:i/>
        </w:rPr>
        <w:t xml:space="preserve">νομου</w:t>
      </w:r>
      <w:r>
        <w:t xml:space="preserve"> </w:t>
      </w:r>
      <w:r>
        <w:t xml:space="preserve">1,23 (30%)</w:t>
      </w:r>
    </w:p>
    <w:p>
      <w:pPr>
        <w:pStyle w:val="FirstParagraph"/>
      </w:pPr>
      <w:r>
        <w:t xml:space="preserve">Wykaz jest tutaj nieco inny. Jedna niezależna linia jest wspólna z ιθυνοντος, trzy z δυναμενος, dwie z ημων i dwie z γαρ, co daje już osiem niezależnych linii. Dochodzi tu jednak sześć nowych linii niezależnego przekazu, których nie ma żaden z pozostałych odczytów. Jak sobie zatem wyobrażam, w V wieku mamy 14 niezależnych linii (poza</w:t>
      </w:r>
      <w:r>
        <w:t xml:space="preserve"> </w:t>
      </w:r>
      <w:r>
        <w:rPr>
          <w:bCs/>
          <w:b/>
        </w:rPr>
        <w:t xml:space="preserve">f</w:t>
      </w:r>
      <w:r>
        <w:rPr>
          <w:vertAlign w:val="superscript"/>
          <w:bCs/>
          <w:b/>
        </w:rPr>
        <w:t xml:space="preserve">35</w:t>
      </w:r>
      <w:r>
        <w:t xml:space="preserve">). Gdy cofniemy się do III wieku, ponownie nadal powinniśmy mieć co najmniej sześć niezależnych linii przekazu dla νομου, niekoniecznie doskonale pokrywających się z którąkolwiek z pozostałych grup. Istnieje kilka manuskryptów bizantyjskich, które w oczywisty sposób nie reprezentują</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9"/>
    <w:bookmarkStart w:id="400" w:name="λαμπραν-εσθητα-23-30"/>
    <w:p>
      <w:pPr>
        <w:pStyle w:val="Heading5"/>
      </w:pPr>
      <w:r>
        <w:rPr>
          <w:iCs/>
          <w:i/>
        </w:rPr>
        <w:t xml:space="preserve">λαμπραν εσθητα</w:t>
      </w:r>
      <w:r>
        <w:t xml:space="preserve"> </w:t>
      </w:r>
      <w:r>
        <w:t xml:space="preserve">2,3 (30%)</w:t>
      </w:r>
    </w:p>
    <w:p>
      <w:pPr>
        <w:pStyle w:val="FirstParagraph"/>
      </w:pPr>
      <w:r>
        <w:t xml:space="preserve">Wykaz manuskryptów jest tutaj dość podobny do wykazu dla γαρ itd., dzieli jedną linię z ιθυνοντος, której nie ma żaden z pozostałych odczytów. Dodaje trzy nowe niezależne linie, dowody są tu zatem bardzo podobne do pozostałych.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p>
      <w:pPr>
        <w:pStyle w:val="BodyText"/>
      </w:pPr>
      <w:r>
        <w:t xml:space="preserve">Oczywiście obraz, który dotąd widzieliśmy, będzie prawdziwy dla wszystkich innych odczytów mniejszościowych, gdy przejdziemy do 35%, 40% itd.</w:t>
      </w:r>
    </w:p>
    <w:bookmarkEnd w:id="400"/>
    <w:bookmarkStart w:id="402" w:name="wniosek-2"/>
    <w:p>
      <w:pPr>
        <w:pStyle w:val="Heading5"/>
      </w:pPr>
      <w:r>
        <w:rPr>
          <w:iCs/>
          <w:i/>
        </w:rPr>
        <w:t xml:space="preserve">Wniosek</w:t>
      </w:r>
    </w:p>
    <w:p>
      <w:pPr>
        <w:pStyle w:val="FirstParagraph"/>
      </w:pPr>
      <w:r>
        <w:rPr>
          <w:bCs/>
          <w:b/>
        </w:rPr>
        <w:t xml:space="preserve">f</w:t>
      </w:r>
      <w:r>
        <w:rPr>
          <w:vertAlign w:val="superscript"/>
          <w:bCs/>
          <w:b/>
        </w:rPr>
        <w:t xml:space="preserve">35</w:t>
      </w:r>
      <w:r>
        <w:t xml:space="preserve"> </w:t>
      </w:r>
      <w:r>
        <w:t xml:space="preserve">jest starożytna i niczego nie zawdzięcza</w:t>
      </w:r>
      <w:r>
        <w:t xml:space="preserve"> </w:t>
      </w:r>
      <w:r>
        <w:rPr>
          <w:bCs/>
          <w:b/>
        </w:rPr>
        <w:t xml:space="preserve">K</w:t>
      </w:r>
      <w:r>
        <w:rPr>
          <w:vertAlign w:val="superscript"/>
          <w:bCs/>
          <w:b/>
        </w:rPr>
        <w:t xml:space="preserve">x</w:t>
      </w:r>
      <w:r>
        <w:t xml:space="preserve">. Q.E.D. Cóż, oczywiście niezupełnie. Nie żyłem w V ani w III wieku, nie mogę więc dowieść, że przedstawiony przeze mnie obraz czasowy jest poprawny. Jednak po dodaniu dowodów przedstawionych tutaj do tych przedstawionych w części „Kiedy mamy do czynienia z «recenzją»?” z czystym sumieniem twierdzę, że większość wspomnianych niezależnych linii — ιθυνοντος 5, δυναμενος 16, ημων 9, γαρ 6, νομου 6, λαμπραν εσθητα 3, co równa się</w:t>
      </w:r>
      <w:r>
        <w:t xml:space="preserve"> </w:t>
      </w:r>
      <w:r>
        <w:rPr>
          <w:u w:val="single"/>
          <w:bCs/>
          <w:b/>
        </w:rPr>
        <w:t xml:space="preserve">45</w:t>
      </w:r>
      <w:r>
        <w:t xml:space="preserve"> </w:t>
      </w:r>
      <w:r>
        <w:t xml:space="preserve">— prawdopodobnie sięga co najmniej V wieku. Jest wysoce nieprawdopodobne, by w III wieku 45 linii zredukowało się do mniej niż 15. (A wszystkie te 15 wspierają</w:t>
      </w:r>
      <w:r>
        <w:t xml:space="preserve"> </w:t>
      </w:r>
      <w:r>
        <w:rPr>
          <w:bCs/>
          <w:b/>
        </w:rPr>
        <w:t xml:space="preserve">f</w:t>
      </w:r>
      <w:r>
        <w:rPr>
          <w:vertAlign w:val="superscript"/>
          <w:bCs/>
          <w:b/>
        </w:rPr>
        <w:t xml:space="preserve">35</w:t>
      </w:r>
      <w:r>
        <w:t xml:space="preserve"> </w:t>
      </w:r>
      <w:r>
        <w:t xml:space="preserve">przeciwko</w:t>
      </w:r>
      <w:r>
        <w:t xml:space="preserve"> </w:t>
      </w:r>
      <w:r>
        <w:rPr>
          <w:bCs/>
          <w:b/>
        </w:rPr>
        <w:t xml:space="preserve">K</w:t>
      </w:r>
      <w:r>
        <w:rPr>
          <w:vertAlign w:val="superscript"/>
          <w:bCs/>
          <w:b/>
        </w:rPr>
        <w:t xml:space="preserve">x</w:t>
      </w:r>
      <w:r>
        <w:t xml:space="preserve">, w takim czy innym miejscu — na tej samej zasadzie w innych miejscach idą z</w:t>
      </w:r>
      <w:r>
        <w:t xml:space="preserve"> </w:t>
      </w:r>
      <w:r>
        <w:rPr>
          <w:bCs/>
          <w:b/>
        </w:rPr>
        <w:t xml:space="preserve">K</w:t>
      </w:r>
      <w:r>
        <w:rPr>
          <w:vertAlign w:val="superscript"/>
          <w:bCs/>
          <w:b/>
        </w:rPr>
        <w:t xml:space="preserve">x</w:t>
      </w:r>
      <w:r>
        <w:t xml:space="preserve"> </w:t>
      </w:r>
      <w:r>
        <w:t xml:space="preserve">przeciwko</w:t>
      </w:r>
      <w:r>
        <w:t xml:space="preserve"> </w:t>
      </w:r>
      <w:r>
        <w:rPr>
          <w:bCs/>
          <w:b/>
        </w:rPr>
        <w:t xml:space="preserve">f</w:t>
      </w:r>
      <w:r>
        <w:rPr>
          <w:vertAlign w:val="superscript"/>
          <w:bCs/>
          <w:b/>
        </w:rPr>
        <w:t xml:space="preserve">35</w:t>
      </w:r>
      <w:r>
        <w:t xml:space="preserve">, zatem</w:t>
      </w:r>
      <w:r>
        <w:t xml:space="preserve"> </w:t>
      </w:r>
      <w:r>
        <w:rPr>
          <w:bCs/>
          <w:b/>
        </w:rPr>
        <w:t xml:space="preserve">K</w:t>
      </w:r>
      <w:r>
        <w:rPr>
          <w:vertAlign w:val="superscript"/>
          <w:bCs/>
          <w:b/>
        </w:rPr>
        <w:t xml:space="preserve">x</w:t>
      </w:r>
      <w:r>
        <w:t xml:space="preserve"> </w:t>
      </w:r>
      <w:r>
        <w:t xml:space="preserve">również jest starożytna). Zwracam uwagę na słowa Kilpatricka.</w:t>
      </w:r>
    </w:p>
    <w:p>
      <w:pPr>
        <w:pStyle w:val="BlockText"/>
      </w:pPr>
      <w:r>
        <w:t xml:space="preserve">Postępowanie Orygenesa z Ewangelią Mateusza 19,19 ma znaczenie także z dwóch innych względów. Po pierwsze, był on prawdopodobnie najbardziej wpływowym komentatorem starożytnego Kościoła, a mimo to jego koniektura w tym miejscu najwyraźniej wpłynęła tylko na jeden manuskrypt lokalnego przekładu Nowego Testamentu. Wydaje się, że nie miała żadnego wpływu na tradycję grecką. Od III wieku nawet Orygenes nie mógł skutecznie zmienić tekstu.</w:t>
      </w:r>
    </w:p>
    <w:p>
      <w:pPr>
        <w:pStyle w:val="BlockText"/>
      </w:pPr>
      <w:r>
        <w:t xml:space="preserve">To prowadzi nas do drugiego znaczącego punktu — jego daty. Od początku III wieku nie można już było korzystać ze swobody zmieniania tekstu, która istniała wcześniej. Tacjan jest ostatnim autorem, o którym mamy wyraźną informację, że dokonywał celowych zmian w tekście. Między Tacjanem a Orygenesem opinia chrześcijańska zmieniła się tak bardzo, że dokonywanie zmian w tekście, niezależnie od tego, czy były nieszkodliwe, czy nie, nie było już możliwe.</w:t>
      </w:r>
      <w:r>
        <w:rPr>
          <w:rStyle w:val="FootnoteReference"/>
        </w:rPr>
        <w:footnoteReference w:id="401"/>
      </w:r>
    </w:p>
    <w:p>
      <w:pPr>
        <w:pStyle w:val="FirstParagraph"/>
      </w:pPr>
      <w:r>
        <w:t xml:space="preserve">Wydaje mi się, że uwaga Kilpatricka jest oczywista. Najwyraźniej zdarzały się sporadyczne wyjątki, zwłaszcza na odległych obszarach, takich jak Egipt, gdzie nie mówiono już po grecku. Po kampanii Dioklecjana (303) większość mnichów po prostu kopiowała to, co miała przed sobą. Większość z 45 wspomnianych wyżej linii przekazu prawdopodobnie istniała już w roku 300).</w:t>
      </w:r>
    </w:p>
    <w:bookmarkEnd w:id="402"/>
    <w:bookmarkEnd w:id="403"/>
    <w:bookmarkEnd w:id="404"/>
    <w:bookmarkStart w:id="418" w:name="list-piotra"/>
    <w:p>
      <w:pPr>
        <w:pStyle w:val="Heading3"/>
      </w:pPr>
      <w:r>
        <w:t xml:space="preserve">1 List Piotra</w:t>
      </w:r>
    </w:p>
    <w:p>
      <w:pPr>
        <w:pStyle w:val="FirstParagraph"/>
      </w:pPr>
      <w:r>
        <w:t xml:space="preserve">Podobnie jak w przypadku Listu Jakuba,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05" w:name="concordia-discors-1"/>
    <w:p>
      <w:pPr>
        <w:pStyle w:val="Heading4"/>
      </w:pPr>
      <w:r>
        <w:rPr>
          <w:iCs/>
          <w:i/>
        </w:rPr>
        <w:t xml:space="preserve">Concordia discors</w:t>
      </w:r>
    </w:p>
    <w:p>
      <w:pPr>
        <w:pStyle w:val="FirstParagraph"/>
      </w:pPr>
      <w:r>
        <w:t xml:space="preserve">Cztery z tych uncjałów zachowały się w 1 Liście Piotra (ℵABC), do których dodaję P</w:t>
      </w:r>
      <w:r>
        <w:rPr>
          <w:vertAlign w:val="superscript"/>
        </w:rPr>
        <w:t xml:space="preserve">72</w:t>
      </w:r>
      <w:r>
        <w:t xml:space="preserve"> </w:t>
      </w:r>
      <w:r>
        <w:t xml:space="preserve">(niezachowany jeszcze w czasach Burgona), a to, co Burgon nazywa ich „ekscentryczną skłonnością”, jest wyraźnie widoczne. Ekscentryczność ta dowodzi ich niezależności, co będzie szczególnie istotne w dalszym ciągu. Przedstawiam w tabeli ich zachowanie w 141 istotnych zestawach wariantów (pomijając 13 z</w:t>
      </w:r>
      <w:r>
        <w:t xml:space="preserve"> </w:t>
      </w:r>
      <w:r>
        <w:rPr>
          <w:iCs/>
          <w:i/>
        </w:rPr>
        <w:t xml:space="preserve">rell</w:t>
      </w:r>
      <w:r>
        <w:t xml:space="preserve">) uwzględnionych w aparacie krytycznym mojego wydania greckiego Tekstu 1 Listu Piotra.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46</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13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32</w:t>
            </w:r>
          </w:p>
        </w:tc>
        <w:tc>
          <w:tcPr/>
          <w:p>
            <w:pPr>
              <w:pStyle w:val="Compact"/>
            </w:pPr>
          </w:p>
        </w:tc>
      </w:tr>
      <w:tr>
        <w:tc>
          <w:tcPr/>
          <w:p>
            <w:pPr>
              <w:pStyle w:val="Compact"/>
              <w:jc w:val="left"/>
            </w:pPr>
            <w:r>
              <w:t xml:space="preserve">z udziałem ℵ</w:t>
            </w:r>
          </w:p>
        </w:tc>
        <w:tc>
          <w:tcPr/>
          <w:p>
            <w:pPr>
              <w:pStyle w:val="Compact"/>
              <w:jc w:val="right"/>
            </w:pPr>
            <w:r>
              <w:t xml:space="preserve">37</w:t>
            </w:r>
          </w:p>
        </w:tc>
        <w:tc>
          <w:tcPr/>
          <w:p>
            <w:pPr>
              <w:pStyle w:val="Compact"/>
            </w:pPr>
          </w:p>
        </w:tc>
      </w:tr>
      <w:tr>
        <w:tc>
          <w:tcPr/>
          <w:p>
            <w:pPr>
              <w:pStyle w:val="Compact"/>
              <w:jc w:val="left"/>
            </w:pPr>
            <w:r>
              <w:t xml:space="preserve">z udziałem A</w:t>
            </w:r>
          </w:p>
        </w:tc>
        <w:tc>
          <w:tcPr/>
          <w:p>
            <w:pPr>
              <w:pStyle w:val="Compact"/>
              <w:jc w:val="right"/>
            </w:pPr>
            <w:r>
              <w:t xml:space="preserve">42</w:t>
            </w:r>
          </w:p>
        </w:tc>
        <w:tc>
          <w:tcPr/>
          <w:p>
            <w:pPr>
              <w:pStyle w:val="Compact"/>
            </w:pPr>
          </w:p>
        </w:tc>
      </w:tr>
      <w:tr>
        <w:tc>
          <w:tcPr/>
          <w:p>
            <w:pPr>
              <w:pStyle w:val="Compact"/>
              <w:jc w:val="left"/>
            </w:pPr>
            <w:r>
              <w:t xml:space="preserve">z udziałem B</w:t>
            </w:r>
          </w:p>
        </w:tc>
        <w:tc>
          <w:tcPr/>
          <w:p>
            <w:pPr>
              <w:pStyle w:val="Compact"/>
              <w:jc w:val="right"/>
            </w:pPr>
            <w:r>
              <w:t xml:space="preserve">25</w:t>
            </w:r>
          </w:p>
        </w:tc>
        <w:tc>
          <w:tcPr/>
          <w:p>
            <w:pPr>
              <w:pStyle w:val="Compact"/>
            </w:pPr>
          </w:p>
        </w:tc>
      </w:tr>
      <w:tr>
        <w:tc>
          <w:tcPr/>
          <w:p>
            <w:pPr>
              <w:pStyle w:val="Compact"/>
              <w:jc w:val="left"/>
            </w:pPr>
            <w:r>
              <w:t xml:space="preserve">z udziałem C</w:t>
            </w:r>
          </w:p>
        </w:tc>
        <w:tc>
          <w:tcPr/>
          <w:p>
            <w:pPr>
              <w:pStyle w:val="Compact"/>
              <w:jc w:val="right"/>
            </w:pPr>
            <w:r>
              <w:t xml:space="preserve">34</w:t>
            </w:r>
          </w:p>
        </w:tc>
        <w:tc>
          <w:tcPr/>
          <w:p>
            <w:pPr>
              <w:pStyle w:val="Compact"/>
              <w:jc w:val="left"/>
            </w:pPr>
            <w:r>
              <w:t xml:space="preserve">(Brakuje C od 4,6 do końca, gdyby się zachował, kilka powyższych liczb uległoby zmianie).</w:t>
            </w:r>
          </w:p>
        </w:tc>
      </w:tr>
    </w:tbl>
    <w:p>
      <w:pPr>
        <w:pStyle w:val="BodyText"/>
      </w:pPr>
      <w:r>
        <w:t xml:space="preserve">W 128 pozostałych zestawach wariantów (141 minus 13)</w:t>
      </w:r>
      <w:r>
        <w:t xml:space="preserve"> </w:t>
      </w:r>
      <w:r>
        <w:rPr>
          <w:bCs/>
          <w:b/>
        </w:rPr>
        <w:t xml:space="preserve">f</w:t>
      </w:r>
      <w:r>
        <w:rPr>
          <w:vertAlign w:val="superscript"/>
          <w:bCs/>
          <w:b/>
        </w:rPr>
        <w:t xml:space="preserve">35</w:t>
      </w:r>
      <w:r>
        <w:t xml:space="preserve"> </w:t>
      </w:r>
      <w:r>
        <w:t xml:space="preserve">ma jawne poświadczenie tych wczesnych uncjałów w 64%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05"/>
    <w:bookmarkStart w:id="417" w:name="odczyty-mniejszościowe-f35-1"/>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407" w:name="τη-αγαθη-εν-χριστω-αναστροφη-316-20"/>
    <w:p>
      <w:pPr>
        <w:pStyle w:val="Heading5"/>
      </w:pPr>
      <w:r>
        <w:rPr>
          <w:iCs/>
          <w:i/>
        </w:rPr>
        <w:t xml:space="preserve">τη αγαθη εν Χριστω αναστροφη</w:t>
      </w:r>
      <w:r>
        <w:t xml:space="preserve"> </w:t>
      </w:r>
      <w:r>
        <w:t xml:space="preserve">3,16 (20%)</w:t>
      </w:r>
    </w:p>
    <w:p>
      <w:pPr>
        <w:pStyle w:val="FirstParagraph"/>
      </w:pPr>
      <w:r>
        <w:rPr>
          <w:iCs/>
          <w:i/>
        </w:rPr>
        <w:t xml:space="preserve">ECM</w:t>
      </w:r>
      <w:r>
        <w:t xml:space="preserve"> </w:t>
      </w:r>
      <w:r>
        <w:t xml:space="preserve">wymienia dla celownika jedynie rękopisy kursywne 18 i 35. Ku mojemu rozczarowaniu von Soden go nie wspomina, czyni to jednak Tischendorf, przytaczając swoje rękopisy kursywne 38 i 93 (Gregory 328 i 205), co potwierdza, że celownik jest odczytem</w:t>
      </w:r>
      <w:r>
        <w:t xml:space="preserve"> </w:t>
      </w:r>
      <w:r>
        <w:rPr>
          <w:bCs/>
          <w:b/>
        </w:rPr>
        <w:t xml:space="preserve">f</w:t>
      </w:r>
      <w:r>
        <w:rPr>
          <w:vertAlign w:val="superscript"/>
          <w:bCs/>
          <w:b/>
        </w:rPr>
        <w:t xml:space="preserve">35</w:t>
      </w:r>
      <w:r>
        <w:t xml:space="preserve">. Tischendorf przytacza dla celownika również swój 137 (Gregory 614), który ma „niezależny” profil. Wiemy zatem, że celownik nie przetrwał wyłącznie w</w:t>
      </w:r>
      <w:r>
        <w:t xml:space="preserve"> </w:t>
      </w:r>
      <w:r>
        <w:rPr>
          <w:bCs/>
          <w:b/>
        </w:rPr>
        <w:t xml:space="preserve">f</w:t>
      </w:r>
      <w:r>
        <w:rPr>
          <w:vertAlign w:val="superscript"/>
          <w:bCs/>
          <w:b/>
        </w:rPr>
        <w:t xml:space="preserve">35</w:t>
      </w:r>
      <w:r>
        <w:t xml:space="preserve">. Celownik jest poprawny jako dopełnienie επηρεαζω, lecz kopiści nieznający tej osobliwości w naturalny sposób „poprawiliby” go na biernik.</w:t>
      </w:r>
      <w:r>
        <w:t xml:space="preserve"> </w:t>
      </w:r>
      <w:r>
        <w:rPr>
          <w:iCs/>
          <w:i/>
        </w:rPr>
        <w:t xml:space="preserve">ECM</w:t>
      </w:r>
      <w:r>
        <w:t xml:space="preserve"> </w:t>
      </w:r>
      <w:r>
        <w:t xml:space="preserve">wymienia 15 wariantów sześciowyrazowego wyrażenia. Jednym z moich założeń wstępnych jest to, że księgi Nowego Testamentu zostały natchnione przez Ducha Świętego, zakładam więc, że wiedział On, jak pisać poprawną greką koine.</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w:t>
      </w:r>
      <w:r>
        <w:rPr>
          <w:rStyle w:val="FootnoteReference"/>
        </w:rPr>
        <w:footnoteReference w:id="406"/>
      </w:r>
      <w:r>
        <w:t xml:space="preserve"> </w:t>
      </w:r>
      <w:r>
        <w:t xml:space="preserve">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07"/>
    <w:bookmarkStart w:id="408" w:name="δοξαζηται-θεος-411-20"/>
    <w:p>
      <w:pPr>
        <w:pStyle w:val="Heading5"/>
      </w:pPr>
      <w:r>
        <w:rPr>
          <w:iCs/>
          <w:i/>
        </w:rPr>
        <w:t xml:space="preserve">δοξαζηται Θεος</w:t>
      </w:r>
      <w:r>
        <w:t xml:space="preserve"> </w:t>
      </w:r>
      <w:r>
        <w:t xml:space="preserve">4,11 (20%)</w:t>
      </w:r>
    </w:p>
    <w:p>
      <w:pPr>
        <w:pStyle w:val="FirstParagraph"/>
      </w:pPr>
      <w:r>
        <w:t xml:space="preserve">Ponownie</w:t>
      </w:r>
      <w:r>
        <w:t xml:space="preserve"> </w:t>
      </w:r>
      <w:r>
        <w:rPr>
          <w:iCs/>
          <w:i/>
        </w:rPr>
        <w:t xml:space="preserve">ECM</w:t>
      </w:r>
      <w:r>
        <w:t xml:space="preserve"> </w:t>
      </w:r>
      <w:r>
        <w:t xml:space="preserve">wymienia dla tego wariantu tylko rękopisy kursywne 18 i 35. Ku mojemu rozczarowaniu nie wspomina o nim ani von Soden, ani Tischendorf. Jak jednak ilustruje Tischendorf w przypadku powyższego wariantu, niemal na pewno istnieją nieskolacjonowane przez</w:t>
      </w:r>
      <w:r>
        <w:t xml:space="preserve"> </w:t>
      </w:r>
      <w:r>
        <w:rPr>
          <w:iCs/>
          <w:i/>
        </w:rPr>
        <w:t xml:space="preserve">ECM</w:t>
      </w:r>
      <w:r>
        <w:t xml:space="preserve"> </w:t>
      </w:r>
      <w:r>
        <w:t xml:space="preserve">manuskrypty, które stają tutaj po stronie</w:t>
      </w:r>
      <w:r>
        <w:t xml:space="preserve"> </w:t>
      </w:r>
      <w:r>
        <w:rPr>
          <w:bCs/>
          <w:b/>
        </w:rPr>
        <w:t xml:space="preserve">f</w:t>
      </w:r>
      <w:r>
        <w:rPr>
          <w:vertAlign w:val="superscript"/>
          <w:bCs/>
          <w:b/>
        </w:rPr>
        <w:t xml:space="preserve">35</w:t>
      </w:r>
      <w:r>
        <w:t xml:space="preserve"> </w:t>
      </w:r>
      <w:r>
        <w:t xml:space="preserve">(niestety</w:t>
      </w:r>
      <w:r>
        <w:t xml:space="preserve"> </w:t>
      </w:r>
      <w:r>
        <w:rPr>
          <w:iCs/>
          <w:i/>
        </w:rPr>
        <w:t xml:space="preserve">TuT</w:t>
      </w:r>
      <w:r>
        <w:t xml:space="preserve"> </w:t>
      </w:r>
      <w:r>
        <w:t xml:space="preserve">nie uwzględnia tego zestawu). Brak rodzajnika podkreśla immanentną cechę rzeczownika, co odpowiada kontekstowi. Łącząc kontekst ze „średnią skuteczności”, czyli współczynnikiem wiarygodności, pozostaję tutaj przy</w:t>
      </w:r>
      <w:r>
        <w:t xml:space="preserve"> </w:t>
      </w:r>
      <w:r>
        <w:rPr>
          <w:bCs/>
          <w:b/>
        </w:rPr>
        <w:t xml:space="preserve">f</w:t>
      </w:r>
      <w:r>
        <w:rPr>
          <w:vertAlign w:val="superscript"/>
          <w:bCs/>
          <w:b/>
        </w:rPr>
        <w:t xml:space="preserve">35</w:t>
      </w:r>
      <w:r>
        <w:t xml:space="preserve">.</w:t>
      </w:r>
    </w:p>
    <w:bookmarkEnd w:id="408"/>
    <w:bookmarkStart w:id="409" w:name="του-42-22"/>
    <w:p>
      <w:pPr>
        <w:pStyle w:val="Heading5"/>
      </w:pPr>
      <w:r>
        <w:rPr>
          <w:iCs/>
          <w:i/>
        </w:rPr>
        <w:t xml:space="preserve">του</w:t>
      </w:r>
      <w:r>
        <w:t xml:space="preserve"> </w:t>
      </w:r>
      <w:r>
        <w:t xml:space="preserve">4,2 (22%)</w:t>
      </w:r>
    </w:p>
    <w:p>
      <w:pPr>
        <w:pStyle w:val="FirstParagraph"/>
      </w:pPr>
      <w:r>
        <w:t xml:space="preserve">Większość spośród czternastu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występuje również przy δυναμενος w Liście Jakuba 3,2. Jak sobie wyobrażam, tych czternaście redukuje się w V wieku do ośmiu niezależnych linii przekazu, z których niektóre sięgają III wieku. Wybór między obecnością a brakiem rodzajnika ma tutaj niewielki wpływ na sens, dlatego ze względu na jej współczynnik wiarygodności pozostaję przy</w:t>
      </w:r>
      <w:r>
        <w:t xml:space="preserve"> </w:t>
      </w:r>
      <w:r>
        <w:rPr>
          <w:bCs/>
          <w:b/>
        </w:rPr>
        <w:t xml:space="preserve">f</w:t>
      </w:r>
      <w:r>
        <w:rPr>
          <w:vertAlign w:val="superscript"/>
          <w:bCs/>
          <w:b/>
        </w:rPr>
        <w:t xml:space="preserve">35</w:t>
      </w:r>
      <w:r>
        <w:t xml:space="preserve">.</w:t>
      </w:r>
    </w:p>
    <w:bookmarkEnd w:id="409"/>
    <w:bookmarkStart w:id="410" w:name="και-221-p72-23"/>
    <w:p>
      <w:pPr>
        <w:pStyle w:val="Heading5"/>
      </w:pPr>
      <w:r>
        <w:rPr>
          <w:iCs/>
          <w:i/>
        </w:rPr>
        <w:t xml:space="preserve">και</w:t>
      </w:r>
      <w:r>
        <w:t xml:space="preserve"> </w:t>
      </w:r>
      <w:r>
        <w:t xml:space="preserve">2,21 P</w:t>
      </w:r>
      <w:r>
        <w:rPr>
          <w:vertAlign w:val="superscript"/>
        </w:rPr>
        <w:t xml:space="preserve">72</w:t>
      </w:r>
      <w:r>
        <w:t xml:space="preserve"> </w:t>
      </w:r>
      <w:r>
        <w:t xml:space="preserve">(23%)</w:t>
      </w:r>
    </w:p>
    <w:p>
      <w:pPr>
        <w:pStyle w:val="FirstParagraph"/>
      </w:pPr>
      <w:r>
        <w:t xml:space="preserve">Wariant ten jest również poświadczony przez czternaście manuskryptów spoza</w:t>
      </w:r>
      <w:r>
        <w:t xml:space="preserve"> </w:t>
      </w:r>
      <w:r>
        <w:rPr>
          <w:bCs/>
          <w:b/>
        </w:rPr>
        <w:t xml:space="preserve">f</w:t>
      </w:r>
      <w:r>
        <w:rPr>
          <w:vertAlign w:val="superscript"/>
          <w:bCs/>
          <w:b/>
        </w:rPr>
        <w:t xml:space="preserve">35</w:t>
      </w:r>
      <w:r>
        <w:t xml:space="preserve"> </w:t>
      </w:r>
      <w:r>
        <w:t xml:space="preserve">(wymienionych przez</w:t>
      </w:r>
      <w:r>
        <w:t xml:space="preserve"> </w:t>
      </w:r>
      <w:r>
        <w:rPr>
          <w:iCs/>
          <w:i/>
        </w:rPr>
        <w:t xml:space="preserve">ECM</w:t>
      </w:r>
      <w:r>
        <w:t xml:space="preserve">), lecz tylko cztery są wspólne z poprzednim. Tym razem występuje większe zróżnicowanie i tylko dwie pary, dlatego w V wieku nadal mamy dwanaście linii, z których, jak sobie wyobrażam, większość sięga III wieku. P</w:t>
      </w:r>
      <w:r>
        <w:rPr>
          <w:vertAlign w:val="superscript"/>
        </w:rPr>
        <w:t xml:space="preserve">72</w:t>
      </w:r>
      <w:r>
        <w:t xml:space="preserve"> </w:t>
      </w:r>
      <w:r>
        <w:t xml:space="preserve">zapewnia jawne poświadczenie z III wieku. Odczyt większości jest całkowicie normalny i ma znakomity sens, gdyby zatem był oryginalny, nie odczuwano by potrzeby jego zmieniania. Z drugiej strony και stojące obok γαρ mogło łatwo wydać się zbędne, co skłoniłoby kopistów do jego usunięcia. W kontekście emfatyczne użycie dobrze pasuje. Odczyt ten jest z pewnością wczesny i niezależny, a moim zdaniem najprawdopodobniej oryginalny.</w:t>
      </w:r>
    </w:p>
    <w:bookmarkEnd w:id="410"/>
    <w:bookmarkStart w:id="411" w:name="περιερχεται-58-24"/>
    <w:p>
      <w:pPr>
        <w:pStyle w:val="Heading5"/>
      </w:pPr>
      <w:r>
        <w:rPr>
          <w:iCs/>
          <w:i/>
        </w:rPr>
        <w:t xml:space="preserve">περιερχεται</w:t>
      </w:r>
      <w:r>
        <w:t xml:space="preserve"> </w:t>
      </w:r>
      <w:r>
        <w:t xml:space="preserve">5,8 (24%)</w:t>
      </w:r>
    </w:p>
    <w:p>
      <w:pPr>
        <w:pStyle w:val="FirstParagraph"/>
      </w:pPr>
      <w:r>
        <w:t xml:space="preserve">Dwadzieścia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poza jednym spośród manuskryptów wymienionych wyżej dla του oraz osiem innych. Istnieje kilka grup, lecz w V wieku byłoby co najmniej dziesięć niezależnych linii, z których, jak sobie wyobrażam, co najmniej połowa powinna sięgać III wieku. Lew nie wyszedł na popołudniowy spacer, krąży wokół zdobyczy, szukając sposobności. Περιερχεται jest wczesne, niezależne i poprawne, a moim zdaniem niemal na pewno oryginalne.</w:t>
      </w:r>
    </w:p>
    <w:bookmarkEnd w:id="411"/>
    <w:bookmarkStart w:id="412" w:name="ημερας-ιδειν-310-c-26"/>
    <w:p>
      <w:pPr>
        <w:pStyle w:val="Heading5"/>
      </w:pPr>
      <w:r>
        <w:rPr>
          <w:iCs/>
          <w:i/>
        </w:rPr>
        <w:t xml:space="preserve">ημερας ιδειν</w:t>
      </w:r>
      <w:r>
        <w:t xml:space="preserve"> </w:t>
      </w:r>
      <w:r>
        <w:t xml:space="preserve">3,10 C (26%)</w:t>
      </w:r>
    </w:p>
    <w:p>
      <w:pPr>
        <w:pStyle w:val="FirstParagraph"/>
      </w:pPr>
      <w:r>
        <w:t xml:space="preserve">Dwadzieścia sześć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tworzy kilka grup, lecz w V wieku byłoby co najmniej piętnaście niezależnych linii — kodeks C zapewnia jawne poświadczenie z V wieku — z których, jak sobie wyobrażam, co najmniej połowa powinna sięgać III wieku. Ponieważ jest to część cytatu z Psalmów, Septuaginta mogła odegrać pewną rolę, lecz jaką? Kodeks B ma taki sam szyk wyrazów w swojej Septuagincie Psalmów i tutaj u Piotra, podczas gdy kodeks C zgadza się z drukowaną Septuagintą. Kto więc upodobnił się do kogo? Szyk wyrazów poświadczony przez</w:t>
      </w:r>
      <w:r>
        <w:t xml:space="preserve"> </w:t>
      </w:r>
      <w:r>
        <w:rPr>
          <w:bCs/>
          <w:b/>
        </w:rPr>
        <w:t xml:space="preserve">f</w:t>
      </w:r>
      <w:r>
        <w:rPr>
          <w:vertAlign w:val="superscript"/>
          <w:bCs/>
          <w:b/>
        </w:rPr>
        <w:t xml:space="preserve">35</w:t>
      </w:r>
      <w:r>
        <w:t xml:space="preserve"> </w:t>
      </w:r>
      <w:r>
        <w:t xml:space="preserve">wydaje się mniej gładki niż szyk większości i mógł dać mu początek. W każdym razie ημερας ιδειν jest wczesne, niezależne i moim zdaniem prawdopodobnie oryginalne.</w:t>
      </w:r>
    </w:p>
    <w:bookmarkEnd w:id="412"/>
    <w:bookmarkStart w:id="413" w:name="χρονος-43-p72-ℵabc-26"/>
    <w:p>
      <w:pPr>
        <w:pStyle w:val="Heading5"/>
      </w:pPr>
      <w:r>
        <w:rPr>
          <w:iCs/>
          <w:i/>
        </w:rPr>
        <w:t xml:space="preserve">χρονος</w:t>
      </w:r>
      <w:r>
        <w:t xml:space="preserve"> </w:t>
      </w:r>
      <w:r>
        <w:t xml:space="preserve">4,3 P</w:t>
      </w:r>
      <w:r>
        <w:rPr>
          <w:vertAlign w:val="superscript"/>
        </w:rPr>
        <w:t xml:space="preserve">72</w:t>
      </w:r>
      <w:r>
        <w:t xml:space="preserve"> </w:t>
      </w:r>
      <w:r>
        <w:t xml:space="preserve">ℵABC (26%)</w:t>
      </w:r>
    </w:p>
    <w:p>
      <w:pPr>
        <w:pStyle w:val="FirstParagraph"/>
      </w:pPr>
      <w:r>
        <w:t xml:space="preserve">Trzydzieści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pięć wczesnych uncjałów, nie ma więc wątpliwości co do wieku. (Zaledwie dwa słowa dalej te same pięć wczesnych uncjałów ma βουλημα zamiast θελημα, co pokazuje, że</w:t>
      </w:r>
      <w:r>
        <w:t xml:space="preserve"> </w:t>
      </w:r>
      <w:r>
        <w:rPr>
          <w:bCs/>
          <w:b/>
        </w:rPr>
        <w:t xml:space="preserve">f</w:t>
      </w:r>
      <w:r>
        <w:rPr>
          <w:vertAlign w:val="superscript"/>
          <w:bCs/>
          <w:b/>
        </w:rPr>
        <w:t xml:space="preserve">35</w:t>
      </w:r>
      <w:r>
        <w:t xml:space="preserve"> </w:t>
      </w:r>
      <w:r>
        <w:t xml:space="preserve">jest od nich niezależna). W V wieku będzie ponad dwadzieścia niezależnych linii, z których, jak sobie wyobrażam, co najmniej połowa powinna sięgać III wieku. Wersety 2-3</w:t>
      </w:r>
      <w:r>
        <w:rPr>
          <w:vertAlign w:val="superscript"/>
        </w:rPr>
        <w:t xml:space="preserve">a</w:t>
      </w:r>
      <w:r>
        <w:t xml:space="preserve"> </w:t>
      </w:r>
      <w:r>
        <w:t xml:space="preserve">oddałbym następująco: „…aby przez pozostały czas w ciele nie żyć już dla ludzkich pożądliwości, lecz dla woli Boga. Ponieważ czas, który przeminął, wystarczy wam do pełnienia woli pogan…”. Wyrażenie „życia” zawadza.</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3"/>
    <w:bookmarkStart w:id="414" w:name="αιωνας-411-p72-27"/>
    <w:p>
      <w:pPr>
        <w:pStyle w:val="Heading5"/>
      </w:pPr>
      <w:r>
        <w:rPr>
          <w:iCs/>
          <w:i/>
        </w:rPr>
        <w:t xml:space="preserve">αιωνας</w:t>
      </w:r>
      <w:r>
        <w:t xml:space="preserve"> </w:t>
      </w:r>
      <w:r>
        <w:t xml:space="preserve">4,11 P</w:t>
      </w:r>
      <w:r>
        <w:rPr>
          <w:vertAlign w:val="superscript"/>
        </w:rPr>
        <w:t xml:space="preserve">72</w:t>
      </w:r>
      <w:r>
        <w:t xml:space="preserve"> </w:t>
      </w:r>
      <w:r>
        <w:t xml:space="preserve">(27%)</w:t>
      </w:r>
    </w:p>
    <w:p>
      <w:pPr>
        <w:pStyle w:val="FirstParagraph"/>
      </w:pPr>
      <w:r>
        <w:t xml:space="preserve">Trzydzieści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P</w:t>
      </w:r>
      <w:r>
        <w:rPr>
          <w:vertAlign w:val="superscript"/>
        </w:rPr>
        <w:t xml:space="preserve">72</w:t>
      </w:r>
      <w:r>
        <w:t xml:space="preserve">, nie ma więc wątpliwości co do wieku. Jak sobie wyobrażam, w V wieku zredukują się one do około dwudziestu niezależnych linii, z których co najmniej połowa powinna sięgać III wieku. Dodanie znajomego των αιωνων, jeśli nie było go w oryginale, jest przewidywalne, jego pominięcie trudniej wyjaśnić. Oddałbym to: „przez wszystkie wieki”.</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4"/>
    <w:bookmarkStart w:id="415" w:name="σθενωσαι-θεμελιωσαι-510-30"/>
    <w:p>
      <w:pPr>
        <w:pStyle w:val="Heading5"/>
      </w:pPr>
      <w:r>
        <w:rPr>
          <w:iCs/>
          <w:i/>
        </w:rPr>
        <w:t xml:space="preserve">σθενωσαι θεμελιωσαι</w:t>
      </w:r>
      <w:r>
        <w:t xml:space="preserve"> </w:t>
      </w:r>
      <w:r>
        <w:t xml:space="preserve">5,10 (30%)</w:t>
      </w:r>
    </w:p>
    <w:p>
      <w:pPr>
        <w:pStyle w:val="FirstParagraph"/>
      </w:pPr>
      <w:r>
        <w:t xml:space="preserve">Dwadzieścia cztery manuskrypty spoza</w:t>
      </w:r>
      <w:r>
        <w:t xml:space="preserve"> </w:t>
      </w:r>
      <w:r>
        <w:rPr>
          <w:bCs/>
          <w:b/>
        </w:rPr>
        <w:t xml:space="preserve">f</w:t>
      </w:r>
      <w:r>
        <w:rPr>
          <w:vertAlign w:val="superscript"/>
          <w:bCs/>
          <w:b/>
        </w:rPr>
        <w:t xml:space="preserve">35</w:t>
      </w:r>
      <w:r>
        <w:t xml:space="preserve">, wymienione przez</w:t>
      </w:r>
      <w:r>
        <w:t xml:space="preserve"> </w:t>
      </w:r>
      <w:r>
        <w:rPr>
          <w:iCs/>
          <w:i/>
        </w:rPr>
        <w:t xml:space="preserve">ECM</w:t>
      </w:r>
      <w:r>
        <w:t xml:space="preserve"> </w:t>
      </w:r>
      <w:r>
        <w:t xml:space="preserve">dla tego wariantu, zredukują się w V wieku do nie mniej niż dwunastu niezależnych linii przekazu, nie licząc</w:t>
      </w:r>
      <w:r>
        <w:t xml:space="preserve"> </w:t>
      </w:r>
      <w:r>
        <w:rPr>
          <w:bCs/>
          <w:b/>
        </w:rPr>
        <w:t xml:space="preserve">f</w:t>
      </w:r>
      <w:r>
        <w:rPr>
          <w:vertAlign w:val="superscript"/>
          <w:bCs/>
          <w:b/>
        </w:rPr>
        <w:t xml:space="preserve">35</w:t>
      </w:r>
      <w:r>
        <w:t xml:space="preserve">, z których, jak sobie wyobrażam, co najmniej połowa powinna sięgać III wieku. Czy Piotr stwierdza, że Bóg to uczyni, tryb oznajmujący czasu przyszłego, czy prosi, aby Bóg to uczynił, aoryst trybu życzącego? Jak „gdy trochę pocierpicie” wpływa na równanie?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15"/>
    <w:bookmarkStart w:id="416" w:name="wniosek-3"/>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16"/>
    <w:bookmarkEnd w:id="417"/>
    <w:bookmarkEnd w:id="418"/>
    <w:bookmarkStart w:id="429" w:name="list-piotra-1"/>
    <w:p>
      <w:pPr>
        <w:pStyle w:val="Heading3"/>
      </w:pPr>
      <w:r>
        <w:t xml:space="preserve">2 List Piotra</w:t>
      </w:r>
    </w:p>
    <w:p>
      <w:pPr>
        <w:pStyle w:val="FirstParagraph"/>
      </w:pPr>
      <w:r>
        <w:t xml:space="preserve">Podobnie jak w przypadku Listu Jakuba i 1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19" w:name="concordia-discors-2"/>
    <w:p>
      <w:pPr>
        <w:pStyle w:val="Heading4"/>
      </w:pPr>
      <w:r>
        <w:rPr>
          <w:iCs/>
          <w:i/>
        </w:rPr>
        <w:t xml:space="preserve">Concordia discors</w:t>
      </w:r>
    </w:p>
    <w:p>
      <w:pPr>
        <w:pStyle w:val="FirstParagraph"/>
      </w:pPr>
      <w:r>
        <w:t xml:space="preserve">Cztery z tych uncjałów zachowały się w 2 Liście Piotra (ℵABC), do których dodaję P</w:t>
      </w:r>
      <w:r>
        <w:rPr>
          <w:vertAlign w:val="superscript"/>
        </w:rPr>
        <w:t xml:space="preserve">72</w:t>
      </w:r>
      <w:r>
        <w:t xml:space="preserve"> </w:t>
      </w:r>
      <w:r>
        <w:t xml:space="preserve">i 048, a to, co Burgon nazywa ich „ekscentryczną skłonnością”, jest wyraźnie widoczne. Ekscentryczność ta dowodzi ich niezależności, co będzie szczególnie istotne w dalszym ciągu. Przedstawiam w tabeli ich zachowanie w 67 istotnych zestawach wariantów uwzględnionych w aparacie krytycznym mojego wydania greckiego Tekstu 2 Listu Piotra (z wyłączeniem 17, przy których używam</w:t>
      </w:r>
      <w:r>
        <w:t xml:space="preserve"> </w:t>
      </w:r>
      <w:r>
        <w:rPr>
          <w:iCs/>
          <w:i/>
        </w:rPr>
        <w:t xml:space="preserve">rell</w:t>
      </w:r>
      <w:r>
        <w:t xml:space="preserve">).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19</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9</w:t>
            </w:r>
          </w:p>
        </w:tc>
        <w:tc>
          <w:tcPr/>
          <w:p>
            <w:pPr>
              <w:pStyle w:val="Compact"/>
            </w:pPr>
          </w:p>
        </w:tc>
      </w:tr>
      <w:tr>
        <w:tc>
          <w:tcPr/>
          <w:p>
            <w:pPr>
              <w:pStyle w:val="Compact"/>
              <w:jc w:val="left"/>
            </w:pPr>
            <w:r>
              <w:t xml:space="preserve">z udziałem ℵ</w:t>
            </w:r>
          </w:p>
        </w:tc>
        <w:tc>
          <w:tcPr/>
          <w:p>
            <w:pPr>
              <w:pStyle w:val="Compact"/>
              <w:jc w:val="right"/>
            </w:pPr>
            <w:r>
              <w:t xml:space="preserve">25</w:t>
            </w:r>
          </w:p>
        </w:tc>
        <w:tc>
          <w:tcPr/>
          <w:p>
            <w:pPr>
              <w:pStyle w:val="Compact"/>
            </w:pPr>
          </w:p>
        </w:tc>
      </w:tr>
      <w:tr>
        <w:tc>
          <w:tcPr/>
          <w:p>
            <w:pPr>
              <w:pStyle w:val="Compact"/>
              <w:jc w:val="left"/>
            </w:pPr>
            <w:r>
              <w:t xml:space="preserve">z udziałem A</w:t>
            </w:r>
          </w:p>
        </w:tc>
        <w:tc>
          <w:tcPr/>
          <w:p>
            <w:pPr>
              <w:pStyle w:val="Compact"/>
              <w:jc w:val="right"/>
            </w:pPr>
            <w:r>
              <w:t xml:space="preserve">20</w:t>
            </w:r>
          </w:p>
        </w:tc>
        <w:tc>
          <w:tcPr/>
          <w:p>
            <w:pPr>
              <w:pStyle w:val="Compact"/>
            </w:pPr>
          </w:p>
        </w:tc>
      </w:tr>
      <w:tr>
        <w:tc>
          <w:tcPr/>
          <w:p>
            <w:pPr>
              <w:pStyle w:val="Compact"/>
              <w:jc w:val="left"/>
            </w:pPr>
            <w:r>
              <w:t xml:space="preserve">z udziałem B</w:t>
            </w:r>
          </w:p>
        </w:tc>
        <w:tc>
          <w:tcPr/>
          <w:p>
            <w:pPr>
              <w:pStyle w:val="Compact"/>
              <w:jc w:val="right"/>
            </w:pPr>
            <w:r>
              <w:t xml:space="preserve">11</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6</w:t>
            </w:r>
          </w:p>
        </w:tc>
        <w:tc>
          <w:tcPr/>
          <w:p>
            <w:pPr>
              <w:pStyle w:val="Compact"/>
            </w:pPr>
          </w:p>
        </w:tc>
      </w:tr>
    </w:tbl>
    <w:p>
      <w:pPr>
        <w:pStyle w:val="BodyText"/>
      </w:pPr>
      <w:r>
        <w:t xml:space="preserve">W 61 pozostałych zestawach wariantów (67 minus 6)</w:t>
      </w:r>
      <w:r>
        <w:t xml:space="preserve"> </w:t>
      </w:r>
      <w:r>
        <w:rPr>
          <w:bCs/>
          <w:b/>
        </w:rPr>
        <w:t xml:space="preserve">f</w:t>
      </w:r>
      <w:r>
        <w:rPr>
          <w:vertAlign w:val="superscript"/>
          <w:bCs/>
          <w:b/>
        </w:rPr>
        <w:t xml:space="preserve">35</w:t>
      </w:r>
      <w:r>
        <w:t xml:space="preserve"> </w:t>
      </w:r>
      <w:r>
        <w:t xml:space="preserve">ma jawne poświadczenie tych wczesnych uncjałów w 69%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19"/>
    <w:bookmarkStart w:id="428" w:name="odczyty-mniejszościowe-f35-2"/>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siedem odczytów o poświadczeniu wynoszącym 33%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siedem odczytów, zaczynając od najmniejszego odsetka.</w:t>
      </w:r>
    </w:p>
    <w:bookmarkStart w:id="420" w:name="ἃς-22-20"/>
    <w:p>
      <w:pPr>
        <w:pStyle w:val="Heading5"/>
      </w:pPr>
      <w:r>
        <w:rPr>
          <w:iCs/>
          <w:i/>
        </w:rPr>
        <w:t xml:space="preserve">ἃς</w:t>
      </w:r>
      <w:r>
        <w:t xml:space="preserve"> </w:t>
      </w:r>
      <w:r>
        <w:t xml:space="preserve">2,2 (20%)</w:t>
      </w:r>
    </w:p>
    <w:p>
      <w:pPr>
        <w:pStyle w:val="FirstParagraph"/>
      </w:pPr>
      <w:r>
        <w:rPr>
          <w:iCs/>
          <w:i/>
        </w:rPr>
        <w:t xml:space="preserve">ECM</w:t>
      </w:r>
      <w:r>
        <w:t xml:space="preserve"> </w:t>
      </w:r>
      <w:r>
        <w:t xml:space="preserve">wymienia dla tego odczytu jedynie rękopis kursywny 18, lecz moje własne kolacjonowanie 35 przekonuje mnie, że zgadza się on z 18, podobnie jak kolejnych 38 przedstawicieli rodziny, których skolacjonowałem. Rodzina jest zatem jednolita. Von Soden przytacza dla tego odczytu jeszcze jeden manuskrypt, podczas gdy Tischendorf milczy. Odczyt przetrwał więc poza rodziną, choć niezbyt szeroko. Czy poprzednikiem zaimka są rozpustne czyny, czy ludzie w nich uczestniczący? Jedno i drugie ma sens, lecz to właśnie złe postępowanie kala reputację Drogi. Uważam, że</w:t>
      </w:r>
      <w:r>
        <w:t xml:space="preserve"> </w:t>
      </w:r>
      <w:r>
        <w:rPr>
          <w:bCs/>
          <w:b/>
        </w:rPr>
        <w:t xml:space="preserve">f</w:t>
      </w:r>
      <w:r>
        <w:rPr>
          <w:vertAlign w:val="superscript"/>
          <w:bCs/>
          <w:b/>
        </w:rPr>
        <w:t xml:space="preserve">35</w:t>
      </w:r>
      <w:r>
        <w:t xml:space="preserve"> </w:t>
      </w:r>
      <w:r>
        <w:t xml:space="preserve">prawdopodobnie zachowuje tutaj odczyt Oryginału.</w:t>
      </w:r>
    </w:p>
    <w:bookmarkEnd w:id="420"/>
    <w:bookmarkStart w:id="421" w:name="συνεστωτα-35-ℵ-23"/>
    <w:p>
      <w:pPr>
        <w:pStyle w:val="Heading5"/>
      </w:pPr>
      <w:r>
        <w:rPr>
          <w:iCs/>
          <w:i/>
        </w:rPr>
        <w:t xml:space="preserve">συνεστωτα</w:t>
      </w:r>
      <w:r>
        <w:t xml:space="preserve"> </w:t>
      </w:r>
      <w:r>
        <w:t xml:space="preserve">3,5 ℵ (23%)</w:t>
      </w:r>
    </w:p>
    <w:p>
      <w:pPr>
        <w:pStyle w:val="FirstParagraph"/>
      </w:pPr>
      <w:r>
        <w:t xml:space="preserve">Składnia Piotra jest tutaj nieco złożona, co dało początek jedenastu wariantom sześciowyrazowego wyrażenia. W moim rozumieniu „z wody i przez wodę” jest wtrąceniem modyfikującym „ziemię”, imiesłów łączy się więc z ησαν jako konstrukcja peryfrastyczna, której podmiot obejmuje zarówno „niebo” (r. męski), jak i „ziemię” (r. żeński) — stąd mianownik liczby mnogiej rodzaju nijakiego imiesłowu czynnego perfectum.</w:t>
      </w:r>
      <w:r>
        <w:t xml:space="preserve"> </w:t>
      </w:r>
      <w:r>
        <w:rPr>
          <w:bCs/>
          <w:b/>
        </w:rPr>
        <w:t xml:space="preserve">f</w:t>
      </w:r>
      <w:r>
        <w:rPr>
          <w:vertAlign w:val="superscript"/>
          <w:bCs/>
          <w:b/>
        </w:rPr>
        <w:t xml:space="preserve">35</w:t>
      </w:r>
      <w:r>
        <w:t xml:space="preserve"> </w:t>
      </w:r>
      <w:r>
        <w:t xml:space="preserve">jest tutaj dokładnie poprawna, nawet jeśli większość kopistów zagubiła się w składni Piotra. ℵ zapewnia jawne poświadczenie z IV wieku, lecz odczyt ten jest również poświadczony przez kolejne cztery niezależne linie przekazu (przytoczone przez</w:t>
      </w:r>
      <w:r>
        <w:t xml:space="preserve"> </w:t>
      </w:r>
      <w:r>
        <w:rPr>
          <w:iCs/>
          <w:i/>
        </w:rPr>
        <w:t xml:space="preserve">ECM</w:t>
      </w:r>
      <w:r>
        <w:t xml:space="preserve">), poza</w:t>
      </w:r>
      <w:r>
        <w:t xml:space="preserve"> </w:t>
      </w:r>
      <w:r>
        <w:rPr>
          <w:bCs/>
          <w:b/>
        </w:rPr>
        <w:t xml:space="preserve">f</w:t>
      </w:r>
      <w:r>
        <w:rPr>
          <w:vertAlign w:val="superscript"/>
          <w:bCs/>
          <w:b/>
        </w:rPr>
        <w:t xml:space="preserve">35</w:t>
      </w:r>
      <w:r>
        <w:t xml:space="preserve">, z których wszystkie prawdopodobnie sięgają co najmniej IV wieku.</w:t>
      </w:r>
      <w:r>
        <w:t xml:space="preserve"> </w:t>
      </w:r>
      <w:r>
        <w:rPr>
          <w:bCs/>
          <w:b/>
        </w:rPr>
        <w:t xml:space="preserve">f</w:t>
      </w:r>
      <w:r>
        <w:rPr>
          <w:vertAlign w:val="superscript"/>
          <w:bCs/>
          <w:b/>
        </w:rPr>
        <w:t xml:space="preserve">35</w:t>
      </w:r>
      <w:r>
        <w:t xml:space="preserve"> </w:t>
      </w:r>
      <w:r>
        <w:t xml:space="preserve">prawdopodobnie zachowuje tutaj Oryginał.</w:t>
      </w:r>
    </w:p>
    <w:bookmarkEnd w:id="421"/>
    <w:bookmarkStart w:id="422" w:name="εις-αιωνας-217-251"/>
    <w:p>
      <w:pPr>
        <w:pStyle w:val="Heading5"/>
      </w:pPr>
      <w:r>
        <w:rPr>
          <w:iCs/>
          <w:i/>
        </w:rPr>
        <w:t xml:space="preserve">εις αιωνας</w:t>
      </w:r>
      <w:r>
        <w:t xml:space="preserve"> </w:t>
      </w:r>
      <w:r>
        <w:t xml:space="preserve">2,17 (25,1%)</w:t>
      </w:r>
    </w:p>
    <w:p>
      <w:pPr>
        <w:pStyle w:val="FirstParagraph"/>
      </w:pPr>
      <w:r>
        <w:t xml:space="preserve">Możemy tutaj polegać na pełnych kolacjonowaniach odzwierciedlonych w</w:t>
      </w:r>
      <w:r>
        <w:t xml:space="preserve"> </w:t>
      </w:r>
      <w:r>
        <w:rPr>
          <w:iCs/>
          <w:i/>
        </w:rPr>
        <w:t xml:space="preserve">TuT</w:t>
      </w:r>
      <w:r>
        <w:t xml:space="preserve">. Poza</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Wybór dotyczy liczby pojedynczej lub mnogiej, jednego „wieku” albo wielu. Brak rodzajnika przyczynił się do pomieszania obrazu. Jeśli liczba mnoga jest silniejsza od pojedynczej, wówczas lepiej pasuje do kontekstu, ponieważ Piotr używa gwałtownego języka. Uważam, że liczba mnoga jest prawdopodobnie oryginalna.</w:t>
      </w:r>
    </w:p>
    <w:bookmarkEnd w:id="422"/>
    <w:bookmarkStart w:id="423" w:name="γεγενημενα-φυσικα-212-ℵ-26"/>
    <w:p>
      <w:pPr>
        <w:pStyle w:val="Heading5"/>
      </w:pPr>
      <w:r>
        <w:rPr>
          <w:iCs/>
          <w:i/>
        </w:rPr>
        <w:t xml:space="preserve">γεγενημενα φυσικα</w:t>
      </w:r>
      <w:r>
        <w:t xml:space="preserve"> </w:t>
      </w:r>
      <w:r>
        <w:t xml:space="preserve">2,12 ℵ (26%)</w:t>
      </w:r>
    </w:p>
    <w:p>
      <w:pPr>
        <w:pStyle w:val="FirstParagraph"/>
      </w:pPr>
      <w:r>
        <w:t xml:space="preserve">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Pozostałe wczesne uncjały (P</w:t>
      </w:r>
      <w:r>
        <w:rPr>
          <w:vertAlign w:val="superscript"/>
        </w:rPr>
        <w:t xml:space="preserve">72</w:t>
      </w:r>
      <w:r>
        <w:t xml:space="preserve"> </w:t>
      </w:r>
      <w:r>
        <w:t xml:space="preserve">pomija imiesłów) poświadczają ten szyk, natomiast około 85% manuskryptów poświadcza czasownik. Wariant większości, umieszczając przymiotnik obok rzeczownika, zdaje się tworzyć bardziej naturalną konstrukcję, lecz sądzę, że φυσικα pełni funkcję rzeczownika w apozycji do ζωα, a aby pomóc nam to dostrzec, Piotr umieszcza go po imiesłowie, należy oddać: „jak nierozumne zwierzęta, stworzenia instynktu uczynione po to, by je schwytać i zniszczyć”. Nie wątpię, że</w:t>
      </w:r>
      <w:r>
        <w:t xml:space="preserve"> </w:t>
      </w:r>
      <w:r>
        <w:rPr>
          <w:bCs/>
          <w:b/>
        </w:rPr>
        <w:t xml:space="preserve">f</w:t>
      </w:r>
      <w:r>
        <w:rPr>
          <w:vertAlign w:val="superscript"/>
          <w:bCs/>
          <w:b/>
        </w:rPr>
        <w:t xml:space="preserve">35</w:t>
      </w:r>
      <w:r>
        <w:t xml:space="preserve"> </w:t>
      </w:r>
      <w:r>
        <w:t xml:space="preserve">zachowuje tutaj Oryginał.</w:t>
      </w:r>
    </w:p>
    <w:bookmarkEnd w:id="423"/>
    <w:bookmarkStart w:id="424" w:name="αυξανητε-318-27"/>
    <w:p>
      <w:pPr>
        <w:pStyle w:val="Heading5"/>
      </w:pPr>
      <w:r>
        <w:rPr>
          <w:iCs/>
          <w:i/>
        </w:rPr>
        <w:t xml:space="preserve">αυξανητε</w:t>
      </w:r>
      <w:r>
        <w:t xml:space="preserve"> </w:t>
      </w:r>
      <w:r>
        <w:t xml:space="preserve">3,18 (27%)</w:t>
      </w:r>
    </w:p>
    <w:p>
      <w:pPr>
        <w:pStyle w:val="FirstParagraph"/>
      </w:pPr>
      <w:r>
        <w:t xml:space="preserve">Tryb rozkazujący czy łączący? Uważam, że Piotr proponuje łagodniejszą alternatywę dla odpadnięcia od ich stałości, należy oddać: „raczej, obyście wzrastali w łasce…”. 5% manuskryptów przechodzi wręcz do trybu życzącego, tryb łączący i życzący stanowią łącznie 35%. Poza</w:t>
      </w:r>
      <w:r>
        <w:t xml:space="preserve"> </w:t>
      </w:r>
      <w:r>
        <w:rPr>
          <w:bCs/>
          <w:b/>
        </w:rPr>
        <w:t xml:space="preserve">f</w:t>
      </w:r>
      <w:r>
        <w:rPr>
          <w:vertAlign w:val="superscript"/>
          <w:bCs/>
          <w:b/>
        </w:rPr>
        <w:t xml:space="preserve">35</w:t>
      </w:r>
      <w:r>
        <w:t xml:space="preserve"> </w:t>
      </w:r>
      <w:r>
        <w:t xml:space="preserve">odczyt ten jest poświadczony przez co najmniej dziesięć niezależnych linii przekazu, z których niektóre powinny sięgać III wieku. Uważam, że tryb łączący jest prawdopodobnie oryginalny.</w:t>
      </w:r>
    </w:p>
    <w:bookmarkEnd w:id="424"/>
    <w:bookmarkStart w:id="425" w:name="εισιν-316-a-33"/>
    <w:p>
      <w:pPr>
        <w:pStyle w:val="Heading5"/>
      </w:pPr>
      <w:r>
        <w:rPr>
          <w:iCs/>
          <w:i/>
        </w:rPr>
        <w:t xml:space="preserve">εισιν</w:t>
      </w:r>
      <w:r>
        <w:t xml:space="preserve"> </w:t>
      </w:r>
      <w:r>
        <w:t xml:space="preserve">3,16 A (33%)</w:t>
      </w:r>
    </w:p>
    <w:p>
      <w:pPr>
        <w:pStyle w:val="FirstParagraph"/>
      </w:pPr>
      <w:r>
        <w:t xml:space="preserve">Liczba mnoga jest oczywiście poprawna. Poza jawnym świadectwem A i oprócz</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Powtórzę stwierdzenie z części dotyczącej 1 Listu Piotra.</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 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25"/>
    <w:bookmarkStart w:id="426" w:name="πειρασμων-29-ℵ-33"/>
    <w:p>
      <w:pPr>
        <w:pStyle w:val="Heading5"/>
      </w:pPr>
      <w:r>
        <w:rPr>
          <w:iCs/>
          <w:i/>
        </w:rPr>
        <w:t xml:space="preserve">πειρασμων</w:t>
      </w:r>
      <w:r>
        <w:t xml:space="preserve"> </w:t>
      </w:r>
      <w:r>
        <w:t xml:space="preserve">2,9 ℵ (33%)</w:t>
      </w:r>
    </w:p>
    <w:p>
      <w:pPr>
        <w:pStyle w:val="FirstParagraph"/>
      </w:pPr>
      <w:r>
        <w:t xml:space="preserve">Liczba pojedyncza czy mnoga? Uważam liczbę mnogą za wyraźnie lepszą w tym kontekście. 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26"/>
    <w:bookmarkStart w:id="427" w:name="wniosek-4"/>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40% itd. Podobnie jak w Liście Jakuba, 1 Liście Piotra i 1 Liście Jana,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27"/>
    <w:bookmarkEnd w:id="428"/>
    <w:bookmarkEnd w:id="429"/>
    <w:bookmarkStart w:id="438" w:name="list-jana"/>
    <w:p>
      <w:pPr>
        <w:pStyle w:val="Heading3"/>
      </w:pPr>
      <w:r>
        <w:t xml:space="preserve">1 List Jana</w:t>
      </w:r>
    </w:p>
    <w:p>
      <w:pPr>
        <w:pStyle w:val="FirstParagraph"/>
      </w:pPr>
      <w:r>
        <w:t xml:space="preserve">Podobnie jak w przypadku Listu Jakuba oraz 1 i 2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30" w:name="concordia-discors-3"/>
    <w:p>
      <w:pPr>
        <w:pStyle w:val="Heading4"/>
      </w:pPr>
      <w:r>
        <w:rPr>
          <w:iCs/>
          <w:i/>
        </w:rPr>
        <w:t xml:space="preserve">Concordia discors</w:t>
      </w:r>
    </w:p>
    <w:p>
      <w:pPr>
        <w:pStyle w:val="FirstParagraph"/>
      </w:pPr>
      <w:r>
        <w:t xml:space="preserve">Cztery z tych uncjałów zachowały się w 1 Liście Jana (ℵABC), do których dodałem 048, a to, co Burgon nazywa ich „ekscentryczną skłonnością”, jest wyraźnie widoczne. Ekscentryczność ta dowodzi ich niezależności, co będzie szczególnie istotne w dalszym ciągu. Przedstawiam w tabeli ich zachowanie w 87 istotnych zestawach wariantów (z wyłączeniem 31 z</w:t>
      </w:r>
      <w:r>
        <w:t xml:space="preserve"> </w:t>
      </w:r>
      <w:r>
        <w:rPr>
          <w:iCs/>
          <w:i/>
        </w:rPr>
        <w:t xml:space="preserve">rell</w:t>
      </w:r>
      <w:r>
        <w:t xml:space="preserve">) uwzględnionych w aparacie krytycznym mojego wydania greckiego Tekstu 1 Listu Jana.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32</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10</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24</w:t>
            </w:r>
          </w:p>
        </w:tc>
        <w:tc>
          <w:tcPr/>
          <w:p>
            <w:pPr>
              <w:pStyle w:val="Compact"/>
            </w:pPr>
          </w:p>
        </w:tc>
      </w:tr>
      <w:tr>
        <w:tc>
          <w:tcPr/>
          <w:p>
            <w:pPr>
              <w:pStyle w:val="Compact"/>
              <w:jc w:val="left"/>
            </w:pPr>
            <w:r>
              <w:t xml:space="preserve">z udziałem B</w:t>
            </w:r>
          </w:p>
        </w:tc>
        <w:tc>
          <w:tcPr/>
          <w:p>
            <w:pPr>
              <w:pStyle w:val="Compact"/>
              <w:jc w:val="right"/>
            </w:pPr>
            <w:r>
              <w:t xml:space="preserve">18</w:t>
            </w:r>
          </w:p>
        </w:tc>
        <w:tc>
          <w:tcPr/>
          <w:p>
            <w:pPr>
              <w:pStyle w:val="Compact"/>
            </w:pPr>
          </w:p>
        </w:tc>
      </w:tr>
      <w:tr>
        <w:tc>
          <w:tcPr/>
          <w:p>
            <w:pPr>
              <w:pStyle w:val="Compact"/>
              <w:jc w:val="left"/>
            </w:pPr>
            <w:r>
              <w:t xml:space="preserve">z udziałem C</w:t>
            </w:r>
          </w:p>
        </w:tc>
        <w:tc>
          <w:tcPr/>
          <w:p>
            <w:pPr>
              <w:pStyle w:val="Compact"/>
              <w:jc w:val="right"/>
            </w:pPr>
            <w:r>
              <w:t xml:space="preserve">15</w:t>
            </w:r>
          </w:p>
        </w:tc>
        <w:tc>
          <w:tcPr/>
          <w:p>
            <w:pPr>
              <w:pStyle w:val="Compact"/>
              <w:jc w:val="left"/>
            </w:pPr>
            <w:r>
              <w:t xml:space="preserve">(Brakuje C od 4,3 do końca).</w:t>
            </w:r>
          </w:p>
        </w:tc>
      </w:tr>
      <w:tr>
        <w:tc>
          <w:tcPr/>
          <w:p>
            <w:pPr>
              <w:pStyle w:val="Compact"/>
              <w:jc w:val="left"/>
            </w:pPr>
            <w:r>
              <w:t xml:space="preserve">z udziałem 048</w:t>
            </w:r>
          </w:p>
        </w:tc>
        <w:tc>
          <w:tcPr/>
          <w:p>
            <w:pPr>
              <w:pStyle w:val="Compact"/>
              <w:jc w:val="right"/>
            </w:pPr>
            <w:r>
              <w:t xml:space="preserve">3</w:t>
            </w:r>
          </w:p>
        </w:tc>
        <w:tc>
          <w:tcPr/>
          <w:p>
            <w:pPr>
              <w:pStyle w:val="Compact"/>
            </w:pPr>
          </w:p>
        </w:tc>
      </w:tr>
    </w:tbl>
    <w:p>
      <w:pPr>
        <w:pStyle w:val="BodyText"/>
      </w:pPr>
      <w:r>
        <w:t xml:space="preserve">W 84 pozostałych zestawach wariantów (87 minus 3)</w:t>
      </w:r>
      <w:r>
        <w:t xml:space="preserve"> </w:t>
      </w:r>
      <w:r>
        <w:rPr>
          <w:bCs/>
          <w:b/>
        </w:rPr>
        <w:t xml:space="preserve">f</w:t>
      </w:r>
      <w:r>
        <w:rPr>
          <w:vertAlign w:val="superscript"/>
          <w:bCs/>
          <w:b/>
        </w:rPr>
        <w:t xml:space="preserve">35</w:t>
      </w:r>
      <w:r>
        <w:t xml:space="preserve"> </w:t>
      </w:r>
      <w:r>
        <w:t xml:space="preserve">ma jawne poświadczenie tych wczesnych uncjałów w 62%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30"/>
    <w:bookmarkStart w:id="436" w:name="odczyty-mniejszościowe-f35-3"/>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cztery odczyty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te cztery odczyty, zaczynając od najmniejszego odsetka. Najpierw przedstawiam wykaz manuskryptów spoza</w:t>
      </w:r>
      <w:r>
        <w:t xml:space="preserve"> </w:t>
      </w:r>
      <w:r>
        <w:rPr>
          <w:bCs/>
          <w:b/>
        </w:rPr>
        <w:t xml:space="preserve">f</w:t>
      </w:r>
      <w:r>
        <w:rPr>
          <w:vertAlign w:val="superscript"/>
          <w:bCs/>
          <w:b/>
        </w:rPr>
        <w:t xml:space="preserve">35</w:t>
      </w:r>
      <w:r>
        <w:t xml:space="preserve"> </w:t>
      </w:r>
      <w:r>
        <w:t xml:space="preserve">(według</w:t>
      </w:r>
      <w:r>
        <w:t xml:space="preserve"> </w:t>
      </w:r>
      <w:r>
        <w:rPr>
          <w:iCs/>
          <w:i/>
        </w:rPr>
        <w:t xml:space="preserve">ECM</w:t>
      </w:r>
      <w:r>
        <w:t xml:space="preserve">), które poświadczają każdy wariant.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3,6 (20%)</w:t>
            </w:r>
          </w:p>
        </w:tc>
        <w:tc>
          <w:tcPr/>
          <w:p>
            <w:pPr>
              <w:pStyle w:val="Compact"/>
              <w:jc w:val="left"/>
            </w:pPr>
            <w:r>
              <w:t xml:space="preserve">5,11 (24%)</w:t>
            </w:r>
          </w:p>
        </w:tc>
        <w:tc>
          <w:tcPr/>
          <w:p>
            <w:pPr>
              <w:pStyle w:val="Compact"/>
              <w:jc w:val="left"/>
            </w:pPr>
            <w:r>
              <w:t xml:space="preserve">1,6 (29%)</w:t>
            </w:r>
          </w:p>
        </w:tc>
        <w:tc>
          <w:tcPr/>
          <w:p>
            <w:pPr>
              <w:pStyle w:val="Compact"/>
              <w:jc w:val="left"/>
            </w:pPr>
            <w:r>
              <w:t xml:space="preserve">3,24 (30%)</w:t>
            </w:r>
          </w:p>
        </w:tc>
      </w:tr>
      <w:tr>
        <w:tc>
          <w:tcPr/>
          <w:p>
            <w:pPr>
              <w:pStyle w:val="Compact"/>
              <w:jc w:val="left"/>
            </w:pPr>
            <w:r>
              <w:t xml:space="preserve">και</w:t>
            </w:r>
          </w:p>
        </w:tc>
        <w:tc>
          <w:tcPr/>
          <w:p>
            <w:pPr>
              <w:pStyle w:val="Compact"/>
              <w:jc w:val="left"/>
            </w:pPr>
            <w:r>
              <w:t xml:space="preserve">ο θεος ημιν</w:t>
            </w:r>
          </w:p>
        </w:tc>
        <w:tc>
          <w:tcPr/>
          <w:p>
            <w:pPr>
              <w:pStyle w:val="Compact"/>
              <w:jc w:val="left"/>
            </w:pPr>
            <w:r>
              <w:t xml:space="preserve">περιπατουμεν</w:t>
            </w:r>
          </w:p>
        </w:tc>
        <w:tc>
          <w:tcPr/>
          <w:p>
            <w:pPr>
              <w:pStyle w:val="Compact"/>
              <w:jc w:val="left"/>
            </w:pPr>
            <w:r>
              <w:t xml:space="preserve">--- εν</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w:t>
            </w:r>
          </w:p>
        </w:tc>
      </w:tr>
      <w:tr>
        <w:tc>
          <w:tcPr/>
          <w:p>
            <w:pPr>
              <w:pStyle w:val="Compact"/>
              <w:jc w:val="left"/>
            </w:pPr>
            <w:r>
              <w:t xml:space="preserve">---</w:t>
            </w:r>
          </w:p>
        </w:tc>
        <w:tc>
          <w:tcPr/>
          <w:p>
            <w:pPr>
              <w:pStyle w:val="Compact"/>
              <w:jc w:val="left"/>
            </w:pPr>
            <w:r>
              <w:t xml:space="preserve">03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0142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0296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33</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94</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180</w:t>
            </w:r>
          </w:p>
        </w:tc>
        <w:tc>
          <w:tcPr/>
          <w:p>
            <w:pPr>
              <w:pStyle w:val="Compact"/>
              <w:jc w:val="left"/>
            </w:pPr>
            <w:r>
              <w:t xml:space="preserve">180</w:t>
            </w:r>
          </w:p>
        </w:tc>
      </w:tr>
      <w:tr>
        <w:tc>
          <w:tcPr/>
          <w:p>
            <w:pPr>
              <w:pStyle w:val="Compact"/>
              <w:jc w:val="left"/>
            </w:pPr>
            <w:r>
              <w:t xml:space="preserve">254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378</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607</w:t>
            </w:r>
          </w:p>
        </w:tc>
        <w:tc>
          <w:tcPr/>
          <w:p>
            <w:pPr>
              <w:pStyle w:val="Compact"/>
              <w:jc w:val="left"/>
            </w:pPr>
            <w:r>
              <w:t xml:space="preserve">607</w:t>
            </w:r>
          </w:p>
        </w:tc>
      </w:tr>
      <w:tr>
        <w:tc>
          <w:tcPr/>
          <w:p>
            <w:pPr>
              <w:pStyle w:val="Compact"/>
              <w:jc w:val="left"/>
            </w:pPr>
            <w:r>
              <w:t xml:space="preserve">---</w:t>
            </w:r>
          </w:p>
        </w:tc>
        <w:tc>
          <w:tcPr/>
          <w:p>
            <w:pPr>
              <w:pStyle w:val="Compact"/>
              <w:jc w:val="left"/>
            </w:pPr>
            <w:r>
              <w:t xml:space="preserve">614</w:t>
            </w:r>
          </w:p>
        </w:tc>
        <w:tc>
          <w:tcPr/>
          <w:p>
            <w:pPr>
              <w:pStyle w:val="Compact"/>
              <w:jc w:val="left"/>
            </w:pPr>
            <w:r>
              <w:t xml:space="preserve">---</w:t>
            </w:r>
          </w:p>
        </w:tc>
        <w:tc>
          <w:tcPr/>
          <w:p>
            <w:pPr>
              <w:pStyle w:val="Compact"/>
              <w:jc w:val="left"/>
            </w:pPr>
            <w:r>
              <w:t xml:space="preserve">614</w:t>
            </w:r>
          </w:p>
        </w:tc>
      </w:tr>
      <w:tr>
        <w:tc>
          <w:tcPr/>
          <w:p>
            <w:pPr>
              <w:pStyle w:val="Compact"/>
              <w:jc w:val="left"/>
            </w:pPr>
            <w:r>
              <w:t xml:space="preserve">---</w:t>
            </w:r>
          </w:p>
        </w:tc>
        <w:tc>
          <w:tcPr/>
          <w:p>
            <w:pPr>
              <w:pStyle w:val="Compact"/>
              <w:jc w:val="left"/>
            </w:pPr>
            <w:r>
              <w:t xml:space="preserve">630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1292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1501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1505</w:t>
            </w:r>
          </w:p>
        </w:tc>
        <w:tc>
          <w:tcPr/>
          <w:p>
            <w:pPr>
              <w:pStyle w:val="Compact"/>
              <w:jc w:val="left"/>
            </w:pPr>
            <w:r>
              <w:t xml:space="preserve">1505</w:t>
            </w:r>
          </w:p>
        </w:tc>
        <w:tc>
          <w:tcPr/>
          <w:p>
            <w:pPr>
              <w:pStyle w:val="Compact"/>
              <w:jc w:val="left"/>
            </w:pPr>
            <w:r>
              <w:t xml:space="preserve">---</w:t>
            </w:r>
          </w:p>
        </w:tc>
      </w:tr>
      <w:tr>
        <w:tc>
          <w:tcPr/>
          <w:p>
            <w:pPr>
              <w:pStyle w:val="Compact"/>
              <w:jc w:val="left"/>
            </w:pPr>
            <w:r>
              <w:t xml:space="preserve">1523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1524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1739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1827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1836</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1842</w:t>
            </w:r>
          </w:p>
        </w:tc>
        <w:tc>
          <w:tcPr/>
          <w:p>
            <w:pPr>
              <w:pStyle w:val="Compact"/>
              <w:jc w:val="left"/>
            </w:pPr>
            <w:r>
              <w:t xml:space="preserve">---</w:t>
            </w:r>
          </w:p>
        </w:tc>
      </w:tr>
      <w:tr>
        <w:tc>
          <w:tcPr/>
          <w:p>
            <w:pPr>
              <w:pStyle w:val="Compact"/>
              <w:jc w:val="left"/>
            </w:pPr>
            <w:r>
              <w:t xml:space="preserve">1844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1852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1881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1890</w:t>
            </w:r>
          </w:p>
        </w:tc>
        <w:tc>
          <w:tcPr/>
          <w:p>
            <w:pPr>
              <w:pStyle w:val="Compact"/>
              <w:jc w:val="left"/>
            </w:pPr>
            <w:r>
              <w:t xml:space="preserve">1890</w:t>
            </w:r>
          </w:p>
        </w:tc>
      </w:tr>
      <w:tr>
        <w:tc>
          <w:tcPr/>
          <w:p>
            <w:pPr>
              <w:pStyle w:val="Compact"/>
              <w:jc w:val="left"/>
            </w:pPr>
            <w:r>
              <w:t xml:space="preserve">---</w:t>
            </w:r>
          </w:p>
        </w:tc>
        <w:tc>
          <w:tcPr/>
          <w:p>
            <w:pPr>
              <w:pStyle w:val="Compact"/>
              <w:jc w:val="left"/>
            </w:pPr>
            <w:r>
              <w:t xml:space="preserve">2138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2147</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2200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2374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2412</w:t>
            </w:r>
          </w:p>
        </w:tc>
        <w:tc>
          <w:tcPr/>
          <w:p>
            <w:pPr>
              <w:pStyle w:val="Compact"/>
              <w:jc w:val="left"/>
            </w:pPr>
            <w:r>
              <w:t xml:space="preserve">---</w:t>
            </w:r>
          </w:p>
        </w:tc>
        <w:tc>
          <w:tcPr/>
          <w:p>
            <w:pPr>
              <w:pStyle w:val="Compact"/>
              <w:jc w:val="left"/>
            </w:pPr>
            <w:r>
              <w:t xml:space="preserve">2412</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2423</w:t>
            </w:r>
          </w:p>
        </w:tc>
      </w:tr>
      <w:tr>
        <w:tc>
          <w:tcPr/>
          <w:p>
            <w:pPr>
              <w:pStyle w:val="Compact"/>
              <w:jc w:val="left"/>
            </w:pPr>
            <w:r>
              <w:t xml:space="preserve">---</w:t>
            </w:r>
          </w:p>
        </w:tc>
        <w:tc>
          <w:tcPr/>
          <w:p>
            <w:pPr>
              <w:pStyle w:val="Compact"/>
              <w:jc w:val="left"/>
            </w:pPr>
            <w:r>
              <w:t xml:space="preserve">2492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2544</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2652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2805</w:t>
            </w:r>
          </w:p>
        </w:tc>
      </w:tr>
    </w:tbl>
    <w:p>
      <w:pPr>
        <w:pStyle w:val="BodyText"/>
      </w:pPr>
      <w:r>
        <w:t xml:space="preserve">Podobnie jak w Liście Jakuba, między dwiema pierwszymi kolumnami nie ma pokrywania się,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uważam, wówczas sięga Oryginału — jakie inne rozsądne wyjaśnienie istnieje?</w:t>
      </w:r>
    </w:p>
    <w:bookmarkStart w:id="431" w:name="και-36-20"/>
    <w:p>
      <w:pPr>
        <w:pStyle w:val="Heading5"/>
      </w:pPr>
      <w:r>
        <w:rPr>
          <w:iCs/>
          <w:i/>
        </w:rPr>
        <w:t xml:space="preserve">και</w:t>
      </w:r>
      <w:r>
        <w:t xml:space="preserve"> </w:t>
      </w:r>
      <w:r>
        <w:t xml:space="preserve">3,6 (20%)</w:t>
      </w:r>
    </w:p>
    <w:p>
      <w:pPr>
        <w:pStyle w:val="FirstParagraph"/>
      </w:pPr>
      <w:r>
        <w:t xml:space="preserve">Spośród ośmiu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żaden nie jest bizantyjski. Rękopisy kursywne 1523 i 1524 prawdopodobnie łączą się jedno pokolenie wstecz, być może dwa pokolenia wstecz dołącza do nich 1844, być może trzy pokolenia wstecz dołącza do nich 254, te cztery manuskrypty redukują się więc do jednej linii przekazu. Jak sobie wyobrażam, w V wieku και jest poświadczone przez pięć niezależnych linii przekazu oprócz</w:t>
      </w:r>
      <w:r>
        <w:t xml:space="preserve"> </w:t>
      </w:r>
      <w:r>
        <w:rPr>
          <w:bCs/>
          <w:b/>
        </w:rPr>
        <w:t xml:space="preserve">f</w:t>
      </w:r>
      <w:r>
        <w:rPr>
          <w:vertAlign w:val="superscript"/>
          <w:bCs/>
          <w:b/>
        </w:rPr>
        <w:t xml:space="preserve">35</w:t>
      </w:r>
      <w:r>
        <w:t xml:space="preserve">. Ponieważ ich mozaiki/profile są bardzo odmienne, większość z nich prawdopodobnie sięga III wieku. Wariant ten jest z pewnością starożytny i niczego w ogóle nie zawdzięcza</w:t>
      </w:r>
      <w:r>
        <w:t xml:space="preserve"> </w:t>
      </w:r>
      <w:r>
        <w:rPr>
          <w:bCs/>
          <w:b/>
        </w:rPr>
        <w:t xml:space="preserve">K</w:t>
      </w:r>
      <w:r>
        <w:rPr>
          <w:vertAlign w:val="superscript"/>
          <w:bCs/>
          <w:b/>
        </w:rPr>
        <w:t xml:space="preserve">x</w:t>
      </w:r>
      <w:r>
        <w:t xml:space="preserve">. Uważam spójnik za emfatyczny i prawdopodobnie oryginalny. Porównując to z ιθυνοντος w Liście Jakuba (3,4 (21%)), nie ma pokrywania się z ośmioma manuskryptami spoza</w:t>
      </w:r>
      <w:r>
        <w:t xml:space="preserve"> </w:t>
      </w:r>
      <w:r>
        <w:rPr>
          <w:bCs/>
          <w:b/>
        </w:rPr>
        <w:t xml:space="preserve">f</w:t>
      </w:r>
      <w:r>
        <w:rPr>
          <w:vertAlign w:val="superscript"/>
          <w:bCs/>
          <w:b/>
        </w:rPr>
        <w:t xml:space="preserve">35</w:t>
      </w:r>
      <w:r>
        <w:t xml:space="preserve"> </w:t>
      </w:r>
      <w:r>
        <w:t xml:space="preserve">wymienionymi tam przez</w:t>
      </w:r>
      <w:r>
        <w:t xml:space="preserve"> </w:t>
      </w:r>
      <w:r>
        <w:rPr>
          <w:iCs/>
          <w:i/>
        </w:rPr>
        <w:t xml:space="preserve">ECM</w:t>
      </w:r>
      <w:r>
        <w:t xml:space="preserve">, między tymi dwoma odczytami mamy więc dziesięć niezależnych linii przekazu w V wieku, oprócz</w:t>
      </w:r>
      <w:r>
        <w:t xml:space="preserve"> </w:t>
      </w:r>
      <w:r>
        <w:rPr>
          <w:bCs/>
          <w:b/>
        </w:rPr>
        <w:t xml:space="preserve">f</w:t>
      </w:r>
      <w:r>
        <w:rPr>
          <w:vertAlign w:val="superscript"/>
          <w:bCs/>
          <w:b/>
        </w:rPr>
        <w:t xml:space="preserve">35</w:t>
      </w:r>
      <w:r>
        <w:t xml:space="preserve">.</w:t>
      </w:r>
    </w:p>
    <w:bookmarkEnd w:id="431"/>
    <w:bookmarkStart w:id="432" w:name="ο-θεος-ημιν-511-b-24"/>
    <w:p>
      <w:pPr>
        <w:pStyle w:val="Heading5"/>
      </w:pPr>
      <w:r>
        <w:rPr>
          <w:iCs/>
          <w:i/>
        </w:rPr>
        <w:t xml:space="preserve">ο Θεος ημιν</w:t>
      </w:r>
      <w:r>
        <w:t xml:space="preserve"> </w:t>
      </w:r>
      <w:r>
        <w:t xml:space="preserve">5,11 B (24%)</w:t>
      </w:r>
    </w:p>
    <w:p>
      <w:pPr>
        <w:pStyle w:val="FirstParagraph"/>
      </w:pPr>
      <w:r>
        <w:t xml:space="preserve">Spośród szesnastu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tylko jeden jest bizantyjski (69, dostateczny). Nie ma pokrywania się z ośmioma powyższymi. Kodeks B zapewnia jawne poświadczenie z IV wieku. 0296 jest fragmentem z VI wieku, zbyt małym, by go sklasyfikować. Rękopisy kursywne 630, 1292, 1611, 2138 i 2200 spotkają się do V wieku, reprezentują zatem jedną linię przekazu. Rękopisy kursywne 614 i 2412 tworzą parę. Jak sobie wyobrażam, w V wieku wariant ten jest poświadczony przez jedenaście niezależnych linii przekazu oprócz</w:t>
      </w:r>
      <w:r>
        <w:t xml:space="preserve"> </w:t>
      </w:r>
      <w:r>
        <w:rPr>
          <w:bCs/>
          <w:b/>
        </w:rPr>
        <w:t xml:space="preserve">f</w:t>
      </w:r>
      <w:r>
        <w:rPr>
          <w:vertAlign w:val="superscript"/>
          <w:bCs/>
          <w:b/>
        </w:rPr>
        <w:t xml:space="preserve">35</w:t>
      </w:r>
      <w:r>
        <w:t xml:space="preserve">. Ich profile są na tyle odmienne, że nie zdziwiłbym się, gdybym osiem z nich znalazł w III wieku. Odczyt ten jest z pewnością starożytny, niczego w ogóle nie zawdzięcza</w:t>
      </w:r>
      <w:r>
        <w:t xml:space="preserve"> </w:t>
      </w:r>
      <w:r>
        <w:rPr>
          <w:bCs/>
          <w:b/>
        </w:rPr>
        <w:t xml:space="preserve">K</w:t>
      </w:r>
      <w:r>
        <w:rPr>
          <w:vertAlign w:val="superscript"/>
          <w:bCs/>
          <w:b/>
        </w:rPr>
        <w:t xml:space="preserve">x</w:t>
      </w:r>
      <w:r>
        <w:t xml:space="preserve">, a moim zdaniem jest najprawdopodobniej oryginalny. Porównując to z δυναμενος w Liście Jakuba (3,2 (23%)), dzielą one trzy linie przekazu, lecz pozostaje trzynaście, które należy dodać do jedenastu tutaj — 11 + 13 = 24! Zachowane manuskrypty z pierwszych pięciu wieków absolutnie nie przedstawiają rzeczywistego stanu rzeczy w tamtym czasie.</w:t>
      </w:r>
    </w:p>
    <w:bookmarkEnd w:id="432"/>
    <w:bookmarkStart w:id="434" w:name="περιπατουμεν-16-29"/>
    <w:p>
      <w:pPr>
        <w:pStyle w:val="Heading5"/>
      </w:pPr>
      <w:r>
        <w:rPr>
          <w:iCs/>
          <w:i/>
        </w:rPr>
        <w:t xml:space="preserve">περιπατουμεν</w:t>
      </w:r>
      <w:r>
        <w:t xml:space="preserve"> </w:t>
      </w:r>
      <w:r>
        <w:t xml:space="preserve">1,6 (29%)</w:t>
      </w:r>
    </w:p>
    <w:p>
      <w:pPr>
        <w:pStyle w:val="FirstParagraph"/>
      </w:pPr>
      <w:r>
        <w:t xml:space="preserve">Spośród trzynastu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rękopisy kursywne 2147 i 2652 są bardzo bliskie, a do V wieku dołączy do nich 378. Wszystkie sześć manuskryptów bizantyjskich ma dość odmienne profile, wystarczająco odmienne, by w V wieku nadal reprezentowały sześć linii.</w:t>
      </w:r>
      <w:r>
        <w:rPr>
          <w:rStyle w:val="FootnoteReference"/>
        </w:rPr>
        <w:footnoteReference w:id="433"/>
      </w:r>
      <w:r>
        <w:t xml:space="preserve"> </w:t>
      </w:r>
      <w:r>
        <w:t xml:space="preserve">W V wieku wariant ten ma więc jedenaście niezależnych linii przekazu oprócz</w:t>
      </w:r>
      <w:r>
        <w:t xml:space="preserve"> </w:t>
      </w:r>
      <w:r>
        <w:rPr>
          <w:bCs/>
          <w:b/>
        </w:rPr>
        <w:t xml:space="preserve">f</w:t>
      </w:r>
      <w:r>
        <w:rPr>
          <w:vertAlign w:val="superscript"/>
          <w:bCs/>
          <w:b/>
        </w:rPr>
        <w:t xml:space="preserve">35</w:t>
      </w:r>
      <w:r>
        <w:t xml:space="preserve">, z których tylko jedna jest wspólna z drugą kolumną. Dla tych pierwszych trzech odczytów</w:t>
      </w:r>
      <w:r>
        <w:t xml:space="preserve"> </w:t>
      </w:r>
      <w:r>
        <w:rPr>
          <w:bCs/>
          <w:b/>
        </w:rPr>
        <w:t xml:space="preserve">f</w:t>
      </w:r>
      <w:r>
        <w:rPr>
          <w:vertAlign w:val="superscript"/>
          <w:bCs/>
          <w:b/>
        </w:rPr>
        <w:t xml:space="preserve">35</w:t>
      </w:r>
      <w:r>
        <w:t xml:space="preserve"> </w:t>
      </w:r>
      <w:r>
        <w:t xml:space="preserve">znajduje więc poparcie 26 niezależnych linii przekazu (5 + 11 + 10), sięgających, jak przypuszczam, V wieku, sama pozostając niezależna od nich wszystkich. W aparacie argumentowałem już na podstawie gramatyki i kontekstu, że περιπατουμεν jest poprawne, a zatem oryginalne — z pewnością jest starożytne. Jeśli każde słowo niezależnego typu tekstu jest starożytne, wynika z tego z konieczności, że sam typ tekstu jest starożytny.</w:t>
      </w:r>
    </w:p>
    <w:bookmarkEnd w:id="434"/>
    <w:bookmarkStart w:id="435" w:name="εν-324-ℵ-30"/>
    <w:p>
      <w:pPr>
        <w:pStyle w:val="Heading5"/>
      </w:pPr>
      <w:r>
        <w:t xml:space="preserve">---</w:t>
      </w:r>
      <w:r>
        <w:t xml:space="preserve"> </w:t>
      </w:r>
      <w:r>
        <w:rPr>
          <w:iCs/>
          <w:i/>
        </w:rPr>
        <w:t xml:space="preserve">εν</w:t>
      </w:r>
      <w:r>
        <w:t xml:space="preserve"> </w:t>
      </w:r>
      <w:r>
        <w:t xml:space="preserve">3,24 ℵ (30%)</w:t>
      </w:r>
    </w:p>
    <w:p>
      <w:pPr>
        <w:pStyle w:val="FirstParagraph"/>
      </w:pPr>
      <w:r>
        <w:t xml:space="preserve">Spośród dziesięciu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rękopisy kursywne 614 i 2412 reprezentują jedną linię. Rękopis kursywny 1836 zawiera tylko jedną trzecią całości, dlatego go pomijam. Kodeks ℵ zapewnia jawne poświadczenie z IV wieku. Spośród pięciu manuskryptów bizantyjskich 607 i 2423 reprezentują jedną linię. Pozostaje zatem siedem niezależnych linii przekazu w V wieku, poza</w:t>
      </w:r>
      <w:r>
        <w:t xml:space="preserve"> </w:t>
      </w:r>
      <w:r>
        <w:rPr>
          <w:bCs/>
          <w:b/>
        </w:rPr>
        <w:t xml:space="preserve">f</w:t>
      </w:r>
      <w:r>
        <w:rPr>
          <w:vertAlign w:val="superscript"/>
          <w:bCs/>
          <w:b/>
        </w:rPr>
        <w:t xml:space="preserve">35</w:t>
      </w:r>
      <w:r>
        <w:t xml:space="preserve">, z których trzy są wspólne z trzecią kolumną, a kolejna z drugą. Odczyt ten jest z pewnością starożytny, a moim zdaniem najprawdopodobniej oryginalny.</w:t>
      </w:r>
    </w:p>
    <w:bookmarkEnd w:id="435"/>
    <w:bookmarkEnd w:id="436"/>
    <w:bookmarkStart w:id="437" w:name="wniosek-5"/>
    <w:p>
      <w:pPr>
        <w:pStyle w:val="Heading4"/>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Pozwolę sobie powtórzyć kilka najważniejszych punktów:</w:t>
      </w:r>
    </w:p>
    <w:p>
      <w:pPr>
        <w:numPr>
          <w:ilvl w:val="0"/>
          <w:numId w:val="1076"/>
        </w:numPr>
      </w:pPr>
      <w:r>
        <w:rPr>
          <w:bCs/>
          <w:b/>
        </w:rPr>
        <w:t xml:space="preserve">f</w:t>
      </w:r>
      <w:r>
        <w:rPr>
          <w:vertAlign w:val="superscript"/>
          <w:bCs/>
          <w:b/>
        </w:rPr>
        <w:t xml:space="preserve">35</w:t>
      </w:r>
      <w:r>
        <w:t xml:space="preserve"> </w:t>
      </w:r>
      <w:r>
        <w:t xml:space="preserve">jest wczesna i niezależna — niezależna od wszystkich innych znanych linii przekazu,</w:t>
      </w:r>
    </w:p>
    <w:p>
      <w:pPr>
        <w:numPr>
          <w:ilvl w:val="0"/>
          <w:numId w:val="1076"/>
        </w:numPr>
      </w:pPr>
      <w:r>
        <w:t xml:space="preserve">jeśli jest niezależna od wszystkich innych linii przekazu, z konieczności musi sięgać Autografów,</w:t>
      </w:r>
    </w:p>
    <w:p>
      <w:pPr>
        <w:numPr>
          <w:ilvl w:val="0"/>
          <w:numId w:val="1076"/>
        </w:numPr>
      </w:pPr>
      <w:r>
        <w:t xml:space="preserve">jeśli każde słowo niezależnego typu tekstu jest starożytne, wynika z tego z konieczności, że sam typ tekstu jest starożytny,</w:t>
      </w:r>
    </w:p>
    <w:p>
      <w:pPr>
        <w:numPr>
          <w:ilvl w:val="0"/>
          <w:numId w:val="1076"/>
        </w:numPr>
      </w:pPr>
      <w:r>
        <w:t xml:space="preserve">zachowane manuskrypty z pierwszych pięciu wieków absolutnie nie przedstawiają rzeczywistego stanu rzeczy w tamtym czasie.</w:t>
      </w:r>
    </w:p>
    <w:bookmarkEnd w:id="437"/>
    <w:bookmarkEnd w:id="438"/>
    <w:bookmarkEnd w:id="439"/>
    <w:bookmarkStart w:id="497" w:name="X2b6affaa876eb90dffbc754ab591c18f31e3f92"/>
    <w:p>
      <w:pPr>
        <w:pStyle w:val="Heading2"/>
      </w:pPr>
      <w:r>
        <w:t xml:space="preserve">Podstawowa przyczyna ciągłego odchodzenia od biblijnej nieomylności i wynikającego z niej obiektywnego autorytetu</w:t>
      </w:r>
    </w:p>
    <w:p>
      <w:pPr>
        <w:pStyle w:val="FirstParagraph"/>
      </w:pPr>
      <w:r>
        <w:t xml:space="preserve">Ta część świata akademickiego, która zajmuje się Tekstem biblijnym, łącznie z tymi, którzy nazywają siebie „ewangelikalnymi”, jest zdominowana przez pogląd, że oryginalne sformułowania zaginęły, w tym sensie, że nikt nie wie na pewno, jakie są lub były (jeśli rzeczywiście kiedykolwiek istniały jako Autograf).</w:t>
      </w:r>
      <w:r>
        <w:rPr>
          <w:rStyle w:val="FootnoteReference"/>
        </w:rPr>
        <w:footnoteReference w:id="440"/>
      </w:r>
      <w:r>
        <w:t xml:space="preserve"> </w:t>
      </w:r>
      <w:r>
        <w:t xml:space="preserve">Pogląd ten leży u podstaw wszystkiego, czego naucza się w dziedzinie krytyki tekstu Nowego Testamentu w większości szkół. Próbując zrozumieć, skąd pochodzi ten pogląd, naszkicuję nieco istotnej historii.</w:t>
      </w:r>
    </w:p>
    <w:bookmarkStart w:id="454" w:name="nieco-istotnej-historii"/>
    <w:p>
      <w:pPr>
        <w:pStyle w:val="Heading3"/>
      </w:pPr>
      <w:r>
        <w:t xml:space="preserve">Nieco istotnej historii</w:t>
      </w:r>
    </w:p>
    <w:p>
      <w:pPr>
        <w:pStyle w:val="FirstParagraph"/>
      </w:pPr>
      <w:r>
        <w:t xml:space="preserve">Dyscyplina krytyki tekstu Nowego Testamentu, jaką znamy, jest zasadniczo „dzieckiem” Europy Zachodniej i jej kolonii, Wschodnie Kościoły Prawosławne na ogół nie były w nią zaangażowane. (Zawsze wiedziały, że prawdziwy Tekst Nowego Testamentu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samodzielnie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w:t>
      </w:r>
      <w:r>
        <w:rPr>
          <w:rStyle w:val="FootnoteReference"/>
        </w:rPr>
        <w:footnoteReference w:id="441"/>
      </w:r>
      <w:r>
        <w:t xml:space="preserve"> </w:t>
      </w:r>
      <w:r>
        <w:t xml:space="preserve">Krótko mówiąc, Kościół rzymski zmusił reformację do zmierzenia się ze zróżnicowaniem tekstowym wśród greckich manuskryptów. Reformatorzy nie wiedzieli jednak, jak się do tego zabrać, ponieważ była to nowa dziedzina badań i</w:t>
      </w:r>
      <w:r>
        <w:t xml:space="preserve"> </w:t>
      </w:r>
      <w:r>
        <w:rPr>
          <w:u w:val="single"/>
        </w:rPr>
        <w:t xml:space="preserve">po prostu nie posiadali wystarczającej części istotnych dowodów</w:t>
      </w:r>
      <w:r>
        <w:t xml:space="preserve">.</w:t>
      </w:r>
      <w:r>
        <w:rPr>
          <w:rStyle w:val="FootnoteReference"/>
        </w:rPr>
        <w:footnoteReference w:id="442"/>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Rozważmy List do Efezjan 2,2: „w których niegdyś chodziliście, według Eonu tego świata, władcy dziedziny powietrza, ducha, który teraz działa w synach nieposłuszeństwa”. Ściśle rzecz biorąc, Tekst ma: „według Eonu tego świata, według władcy dziedziny powietrza”,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w:t>
      </w:r>
      <w:r>
        <w:rPr>
          <w:rStyle w:val="FootnoteReference"/>
        </w:rPr>
        <w:footnoteReference w:id="443"/>
      </w:r>
      <w:r>
        <w:t xml:space="preserve"> </w:t>
      </w:r>
      <w:r>
        <w:t xml:space="preserve">„Synowie nieposłuszeństwa” przyłączyli się do ataku na Pismo. Tak zwana „wyższa krytyka” całkowicie zaprzeczyła boskiemu natchnieniu.</w:t>
      </w:r>
      <w:r>
        <w:rPr>
          <w:rStyle w:val="FootnoteReference"/>
        </w:rPr>
        <w:footnoteReference w:id="444"/>
      </w:r>
      <w:r>
        <w:t xml:space="preserve"> </w:t>
      </w:r>
      <w:r>
        <w:t xml:space="preserve">Inni wykorzystali zróżnicowanie tekstowe, by argumentować, że w każdym razie oryginalne sformułowania „zaginęły”, ponieważ nie istnieje żaden obiektywny sposób ustalenia, jakie mogły być (niestety w tamtym czasie nikt nie był w stanie dostrzec takiego sposobu).</w:t>
      </w:r>
    </w:p>
    <w:p>
      <w:pPr>
        <w:pStyle w:val="BodyText"/>
      </w:pPr>
      <w:r>
        <w:t xml:space="preserve">Ważnym czynnikiem było bezkrytyczne założenie, że „najstarsze znaczy najlepsze”, a w miarę odkrywania wcześniejszych uncjałów nabierało ono coraz większego znaczenia.</w:t>
      </w:r>
      <w:r>
        <w:rPr>
          <w:rStyle w:val="FootnoteReference"/>
        </w:rPr>
        <w:footnoteReference w:id="445"/>
      </w:r>
      <w:r>
        <w:t xml:space="preserve"> </w:t>
      </w:r>
      <w:r>
        <w:t xml:space="preserve">Zarówno Kodeks Watykański, jak i Kodeks Bezy były dostępne od dawna, a tylko w Ewangeliach występują między nimi tysiące rozbieżności (w Dziejach Apostolskich Beza jest niepohamowany niemal ponad wszelką wiarę).</w:t>
      </w:r>
      <w:r>
        <w:t xml:space="preserve"> </w:t>
      </w:r>
      <w:r>
        <w:rPr>
          <w:u w:val="single"/>
          <w:bCs/>
          <w:b/>
        </w:rPr>
        <w:t xml:space="preserve">Jeśli</w:t>
      </w:r>
      <w:r>
        <w:t xml:space="preserve"> </w:t>
      </w:r>
      <w:r>
        <w:t xml:space="preserve">„najstarsze znaczy najlepsze”, a najstarsze manuskrypty nieustannie i masowo nie zgadzają się między sobą, wówczas odzyskanie zaginionego tekstu staje się beznadziejne. Czy to do ciebie dotarło?</w:t>
      </w:r>
      <w:r>
        <w:t xml:space="preserve"> </w:t>
      </w:r>
      <w:r>
        <w:rPr>
          <w:bCs/>
          <w:b/>
        </w:rPr>
        <w:t xml:space="preserve">Beznadziejne, całkowicie beznadziejne</w:t>
      </w:r>
      <w:r>
        <w:t xml:space="preserve">! Argumentowałem jednak (i nadal to czynię), że „najstarsze znaczy najgorsze”, a to radykalnie zmienia obraz. 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(Gdyby zestawił wszystkie różnice, suma niewątpliwie wzrosłaby o kilkaset). Otóż prosta logika wymaga, by jeden albo drugi mylił się w tych ponad 3000 przypadkach, oba nie mogą mieć racji, zupełnie niezależnie od przypadków, w których oba się mylą.</w:t>
      </w:r>
      <w:r>
        <w:t xml:space="preserve"> </w:t>
      </w:r>
      <w:r>
        <w:rPr>
          <w:bCs/>
          <w:b/>
        </w:rPr>
        <w:t xml:space="preserve">Żadna ilość subiektywnych preferencji nie może przesłonić faktu, że obiektywnie rzecz biorąc, są to kiepskie kopie</w:t>
      </w:r>
      <w:r>
        <w:t xml:space="preserve">.</w:t>
      </w:r>
      <w:r>
        <w:rPr>
          <w:rStyle w:val="FootnoteReference"/>
        </w:rPr>
        <w:footnoteReference w:id="446"/>
      </w:r>
      <w:r>
        <w:t xml:space="preserve"> </w:t>
      </w:r>
      <w:r>
        <w:t xml:space="preserve">Były tak złe, że nikt nie mógł znieść ich używania, dlatego przetrwały fizycznie (nie miały jednak „dzieci”, ponieważ nikt nie chciał ich kopiować).</w:t>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w:t>
      </w:r>
      <w:r>
        <w:t xml:space="preserve"> </w:t>
      </w:r>
      <w:r>
        <w:rPr>
          <w:u w:val="single"/>
        </w:rPr>
        <w:t xml:space="preserve">i rozum. Jak dotąd wszystko dobrze, lecz wielu nie chciało Pisma, pozostał im więc tylko</w:t>
      </w:r>
      <w:r>
        <w:t xml:space="preserve"> </w:t>
      </w:r>
      <w:r>
        <w:t xml:space="preserve">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 Panujące przekonanie, że koine była złą greką, uprzedziło wielu do Nowego Testamentu.</w:t>
      </w:r>
    </w:p>
    <w:p>
      <w:pPr>
        <w:pStyle w:val="BodyText"/>
      </w:pPr>
      <w:r>
        <w:t xml:space="preserve">Wszystko to postawiło obrońców natchnionej greckiej Biblii w defensywie, przed bardzo realnym problemem ustalenia, gdzie najlepiej wyznaczyć możliwy do obrony obwód.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447"/>
      </w:r>
      <w:r>
        <w:t xml:space="preserve"> </w:t>
      </w:r>
      <w:r>
        <w:t xml:space="preserve">Powiedziałbym, że Boska Opatrzność istotnie działała, ponieważ TR jest dobrym Tekstem, znacznie lepszym od tekstu eklektycznego będącego obecnie w modzie.</w:t>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448"/>
      </w:r>
      <w:r>
        <w:t xml:space="preserve"> </w:t>
      </w:r>
      <w:r>
        <w:t xml:space="preserve">Jego teoria krytyki tekstu Nowego Testamentu, opublikowana w 1881 roku,</w:t>
      </w:r>
      <w:r>
        <w:rPr>
          <w:rStyle w:val="FootnoteReference"/>
        </w:rPr>
        <w:footnoteReference w:id="449"/>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450"/>
      </w:r>
    </w:p>
    <w:p>
      <w:pPr>
        <w:pStyle w:val="BodyText"/>
      </w:pPr>
      <w:r>
        <w:t xml:space="preserve">Jak jednak doszło do tego, że teoria Horta zdołała przejąć wydziały greki konserwatywnych szkół w Ameryce Północnej? Odpowiedź zaczyna się od natarcia liberalnej teologii na protestanckie kościoły tego kontynentu na początku XX wieku. Wielkim obrońcą boskiego natchnienia Pisma był prezbiterianin Benjamin B. Warfield. Jego obrona natchnienia jest tak dobra, że trudno ją ulepszyć. W którymś momencie postanowił jednak wyjechać na studia do Niemiec, jak sądzę, do Tybingi. Gdy wrócił, dziękował Bogu za wzbudzenie Westcotta i Horta, aby przywrócili tekst Nowego Testamentu (zastanów się nad konsekwencją słowa „przywrócili”). Jeden z jego studentów, baptysta Archibald T. Robertson, poszedł za Warfieldem. Prestiż tych dwóch ludzi był tak wielki, że ich pogląd ogarnął szkoły teologiczne kontynentu. Proszę czytelnika o cierpliwość, gdy spróbuję zdiagnozować, co przydarzyło się Warfieldowi w Tybindze.</w:t>
      </w:r>
    </w:p>
    <w:p>
      <w:pPr>
        <w:pStyle w:val="BodyText"/>
      </w:pPr>
      <w:r>
        <w:t xml:space="preserve">W Tybindze Warfield znalazł się wśród wrogów natchnionej Biblii. Był obrońcą boskiego natchnienia, lecz aby natchniony tekst miał dzisiaj obiektywny autorytet, musiał zostać zachowany.</w:t>
      </w:r>
      <w:r>
        <w:rPr>
          <w:rStyle w:val="FootnoteReference"/>
        </w:rPr>
        <w:footnoteReference w:id="451"/>
      </w:r>
      <w:r>
        <w:t xml:space="preserve"> </w:t>
      </w:r>
      <w:r>
        <w:t xml:space="preserve">Przy panującej wówczas niewiedzy o istotnych dowodach Warfield po prostu nie potrafił bronić zachowania na gruncie obiektywnym (nie potrafił też nikt inny — ma to decydujące znaczenie dla zrozumienia tego, co się stało). Stanął wobec faktu szerokiego zróżnicowania między zachowanymi greckimi manuskryptami. Jeszcze gorsze — o wiele gorsze — było założenie, że „najstarsze znaczy najlepsze”, ponieważ najstarsze manuskrypty są beznadziejnie skłócone między sobą. Na przykład dwa wielkie wczesne kodeksy, Watykański i Synajski, różnią się między sobą znacznie ponad 3000 razy tylko w czterech Ewangeliach. Otóż oba nie mogą mieć racji, jeden albo drugi</w:t>
      </w:r>
      <w:r>
        <w:t xml:space="preserve"> </w:t>
      </w:r>
      <w:r>
        <w:rPr>
          <w:bCs/>
          <w:b/>
        </w:rPr>
        <w:t xml:space="preserve">musi</w:t>
      </w:r>
      <w:r>
        <w:t xml:space="preserve"> </w:t>
      </w:r>
      <w:r>
        <w:t xml:space="preserve">się mylić, zupełnie niezależnie od miejsc, w których mylą się</w:t>
      </w:r>
      <w:r>
        <w:t xml:space="preserve"> </w:t>
      </w:r>
      <w:r>
        <w:rPr>
          <w:u w:val="single"/>
        </w:rPr>
        <w:t xml:space="preserve">oba</w:t>
      </w:r>
      <w:r>
        <w:t xml:space="preserve">. Co zatem biedny Warfield miał zrobić? Na scenę wchodzą Westcott i Hort. Hort twierdził, że wskutek ich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 twierdzenie było więc fałszywe).</w:t>
      </w:r>
      <w:r>
        <w:rPr>
          <w:rStyle w:val="FootnoteReference"/>
        </w:rPr>
        <w:footnoteReference w:id="452"/>
      </w:r>
      <w:r>
        <w:t xml:space="preserve"> </w:t>
      </w:r>
      <w:r>
        <w:t xml:space="preserve">Warfield uchwycił się tego jak tonący brzytwy, wyrządzając tym poważną szkodę północnoamerykańskiemu ewangelikalizmowi.</w:t>
      </w:r>
      <w:r>
        <w:rPr>
          <w:rStyle w:val="FootnoteReference"/>
        </w:rPr>
        <w:footnoteReference w:id="453"/>
      </w:r>
    </w:p>
    <w:bookmarkEnd w:id="454"/>
    <w:bookmarkStart w:id="462" w:name="dlaczego-odchodzenie-trwa-nieustannie"/>
    <w:p>
      <w:pPr>
        <w:pStyle w:val="Heading3"/>
      </w:pPr>
      <w:r>
        <w:t xml:space="preserve">Dlaczego odchodzenie trwa nieustannie</w:t>
      </w:r>
    </w:p>
    <w:p>
      <w:pPr>
        <w:pStyle w:val="FirstParagraph"/>
      </w:pPr>
      <w:r>
        <w:t xml:space="preserve">Aby zrozumieć pełny wpływ natarcia liberalnej teologii, trzeba uwzględnić środowisko. Rozum zawsze był ważny dla historycznych lub tradycyjnych denominacji protestanckich. W konsekwencji akademicka poważalność zawsze była ważna dla ich szkół podyplomowych teologii. Trudność tkwi w następującej okoliczności: od co najmniej dwóch stuleci światem akademickim włada Szatan, dlatego to on dyktuje warunki „poważalności”. Obejmują one „publikuj albo giń”, lecz oczywiście to on kontroluje czasopisma specjalistyczne. Ponieważ jest ojcem kłamstw (Ewangelia Jana 8,44), każdy, kto chciał powiedzieć całą prawdę, zawsze miał trudności z opublikowaniem artykułu, niezależnie od jego jakości. Aby artykuł został opublikowany, trzeba było trzymać się linii partyjnej. „Uwzględnianie istniejącej literatury” zmusza człowieka do marnowania mnóstwa czasu na czytanie nonsensów wytworzonych przez sługi Szatana, a wszystko to miało odciągnąć czytelnika od prawdy.</w:t>
      </w:r>
    </w:p>
    <w:p>
      <w:pPr>
        <w:pStyle w:val="BodyText"/>
      </w:pPr>
      <w:r>
        <w:t xml:space="preserve">PRAWDA — otóż to jest sedno. Rozważmy 2 List do Tesaloniczan 2,9-12: „Przyjście</w:t>
      </w:r>
      <w:r>
        <w:t xml:space="preserve"> </w:t>
      </w:r>
      <w:r>
        <w:rPr>
          <w:iCs/>
          <w:i/>
        </w:rPr>
        <w:t xml:space="preserve">niegodziwca</w:t>
      </w:r>
      <w:r>
        <w:t xml:space="preserve"> </w:t>
      </w:r>
      <w:r>
        <w:t xml:space="preserve">jest według działania Szatana, z wszelką mocą, znakami i kłamliwymi cudami, 10 i z wszelkim zwodzeniem nieprawości wśród tych, którzy giną, ponieważ nie przyjęli miłości prawdy, aby zostali zbawieni. 11 I dlatego Bóg pośle im silne zwiedzenie, aby uwierzyli kłamstwu, 12 żeby zostali osądzeni wszyscy, którzy nie uwierzyli prawdzie, lecz upodobali sobie nieprawość” (NKJV). Chociaż werset dziesiąty występuje w kontekście działalności Antychrysta, który znajdzie łatwy cel w „tych, którzy sami siebie wyniszczają” (mój przekład), nie wynika z tego, że nikt nie będzie wyniszczał samego siebie przed tą działalnością. Ludzie oczywiście wyniszczali samych siebie w całej historii, a podstawowa przyczyna tego „wyniszczania” nigdy się nie zmieniła — „nie przyjęli miłości prawdy”. (Zaczęło się w Ogrodzie).</w:t>
      </w:r>
    </w:p>
    <w:p>
      <w:pPr>
        <w:pStyle w:val="BodyText"/>
      </w:pPr>
      <w:r>
        <w:t xml:space="preserve">Proszę uważnie zauważyć, co jest tutaj powiedziane: to sam Bóg posyła silne zwiedzenie! A na kogo je posyła? Na tych, którzy nie przyjmują miłości prawdy.</w:t>
      </w:r>
      <w:r>
        <w:rPr>
          <w:rStyle w:val="FootnoteReference"/>
        </w:rPr>
        <w:footnoteReference w:id="455"/>
      </w:r>
      <w:r>
        <w:t xml:space="preserve"> </w:t>
      </w:r>
      <w:r>
        <w:t xml:space="preserve">Jaki jest cel silnego zwiedzenia? — potępienie tych, którzy nie wierzą prawdzie. Ojej, to jest ciężkie. Zauważ, że prawda ma</w:t>
      </w:r>
      <w:r>
        <w:t xml:space="preserve"> </w:t>
      </w:r>
      <w:r>
        <w:rPr>
          <w:bCs/>
          <w:b/>
        </w:rPr>
        <w:t xml:space="preserve">centralne</w:t>
      </w:r>
      <w:r>
        <w:t xml:space="preserve"> </w:t>
      </w:r>
      <w:r>
        <w:t xml:space="preserve">znaczenie dla zbawienia każdego człowieka. Rodzi to konieczne pytanie: co właściwie znaczy „prawda”? W Ewangelii Jana 14,6 Władca Jezus oświadczył, że sam jest „prawdą”. Modląc się do Ojca w Ewangelii Jana 17,17, powiedział: „Twoje Słowo jest prawdą”. Po jednym razie w rozdziałach 14, 15 i 16 Ewangelii Jana odniósł się do trzeciej osoby Trójcy jako „Ducha prawdy”. Ponieważ Syn wrócił do Nieba, na prawicę Ojca, Duch zaś przez większość czasu nie jest dla większości z nas zbyt dostrzegalny, a Słowo jest mieczem Ducha (List do Efezjan 6,17), nasz główny dostęp do „prawdy” prowadzi przez Słowo Boga, Biblię. Biblia przedstawia prawdę zdaniową, lecz potrzebujemy Ducha Świętego, by tę prawdę oświecił, a żeby mieć Ducha Świętego, musimy pozostawać we właściwej relacji z Władcą Jezusem.</w:t>
      </w:r>
    </w:p>
    <w:p>
      <w:pPr>
        <w:pStyle w:val="BodyText"/>
      </w:pPr>
      <w:r>
        <w:t xml:space="preserve">Otóż aby coś mogło zostać przyjęte, musi być zaoferowane, człowiek nie może uwierzyć w coś, o czym nigdy nie słyszał (List do Rzymian 10,14). Użycie czasownika „przyjąć” wyraźnie implikuje akt woli ze strony tych, którzy nie przyjmują prawdy, miłość ta została im zaoferowana lub udostępniona, lecz jej nie chcieli, chcieli móc kłamać i przyjmować kłamstwa opowiadane przez innych. Konsekwencje takiego wyboru są jednak straszne, odwrócili się plecami do zbawienia. Podejrzewam, że niewielu chrześcijan w tak zwanym „pierwszym świecie” naprawdę wierzy temu, co Władca Jezus powiedział w Ewangelii Mateusza 7,14: tych, którzy znajdują drogę Życia, jest</w:t>
      </w:r>
      <w:r>
        <w:t xml:space="preserve"> </w:t>
      </w:r>
      <w:r>
        <w:rPr>
          <w:bCs/>
          <w:b/>
        </w:rPr>
        <w:t xml:space="preserve">niewielu</w:t>
      </w:r>
      <w:r>
        <w:t xml:space="preserve">! Nie zapominaj też o Objawieniu Jana 22,15, „każdy, kto miłuje i czyni kłamstwo”, jest wykluczony z niebiańskiego Miasta (każde kłamstwo, łącznie z kłamstwem Horta).</w:t>
      </w:r>
      <w:r>
        <w:rPr>
          <w:rStyle w:val="FootnoteReference"/>
        </w:rPr>
        <w:footnoteReference w:id="456"/>
      </w:r>
      <w:r>
        <w:t xml:space="preserve"> </w:t>
      </w:r>
      <w:r>
        <w:t xml:space="preserve">Rozważę teraz konsekwencje dla studenta rozpoczynającego studia podyplomowe z teologii ze względu na to, co się dzieje, gdy sam zostaje później profesorem albo badaczem Nowego Testamentu.</w:t>
      </w:r>
      <w:r>
        <w:rPr>
          <w:rStyle w:val="FootnoteReference"/>
        </w:rPr>
        <w:footnoteReference w:id="457"/>
      </w:r>
    </w:p>
    <w:p>
      <w:pPr>
        <w:pStyle w:val="BodyText"/>
      </w:pPr>
      <w:r>
        <w:t xml:space="preserve">Większość takich studentów przypuszczalnie pochodzi ze środowiska ewangelikalnego i niewątpliwie uczono ich, że Biblia jest Słowem Boga, a zatem jest natchniona. Niektórzy mogli być nawet nauczani o natchnieniu werbalnym i pełnym. Jednak w większości szkół teologicznych nie możesz otrzymać posady nauczyciela, jeśli nie zgodzisz się używać eklektycznego tekstu greckiego wraz ze wszystkim, co to za sobą pociąga. (Podobnie nie możesz otrzymać posady nauczyciela na większości uniwersytetów, jeśli przynajmniej nie udajesz, że wierzysz w ewolucję). Jeśli szkoła jest przynajmniej nominalnie konserwatywna, nadal będzie mówić, że Biblia jest natchniona. Jeśli jednak student poruszy na zajęciach kwestię zachowania tekstu, zapadnie niezręczna cisza. Jeśli został zachowany, nikt nie wie, czym lub gdzie jest. Pranie mózgu było tak zupełne, że wielu (większość?) absolwentów seminariów nawet nie wie, że istnieje jakiekolwiek pytanie dotyczące tego, czego ich nauczono. Nauczono ich eklektyzmu opartego na teorii Horta i dla nich nic poza tym nie istnieje.</w:t>
      </w:r>
    </w:p>
    <w:p>
      <w:pPr>
        <w:pStyle w:val="BodyText"/>
      </w:pPr>
      <w:r>
        <w:t xml:space="preserve">Wracając jednak do naszego studenta, znajduje się on w otoczeniu profesorów, których zadaniem jest zniszczenie jego wiary w natchnioną Biblię mającą obiektywny autorytet. Oczywiście przypuszczalnie bardzo niewielu takich profesorów kiedykolwiek myślało w tych kategoriach (sprzeciwiliby się więc mojemu stwierdzeniu). Powiedzieliby, że po prostu wykonują swoją pracę, robią to, za co im płacą, nie zaprzątając sobie głowy przyczynami i szczegółami.</w:t>
      </w:r>
      <w:r>
        <w:rPr>
          <w:rStyle w:val="FootnoteReference"/>
        </w:rPr>
        <w:footnoteReference w:id="458"/>
      </w:r>
      <w:r>
        <w:t xml:space="preserve"> </w:t>
      </w:r>
      <w:r>
        <w:t xml:space="preserve">Student jednak oczywiście się tego nie spodziewa, wierzy, że jego profesorowie muszą być ludźmi Bożymi, dlatego jest predysponowany, by im wierzyć. Poza tą predyspozycją (a jest ona potężna), jakimi narzędziami dysponują, by wykonywać swoją pracę? Otóż mają na początek ośmieszanie, sarkazm, pranie mózgu, presję rówieśniczą, fortel „nowych szat cesarza” i szatańską pomoc. (Mogą również występować groźby, niedostateczne oceny, działania dyscyplinarne, nieczysta gra i tak dalej — piszę z doświadczenia). Większość powyższych terminów nie wymaga wyjaśnienia, lecz niektórzy czytelnicy mogą nie znać dawnej baśni o cesarzu, sprowadza się ona do tego: nie chcesz przyznać, że tego nie „widzisz”, gdy wszyscy pozostali twierdzą, że widzą. Zdecydowanie najpoważniejsza jest jednak „szatańska pomoc” i tutaj muszę przejść do szczegółów.</w:t>
      </w:r>
    </w:p>
    <w:p>
      <w:pPr>
        <w:pStyle w:val="BodyText"/>
      </w:pPr>
      <w:r>
        <w:t xml:space="preserve">Wracając do 2 Listu do Tesaloniczan 2,10 i „miłości prawdy”, jak wyjaśniono wyżej, nasz główny dostęp do „prawdy” prowadzi przez Słowo Boga, Biblię. Nasz student mógł chodzić do szkółki niedzielnej, prawdopodobnie słyszał kazania zawierające przynajmniej pewne treści biblijne i z pewnością ma własny egzemplarz Biblii. Krótko mówiąc, miał i nadal ma dostęp do „prawdy”. Duch Święty jednak „mówi” do nas, jeśli tylko zechcemy słuchać. Na przykład mój ojciec urodził się w 1906 roku, a w stosownym czasie uczęszczał do Moody Bible Institute i Wheaton College. W tamtych czasach American Standard Version (ASV) zachwalano jako najlepszą rzecz od czasów Ogrodu Eden, była „skałą biblijnej rzetelności” itd., itd. Mój ojciec miał zwyczaj czytania całej Biblii raz w roku, który zachował przez całe życie. Z powodu rozgłosu wokół ASV zdobył egzemplarz i zaczął go czytać. Od początku szło mu ciężko i wkrótce musiał przestać — Duch Święty po prostu nie pozwolił mu kontynuować. Wrócił do swojego niezawodnego AV.</w:t>
      </w:r>
    </w:p>
    <w:p>
      <w:pPr>
        <w:pStyle w:val="BodyText"/>
      </w:pPr>
      <w:r>
        <w:t xml:space="preserve">Wyobrażam sobie, że przynajmniej niektórzy z moich czytelników będą w tym miejscu mieli pytanie. Czy sugeruję, że każdy, kto przyjął ASV, nie słuchał Ducha Świętego, gdy podejmował tę decyzję? Odpowiedź brzmi: „Tak”. To samo odnosi się oczywiście do teorii Horta itd. Niestety niewielu studentów teologii ma zwyczaj zasięgania rady Ducha Świętego, a ci, którzy to czynią, zostają przeznaczeni do prześladowania. Żaden establishment nie może tolerować człowieka, który słucha Ducha Świętego. Z pewnością, czy zapomniałeś o Ewangelii Jana 3,8? „Wiatr wieje, dokąd chce, i słyszysz jego szum, lecz nie wiesz, skąd przychodzi i dokąd idzie. Tak jest z każdym, kto został zrodzony z Ducha”. Zauważ, że Pan mówi tutaj, iż to</w:t>
      </w:r>
      <w:r>
        <w:t xml:space="preserve"> </w:t>
      </w:r>
      <w:r>
        <w:rPr>
          <w:bCs/>
          <w:b/>
        </w:rPr>
        <w:t xml:space="preserve">my</w:t>
      </w:r>
      <w:r>
        <w:t xml:space="preserve"> </w:t>
      </w:r>
      <w:r>
        <w:t xml:space="preserve">mamy być nieprzewidywalni, jak wiatr lub Duch („przychodzi” i „idzie” są w czasie teraźniejszym). Jeśli naprawdę jesteś pod kontrolą Ducha, będziesz robił nieoczekiwane rzeczy, tak jak On.</w:t>
      </w:r>
      <w:r>
        <w:rPr>
          <w:rStyle w:val="FootnoteReference"/>
        </w:rPr>
        <w:footnoteReference w:id="459"/>
      </w:r>
      <w:r>
        <w:t xml:space="preserve"> </w:t>
      </w:r>
      <w:r>
        <w:t xml:space="preserve">Establishment jest definiowany przez swój „kaftan bezpieczeństwa”, a Duch Święty nie lubi kaftanów bezpieczeństwa i vice versa.</w:t>
      </w:r>
    </w:p>
    <w:p>
      <w:pPr>
        <w:pStyle w:val="BodyText"/>
      </w:pPr>
      <w:r>
        <w:t xml:space="preserve">W Ewangelii Jana 8,44 Władca Jezus oświadczył, że w Szatanie „nie ma prawdy” i że jest on ojcem kłamstwa. Ponieważ Bóg nie może kłamać, List do Tytusa 1,2, jako że jest to sprzeczne z Jego istotą, wszelkie kłamstwa pochodzą od wroga. Co się zatem dzieje, gdy przyjmujesz kłamstwo? Zapraszasz Szatana do swojego umysłu. A co on tam robi? Buduje warownię, która więzi cię w tym kłamstwie, stajesz się ślepy na prawdę w tej sprawie.</w:t>
      </w:r>
      <w:r>
        <w:rPr>
          <w:rStyle w:val="FootnoteReference"/>
        </w:rPr>
        <w:footnoteReference w:id="460"/>
      </w:r>
      <w:r>
        <w:t xml:space="preserve"> </w:t>
      </w:r>
      <w:r>
        <w:t xml:space="preserve">Jest to szczególne zastosowanie prawdy wyrażonej w 2 Liście do Koryntian 4,4 — Szatan zaślepia umysły. Co się zatem dzieje z naszym studentem? Z bardzo nielicznymi wyjątkami ulega naciskowi wywieranemu przez wspomniane już narzędzia. Przyjmuje linię partyjną, a ponieważ jest ona kłamstwem, Szatan zabiera się do zaślepiania go na prawdę. Jeśli zostanie później wpływowym uczonym, niemal na pewno znajdzie się pod demonicznym nadzorem (ponieważ Szatan nie jest wszechobecny).</w:t>
      </w:r>
    </w:p>
    <w:p>
      <w:pPr>
        <w:pStyle w:val="BodyText"/>
      </w:pPr>
      <w:r>
        <w:t xml:space="preserve">W tym miejscu ludziom podcina nogi pewne powszechne błędne przekonanie. Skoro w każdej prawdziwie odrodzonej osobie mieszka Duch Święty, jak Szatan albo demon może znajdować się w umyśle tej osoby? Istnieje fundamentalna różnica między obecnością a kontrolą. Bardzo niewielu chrześcijan świadomie oddało pod kontrolę Ducha Świętego każdą dziedzinę swojego życia. Duch Święty jest dżentelmenem, nie przejmie żadnej dziedziny wbrew twojej woli (zob. Ewangelia Jana 4,23-24). Każda dziedzina niepozostająca pod kontrolą Ducha jest otwarta na ingerencję wroga, zwłaszcza jeśli przyjmujesz kłamstwo. Przyjmując kłamstwo, zasmucasz Ducha Świętego, co nie jest mądre (List do Efezjan 4,30). Również Mu się sprzeciwiasz, co także nie jest mądre (Dzieje Apostolskie 7,51). Dlaczego więc Bóg cię nie chroni? Ponieważ odrzuciłeś miłość prawdy, a to zwróciło Boga przeciwko tobie! Jakie masz szanse, gdy Bóg zwraca się przeciwko tobie? Bez ochrony Boga stajesz się łupem Szatana (1 List Piotra 5,8).</w:t>
      </w:r>
      <w:r>
        <w:rPr>
          <w:rStyle w:val="FootnoteReference"/>
        </w:rPr>
        <w:footnoteReference w:id="461"/>
      </w:r>
    </w:p>
    <w:p>
      <w:pPr>
        <w:pStyle w:val="BodyText"/>
      </w:pP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p>
      <w:pPr>
        <w:pStyle w:val="BodyText"/>
      </w:pPr>
      <w:r>
        <w:t xml:space="preserve">Sprzedawanie kłamstwa trwa z pokolenia na pokolenie, czego skutkiem jest ciągłe odchodzenie.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w:t>
      </w:r>
    </w:p>
    <w:bookmarkEnd w:id="462"/>
    <w:bookmarkStart w:id="486" w:name="X5a36d414664065b3342360b800915351414fe8b"/>
    <w:p>
      <w:pPr>
        <w:pStyle w:val="Heading3"/>
      </w:pPr>
      <w:r>
        <w:t xml:space="preserve">Czy istnieje sposób, by powstrzymać odchodzenie?</w:t>
      </w:r>
    </w:p>
    <w:p>
      <w:pPr>
        <w:pStyle w:val="FirstParagraph"/>
      </w:pPr>
      <w:r>
        <w:t xml:space="preserve">Uważam, że istnieje i musi się zaczynać od PRAWDY. Mówiąc dokładniej, musi zaczynać się od miłości prawdy, co wymaga, by prawda została udostępniona. Musimy krzewić miłość prawdy, a żeby to czynić, musimy również potępiać kłamstwo.</w:t>
      </w:r>
      <w:r>
        <w:rPr>
          <w:rStyle w:val="FootnoteReference"/>
        </w:rPr>
        <w:footnoteReference w:id="463"/>
      </w:r>
      <w:r>
        <w:t xml:space="preserve"> </w:t>
      </w:r>
      <w:r>
        <w:t xml:space="preserve">Aby coś krzewić, potrzebujemy służących temu środków. Aby odnieść sukces, musimy być przekonujący. Co najważniejsze, musimy coś zrobić z ingerencją w umysły ludzi.</w:t>
      </w:r>
    </w:p>
    <w:bookmarkStart w:id="465" w:name="środki-krzewienia-prawdy"/>
    <w:p>
      <w:pPr>
        <w:pStyle w:val="Heading4"/>
      </w:pPr>
      <w:r>
        <w:rPr>
          <w:iCs/>
          <w:i/>
        </w:rPr>
        <w:t xml:space="preserve">Środki krzewienia prawdy</w:t>
      </w:r>
    </w:p>
    <w:p>
      <w:pPr>
        <w:pStyle w:val="FirstParagraph"/>
      </w:pPr>
      <w:r>
        <w:t xml:space="preserve">Z pomocą przychodzi nam tutaj współczesna technologia. Blogi służą do promowania wszystkiego i czegokolwiek. Możemy wykorzystać je do krzewienia prawdy. Przygotowałem piętnastogodzinną serię wykładów (po portugalsku) o boskim zachowaniu Tekstu Nowego Testamentu. Została sfilmowana i jest dostępna w Internecie za pośrednictwem bloga. Wykorzystuje się strony internetowe.</w:t>
      </w:r>
      <w:r>
        <w:t xml:space="preserve"> </w:t>
      </w:r>
      <w:r>
        <w:rPr>
          <w:u w:val="single"/>
        </w:rPr>
        <w:t xml:space="preserve">Większość mojej twórczości jest dostępna na www.walkjustashewalked.com, a jeszcze więcej na mojej własnej stronie www.prunch.org. Istnieją też Twitter, Facebook i tak dalej — faktem</w:t>
      </w:r>
      <w:r>
        <w:t xml:space="preserve"> </w:t>
      </w:r>
      <w:r>
        <w:t xml:space="preserve">jest, że czasopisma specjalistyczne nie trzymają już żadnej dyscypliny żelaznym uściskiem, istnieją inne sposoby „publikowania” swoich idei. Zawsze istniało też przekazywanie z ust do ust, ludzie opowiadali swoim przyjaciołom i znajomym. Podejrzewam, że wkrótce możemy zobaczyć narastającą falę tego rodzaju działań.</w:t>
      </w:r>
    </w:p>
    <w:p>
      <w:pPr>
        <w:pStyle w:val="BodyText"/>
      </w:pPr>
      <w:r>
        <w:t xml:space="preserve">Pojawienie się samodzielnego publikowania stanowi prawdziwe dobrodziejstwo dla tych z nas, którzy odrzucają linię partyjną i nie mają środków finansowych, by skorzystać z uznanego wydawnictwa. Z różnych powodów korzystanie z wydawcy staje się coraz trudniejsze. Umowy przerzucają cały ciężar na autora (łącznie z kosztami procesów sądowych). Trzeba z góry pokryć koszt kilku tysięcy egzemplarzy, a nawet wtedy książka ukaże się tylko wtedy, gdy wydawca uzna, że może na niej zarobić, nie wspominając o „akceptowalnej” treści (wydawcy nie są instytucjami charytatywnymi). Tych z nas, którzy nie mają pieniędzy, ratuje pojawienie się „druku na żądanie”, egzemplarze produkuje się dopiero po ich zamówieniu. Ponieważ wszystko robi maszyna, można zamówić jeden egzemplarz po aktualnej cenie i go otrzymać.</w:t>
      </w:r>
    </w:p>
    <w:p>
      <w:pPr>
        <w:pStyle w:val="BodyText"/>
      </w:pPr>
      <w:r>
        <w:t xml:space="preserve">Pozwolę sobie przytoczyć własne doświadczenie. Moją pierwszą książkę,</w:t>
      </w:r>
      <w:r>
        <w:t xml:space="preserve"> </w:t>
      </w:r>
      <w:r>
        <w:rPr>
          <w:iCs/>
          <w:i/>
        </w:rPr>
        <w:t xml:space="preserve">The Identity of the New Testament Text</w:t>
      </w:r>
      <w:r>
        <w:t xml:space="preserve">, opublikowało w 1977 roku Thomas Nelson Publishers. Za każdym razem, gdy wydawca chciał przygotować kolejny nakład, łaskawie pozwalał mi dokonać pewnych poprawek. Jego ostatni (czwarty?) nakład ukazał się w 1990 roku, utrzymywał zatem książkę w druku przez co najmniej piętnaście lat, za co składam mu szczere podziękowania.</w:t>
      </w:r>
      <w:r>
        <w:rPr>
          <w:rStyle w:val="FootnoteReference"/>
        </w:rPr>
        <w:footnoteReference w:id="464"/>
      </w:r>
      <w:r>
        <w:t xml:space="preserve"> </w:t>
      </w:r>
      <w:r>
        <w:t xml:space="preserve">Od kilku lat była wyczerpana, gdy Wipf and Stock Publishers poprosiło o zgodę na opublikowanie jej jako akademickiego reprintu. Zrewidowane wydanie ukazało się więc w 2003 roku jako</w:t>
      </w:r>
      <w:r>
        <w:t xml:space="preserve"> </w:t>
      </w:r>
      <w:r>
        <w:rPr>
          <w:iCs/>
          <w:i/>
        </w:rPr>
        <w:t xml:space="preserve">The Identity of the New Testament Text II</w:t>
      </w:r>
      <w:r>
        <w:t xml:space="preserve">. Wipf &amp; Stock opublikowało również</w:t>
      </w:r>
      <w:r>
        <w:t xml:space="preserve"> </w:t>
      </w:r>
      <w:r>
        <w:rPr>
          <w:iCs/>
          <w:i/>
        </w:rPr>
        <w:t xml:space="preserve">Identity III</w:t>
      </w:r>
      <w:r>
        <w:t xml:space="preserve"> </w:t>
      </w:r>
      <w:r>
        <w:t xml:space="preserve">w 2012 roku. To właśnie w tym okresie dostroiłem się do Rodziny 35, dlatego</w:t>
      </w:r>
      <w:r>
        <w:t xml:space="preserve"> </w:t>
      </w:r>
      <w:r>
        <w:rPr>
          <w:iCs/>
          <w:i/>
        </w:rPr>
        <w:t xml:space="preserve">Identity III</w:t>
      </w:r>
      <w:r>
        <w:t xml:space="preserve"> </w:t>
      </w:r>
      <w:r>
        <w:t xml:space="preserve">było pierwszym wydaniem, które przedstawiło tę rodzinę i jej broniło. Obecne</w:t>
      </w:r>
      <w:r>
        <w:t xml:space="preserve"> </w:t>
      </w:r>
      <w:r>
        <w:rPr>
          <w:iCs/>
          <w:i/>
        </w:rPr>
        <w:t xml:space="preserve">Identity IV</w:t>
      </w:r>
      <w:r>
        <w:t xml:space="preserve">, ponownie gruntownie zrewidowane, opublikowałem samodzielnie za pośrednictwem Amazon. Moje inne książki również są tam dostępne — jakie uznane wydawnictwo przyjęłoby</w:t>
      </w:r>
      <w:r>
        <w:t xml:space="preserve"> </w:t>
      </w:r>
      <w:r>
        <w:rPr>
          <w:iCs/>
          <w:i/>
        </w:rPr>
        <w:t xml:space="preserve">The Greek New Testament According to Family 35</w:t>
      </w:r>
      <w:r>
        <w:t xml:space="preserve">?</w:t>
      </w:r>
    </w:p>
    <w:p>
      <w:pPr>
        <w:pStyle w:val="BodyText"/>
      </w:pPr>
      <w:r>
        <w:t xml:space="preserve">Samodzielne publikowanie pozwala również udostępnić książkę w formie elektronicznej, tak jak uczyniłem z moimi. Dzięki temu ludzie mogą pobrać je na swoje notebooki czy inne urządzenia i nie muszą nosić ze sobą książki (lub kilku). Nabiera to coraz większego znaczenia, ponieważ coraz więcej ludzi dołącza do kultury smartfonów. Mimo to nie powinniśmy jednak pogardzać dobrym, starym egzemplarzem papierowym, w przypadku poważnych studiów wielu nadal woli książkę (można w niej robić notatki). Krótko mówiąc, powinniśmy korzystać z obu form, elektronicznej i drukowanej.</w:t>
      </w:r>
    </w:p>
    <w:p>
      <w:pPr>
        <w:pStyle w:val="BodyText"/>
      </w:pPr>
      <w:r>
        <w:t xml:space="preserve">Zwłaszcza w kulturach, w których ważniejsze jest „kogo znasz” niż „co wiesz”, lecz także w innych, powinniśmy promować środek „społeczny”, dzielenie się z przyjaciółmi i znajomymi. Możemy zapraszać ludzi na filiżankę kawy (lub herbaty), rozpowszechniać wieść wszędzie tam, gdzie mamy kontakty.</w:t>
      </w:r>
    </w:p>
    <w:bookmarkEnd w:id="465"/>
    <w:bookmarkStart w:id="470" w:name="przekonujące-przedstawienie"/>
    <w:p>
      <w:pPr>
        <w:pStyle w:val="Heading4"/>
      </w:pPr>
      <w:r>
        <w:rPr>
          <w:iCs/>
          <w:i/>
        </w:rPr>
        <w:t xml:space="preserve">Przekonujące przedstawienie</w:t>
      </w:r>
    </w:p>
    <w:p>
      <w:pPr>
        <w:pStyle w:val="FirstParagraph"/>
      </w:pPr>
      <w:r>
        <w:t xml:space="preserve">Jaki jest najlepszy sposób ochrony lwa w klatce? Po prostu otwórz klatkę! Jaki jest najlepszy sposób krzewienia Prawdy? Po prostu wypuść ją na wolność! Jak Władca Jezus powiedział w Ewangelii Jana 8,31-32: „Jeśli wytrwacie w moim słowie, prawdziwie jesteście moimi uczniami. I poznacie prawdę, a prawda uczyni was wolnymi” (NKJV). Od czego prawda uczyni nas wolnymi? W bezpośrednim kontekście (werset 34) od grzechu, lecz w odniesieniu do omawianego tematu może uwolnić nas od zaślepiania przez Szatana i od jego kłamstw. Słowo jest mieczem Ducha, a miecz tnie niezależnie od tego, czy ktoś w to wierzy. Skoro to zostało powiedziane, co jednak możemy zrobić, aby ludzie nas słuchali?</w:t>
      </w:r>
    </w:p>
    <w:p>
      <w:pPr>
        <w:pStyle w:val="BodyText"/>
      </w:pPr>
      <w:r>
        <w:t xml:space="preserve">Należy unikać napuszonych przemów i tyrad. Mogą przemawiać do emocji tych, którzy już są po naszej stronie, lecz wywrą negatywny wpływ na tych, do których próbujemy dotrzeć. Prawdzie najlepiej służą fakty, dowody. Dowody zaś należy przedstawiać wprost, bez nadmiernego odwoływania się do emocji. Emocje trzeba jednak odróżnić od założeń wstępnych (a także od zasad rozumnej debaty). Nie można pracować bez założeń wstępnych, każdy je ma. Wynika z tego, że jeśli ktoś krytykuje mnie za posiadanie założeń wstępnych, udając jednocześnie, że sam ich nie ma, zachowuje się nieuczciwie i przewrotnie (albo być może ma tylko wyprany mózg i jest zaślepiony).</w:t>
      </w:r>
    </w:p>
    <w:p>
      <w:pPr>
        <w:pStyle w:val="BodyText"/>
      </w:pPr>
      <w:r>
        <w:t xml:space="preserve">Od czasów Burgona, który uczciwie i otwarcie przedstawiał swoje założenia wstępne (jak powinien czynić każdy prawdziwy uczony), trwa nieustanny i uporczywy atak na te założenia, a nawet na samo ich przedstawianie. Wytworzono psychozę do tego stopnia, że nawet niektórzy współcześni obrońcy Tekstu Większościowego popadli w tej kwestii w paranoję, faktycznie doszli do punktu, w którym wykluczają sferę nadprzyrodzoną ze swojego modelu. Jednak w Ewangelii Łukasza 11,23 Władca i Stwórca, wcielony Jehowa Syn, oświadcza: „Kto nie jest ze Mną, jest przeciwko Mnie, a kto nie gromadzi ze Mną, rozprasza”. Oto wyraźne stwierdzenie, na tym świecie istnieją tylko dwie drużyny, są tylko dwie strony, dwa królestwa, nie ma neutralnego gruntu, nie ma prawdziwego agnostycyzmu.</w:t>
      </w:r>
      <w:r>
        <w:rPr>
          <w:rStyle w:val="FootnoteReference"/>
        </w:rPr>
        <w:footnoteReference w:id="466"/>
      </w:r>
      <w:r>
        <w:t xml:space="preserve"> </w:t>
      </w:r>
      <w:r>
        <w:t xml:space="preserve">Jeśli nie jesteś z Jezusem, automatycznie jesteś przeciwko Niemu, jeśli nie gromadzisz z Nim, automatycznie rozpraszasz. Jeśli nie przyjmujesz twierdzeń Jezusa o Piśmie, odrzuciłeś je. Neutralność nie istnieje.</w:t>
      </w:r>
    </w:p>
    <w:p>
      <w:pPr>
        <w:pStyle w:val="BodyText"/>
      </w:pPr>
      <w:r>
        <w:t xml:space="preserve">Jak jednak możemy dotrzeć do tych, którzy udają, że nie mają założeń wstępnych, którzy odmawiają ich otwartego przedstawienia albo w każdym razie tego nie czynią? Jeśli ci sami ludzie krytykują nas za przedstawianie naszych, możemy zakwestionować ich podstawową uczciwość, lecz jak możemy skłonić ich do słuchania? Jak sprawić, by niewidomy zobaczył? Jak sprawić, by głuchy usłyszał? Trzeba coś zrobić z przyczyną tego stanu. „Przyczyną tego stanu” w omawianej przez nas dziedzinie jest szatańska ingerencja w ich procesy myślowe, którą Tekst w 2 Liście do Koryntian 4,4 nazywa „zaślepianiem” (pranie mózgu jest konsekwencją i środkiem wspomagającym tego zaślepiania). Sposób odniesienia się do tej przyczyny zostanie omówiony w następnej części. Tymczasem trzeba omówić kwestię założeń wstępnych, powinniśmy jednak próbować robić to w spokojnym i pokojowym duchu.</w:t>
      </w:r>
      <w:r>
        <w:rPr>
          <w:rStyle w:val="FootnoteReference"/>
        </w:rPr>
        <w:footnoteReference w:id="467"/>
      </w:r>
    </w:p>
    <w:p>
      <w:pPr>
        <w:pStyle w:val="BodyText"/>
      </w:pPr>
      <w:r>
        <w:t xml:space="preserve">Wracając jednak do kwestii przekonującego przedstawienia dowodów, musimy pamiętać, że ludzie z wypranymi mózgami na ogół nie znają dowodów.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 Aby prawda uwolniła ludzi, musi zostać przedstawiona. Powtarzam więc: musimy przedstawiać dowody wprost.</w:t>
      </w:r>
    </w:p>
    <w:p>
      <w:pPr>
        <w:pStyle w:val="BodyText"/>
      </w:pPr>
      <w:r>
        <w:t xml:space="preserve">Pierwszorzędnych dowodów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mają charakter pomocniczy. Tam, gdzie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468"/>
      </w:r>
      <w:r>
        <w:t xml:space="preserve"> </w:t>
      </w:r>
      <w:r>
        <w:t xml:space="preserve">Tam, gdzie wszystkie są zgodne, nie może istnieć żadna uzasadniona wątpliwość co do oryginalnych sformułowań.</w:t>
      </w:r>
    </w:p>
    <w:p>
      <w:pPr>
        <w:pStyle w:val="BodyText"/>
      </w:pPr>
      <w:r>
        <w:t xml:space="preserve">Powinno być również oczywiste, że wariant w pojedynczym manuskrypcie, niezależnie od jego wieku, jest nieistotny, w tym miejscu jest on fałszywym świadkiem archetypu swojej rodziny, niczym więcej. Jeśli kilka manuskryptów dzieli wariant, lecz nie należy do tej samej rodziny, popełniły błąd niezależnie i są fałszywymi świadkami archetypów swoich rodzin,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F. Wisse postulował trzydzieści cztery grupy w masie bizantyjskiej, z siedemdziesięcioma podgrupami). Jest jasne, że nie było „upychania urny wyborczej”, nie było „papieskiego” dekretu, nie było recenzji narzuconej przez władzę kościelną. Krótko mówiąc, przekaz był przeważająco normalny.</w:t>
      </w:r>
      <w:r>
        <w:rPr>
          <w:rStyle w:val="FootnoteReference"/>
        </w:rPr>
        <w:footnoteReference w:id="469"/>
      </w:r>
    </w:p>
    <w:p>
      <w:pPr>
        <w:pStyle w:val="BodyText"/>
      </w:pPr>
      <w:r>
        <w:t xml:space="preserve">Wracając jednak do przedstawiania dowodów, powinniśmy zwracać uwagę na dowody przedstawiane na przestrzeni lat:</w:t>
      </w:r>
      <w:r>
        <w:t xml:space="preserve"> </w:t>
      </w:r>
      <w:r>
        <w:rPr>
          <w:iCs/>
          <w:i/>
        </w:rPr>
        <w:t xml:space="preserve">Concerning the Text of the Apocalypse</w:t>
      </w:r>
      <w:r>
        <w:t xml:space="preserve"> </w:t>
      </w:r>
      <w:r>
        <w:t xml:space="preserve">oraz</w:t>
      </w:r>
      <w:r>
        <w:t xml:space="preserve"> </w:t>
      </w:r>
      <w:r>
        <w:rPr>
          <w:iCs/>
          <w:i/>
        </w:rPr>
        <w:t xml:space="preserve">Codex B and its Allies, a Study and an Indictment</w:t>
      </w:r>
      <w:r>
        <w:t xml:space="preserve"> </w:t>
      </w:r>
      <w:r>
        <w:t xml:space="preserve">Hermana C. Hoskiera,</w:t>
      </w:r>
      <w:r>
        <w:t xml:space="preserve"> </w:t>
      </w:r>
      <w:r>
        <w:rPr>
          <w:iCs/>
          <w:i/>
        </w:rPr>
        <w:t xml:space="preserve">magnum opus</w:t>
      </w:r>
      <w:r>
        <w:t xml:space="preserve"> </w:t>
      </w:r>
      <w:r>
        <w:t xml:space="preserve">Hermanna von Sodena — mimo swoich niedoskonałości zawiera wartościowe informacje, wydania Ewangelii Mateusza i Ewangelii Marka S.C.E. Legga, wydanie Ewangelii Łukasza IGNTP, wydania od Ewangelii Mateusza do Listu do Galacjan Reubena J. Swansona, pracę Frederika Wissego o Ewangelii Łukasza,</w:t>
      </w:r>
      <w:r>
        <w:t xml:space="preserve"> </w:t>
      </w:r>
      <w:r>
        <w:rPr>
          <w:iCs/>
          <w:i/>
        </w:rPr>
        <w:t xml:space="preserve">Assimilation as a Criterion for the Establishment of the Text</w:t>
      </w:r>
      <w:r>
        <w:t xml:space="preserve"> </w:t>
      </w:r>
      <w:r>
        <w:t xml:space="preserve">W.F. Wisselinka, pracę Tommy’ego Wassermana o Liście Judy, serię</w:t>
      </w:r>
      <w:r>
        <w:t xml:space="preserve"> </w:t>
      </w:r>
      <w:r>
        <w:rPr>
          <w:iCs/>
          <w:i/>
        </w:rPr>
        <w:t xml:space="preserve">Text und Textwert</w:t>
      </w:r>
      <w:r>
        <w:t xml:space="preserve"> </w:t>
      </w:r>
      <w:r>
        <w:t xml:space="preserve">INTF, a jeszcze lepiej jego serię</w:t>
      </w:r>
      <w:r>
        <w:t xml:space="preserve"> </w:t>
      </w:r>
      <w:r>
        <w:rPr>
          <w:iCs/>
          <w:i/>
        </w:rPr>
        <w:t xml:space="preserve">Editio Critica Maior</w:t>
      </w:r>
      <w:r>
        <w:t xml:space="preserve">.</w:t>
      </w:r>
    </w:p>
    <w:p>
      <w:pPr>
        <w:pStyle w:val="BodyText"/>
      </w:pPr>
      <w:r>
        <w:t xml:space="preserve">Ostatnia, lecz nie mniej ważna jest moja własna praca. Mój grecki Nowy Testament jest pierwszym, który podaje archetyp Rodziny 35, a jego aparat krytyczny jest pierwszym, który podaje przy wariantach odsetki, poza uwzględnieniem sześciu opublikowanych wydań. Seria dotycząca wariantów</w:t>
      </w:r>
      <w:r>
        <w:t xml:space="preserve"> </w:t>
      </w:r>
      <w:r>
        <w:rPr>
          <w:bCs/>
          <w:b/>
        </w:rPr>
        <w:t xml:space="preserve">f</w:t>
      </w:r>
      <w:r>
        <w:rPr>
          <w:vertAlign w:val="superscript"/>
          <w:bCs/>
          <w:b/>
        </w:rPr>
        <w:t xml:space="preserve">35</w:t>
      </w:r>
      <w:r>
        <w:t xml:space="preserve">, księga po księdze, podaje szczegółowe wyniki moich kolacjonowań reprezentatywnych manuskryptów, zwykle co najmniej trzydziestu dla każdej księgi. Wszystko to jest obecnie bezpłatnie dostępne w Internecie na mojej stronie www.prunch.org (głównie po angielsku, lecz częściowo także po portugalsku). Dysponujemy sposobami udostępniania dowodów, lecz jak możemy skłonić ludzi, by się im przyjrzeli? Najlepszym, jeśli nie jedynym sposobem, jest użycie duchowego autorytetu, który dał nam Władca Jezus.</w:t>
      </w:r>
    </w:p>
    <w:bookmarkEnd w:id="470"/>
    <w:bookmarkStart w:id="485" w:name="neutralizowanie-ingerencji"/>
    <w:p>
      <w:pPr>
        <w:pStyle w:val="Heading4"/>
      </w:pPr>
      <w:r>
        <w:rPr>
          <w:iCs/>
          <w:i/>
        </w:rPr>
        <w:t xml:space="preserve">Neutralizowanie ingerencji</w:t>
      </w:r>
    </w:p>
    <w:p>
      <w:pPr>
        <w:pStyle w:val="FirstParagraph"/>
      </w:pPr>
      <w:r>
        <w:t xml:space="preserve">Na jakiej podstawie moglibyśmy neutralizować ingerencję? Najbardziej fundamentalnym pytaniem dla ludzkiego życia na tej planecie jest pytanie o autorytet: kto go ma, w jakim stopniu i na jakich warunkach? Jak naczelni kapłani powiedzieli Jezusowi: „Jakim autorytetem to czynisz?” (Ewangelia Łukasza 20,2). Po swojej śmierci i zmartwychwstaniu Władca Jezus powiedział: „Został mi dany wszelki autorytet w niebie i na ziemi” (Ewangelia Mateusza 28,18). Ma zatem pełne prawo i jest wyraźnie kompetentny, by przekazać nam część tego autorytetu. Rozważmy Ewangelię Łukasza 10,19: „Zwróćcie uwagę, daję wam autorytet, aby deptać węże i skorpiony,</w:t>
      </w:r>
      <w:r>
        <w:rPr>
          <w:rStyle w:val="FootnoteReference"/>
        </w:rPr>
        <w:footnoteReference w:id="471"/>
      </w:r>
      <w:r>
        <w:t xml:space="preserve"> </w:t>
      </w:r>
      <w:r>
        <w:t xml:space="preserve">i nad całą mocą wroga, a nic w ogóle nie może wam zaszkodzić”. Zamiast „daję” być może 2,5% greckich manuskryptów, obiektywnie gorszej jakości, ma „dałem” (jak w NIV, NASB, LB, TEV itd.) — poważny błąd. Jezus powiedział to być może pięć miesięcy przed swoją śmiercią i zmartwychwstaniem, zwracając się do siedemdziesięciu (nie tylko do dwunastu). Pan mówi o przyszłości, nie o przeszłości, o przyszłości, która obejmuje nas!</w:t>
      </w:r>
    </w:p>
    <w:p>
      <w:pPr>
        <w:pStyle w:val="BodyText"/>
      </w:pPr>
      <w:r>
        <w:t xml:space="preserve">Rozważmy dalej Ewangelię Jana 20,21, Jezus ponownie powiedział do nich: „Pokój wam! Jak Ojciec posłał Mnie, tak i Ja was posyłam”. „Jak… tak i” — Jezus posyła nas tak samo, jak Ojciec posłał Jego. Jak zatem Oni to zrobili? Ojciec postanowił, a Syn był posłuszny: „Oto przyszedłem, aby czynić Twoją wolę, Boże” (List do Hebrajczyków 10,7). A jaka była ta wola? Zniszczyć Szatana (List do Hebrajczyków 2,14) i zniweczyć jego dzieła (1 List Jana 3,8). Ponieważ Jezus rzeczywiście pokonał Szatana (List do Kolosan 2,15, List do Efezjan 1,20-21 itd.), lecz następnie wrócił do Nieba, dla nas pozostało niweczenie jego dzieł.</w:t>
      </w:r>
      <w:r>
        <w:rPr>
          <w:rStyle w:val="FootnoteReference"/>
        </w:rPr>
        <w:footnoteReference w:id="472"/>
      </w:r>
      <w:r>
        <w:t xml:space="preserve"> </w:t>
      </w:r>
      <w:r>
        <w:t xml:space="preserve">Wydaje mi się jasne, że aby zniweczyć jakiekolwiek dzieło, musimy również zniweczyć jego konsekwencje (w takim zakresie, w jakim może to być możliwe).</w:t>
      </w:r>
    </w:p>
    <w:p>
      <w:pPr>
        <w:pStyle w:val="BodyText"/>
      </w:pPr>
      <w:r>
        <w:t xml:space="preserve">Rozważmy także List do Efezjan 2,4-6: „Lecz Bóg — będąc bogaty w miłosierdzie, z powodu swojej wielkiej miłości, którą nas umiłował, nawet gdy byliśmy martwi w swoich występkach — ożywił nas razem z Chrystusem (łaską jesteście zbawieni), razem wskrzesił i razem posadził w sferach niebiańskich w Chrystusie Jezusie”. To jest ogromne! Tutaj mamy nasz autorytet. Chrystus siedzi teraz po prawicy Ojca, „daleko ponad” wrogiem i jego zastępami. Werset ten stwierdza, że my, którzy jesteśmy w Chrystusie, również tam jesteśmy! W Chrystusie także jesteśmy więc daleko ponad wrogiem i jego zastępami.</w:t>
      </w:r>
      <w:r>
        <w:rPr>
          <w:rStyle w:val="FootnoteReference"/>
        </w:rPr>
        <w:footnoteReference w:id="473"/>
      </w:r>
      <w:r>
        <w:t xml:space="preserve"> </w:t>
      </w:r>
      <w:r>
        <w:t xml:space="preserve">Z pewnością, czyż nie to stwierdza List do Efezjan 1,16-21?</w:t>
      </w:r>
    </w:p>
    <w:p>
      <w:pPr>
        <w:pStyle w:val="BlockText"/>
      </w:pPr>
      <w:r>
        <w:t xml:space="preserve">Doprawdy nie przestaję dziękować za was, wspominając was w moich modlitwach, aby Bóg naszego Pana, Jezusa Chrystusa, Ojciec chwały, dał wam ducha mądrości i objawienia w rzeczywistym poznaniu</w:t>
      </w:r>
      <w:r>
        <w:rPr>
          <w:rStyle w:val="FootnoteReference"/>
        </w:rPr>
        <w:footnoteReference w:id="474"/>
      </w:r>
      <w:r>
        <w:t xml:space="preserve"> </w:t>
      </w:r>
      <w:r>
        <w:t xml:space="preserve">samego siebie, aby oczy waszego serca zostały oświecone, żebyście wiedzieli, jaka jest nadzieja Jego</w:t>
      </w:r>
      <w:r>
        <w:rPr>
          <w:vertAlign w:val="superscript"/>
        </w:rPr>
        <w:t xml:space="preserve">[O]</w:t>
      </w:r>
      <w:r>
        <w:t xml:space="preserve"> </w:t>
      </w:r>
      <w:r>
        <w:t xml:space="preserve">powołania i jakie bogactwo chwały Jego dziedzictwa w świętych, i jaka jest przewyższająca wielkość Jego mocy skierowanej do</w:t>
      </w:r>
      <w:r>
        <w:rPr>
          <w:rStyle w:val="FootnoteReference"/>
        </w:rPr>
        <w:footnoteReference w:id="475"/>
      </w:r>
      <w:r>
        <w:t xml:space="preserve"> </w:t>
      </w:r>
      <w:r>
        <w:t xml:space="preserve">nas, którzy wierzymy, według ukazania rozmiaru Jego potęgi, którą okazał w Chrystusie, gdy wskrzesił Go</w:t>
      </w:r>
      <w:r>
        <w:rPr>
          <w:vertAlign w:val="superscript"/>
        </w:rPr>
        <w:t xml:space="preserve">[S]</w:t>
      </w:r>
      <w:r>
        <w:t xml:space="preserve"> </w:t>
      </w:r>
      <w:r>
        <w:t xml:space="preserve">spośród umarłych i posadził po swojej</w:t>
      </w:r>
      <w:r>
        <w:rPr>
          <w:vertAlign w:val="superscript"/>
        </w:rPr>
        <w:t xml:space="preserve">[O]</w:t>
      </w:r>
      <w:r>
        <w:t xml:space="preserve"> </w:t>
      </w:r>
      <w:r>
        <w:t xml:space="preserve">prawicy, w sferach niebiańskich, daleko ponad wszelkim władcą i autorytetem, i mocą, i panowaniem — nawet ponad każdym imieniem, jakie można nazwać, nie tylko w tym wieku, lecz także w przyszłym.</w:t>
      </w:r>
    </w:p>
    <w:p>
      <w:pPr>
        <w:pStyle w:val="FirstParagraph"/>
      </w:pPr>
      <w:r>
        <w:t xml:space="preserve">Otóż „daleko ponad wszelkim władcą i autorytetem, i mocą, i panowaniem — nawet ponad każdym imieniem, jakie można nazwać, nie tylko w tym wieku, lecz także w przyszłym” musi obejmować Szatana i jego aniołów. Jeśli Chrystus, siedzący po prawicy Ojca, jest</w:t>
      </w:r>
      <w:r>
        <w:t xml:space="preserve"> </w:t>
      </w:r>
      <w:r>
        <w:rPr>
          <w:u w:val="single"/>
          <w:bCs/>
          <w:b/>
        </w:rPr>
        <w:t xml:space="preserve">daleko</w:t>
      </w:r>
      <w:r>
        <w:rPr>
          <w:bCs/>
          <w:b/>
        </w:rPr>
        <w:t xml:space="preserve"> </w:t>
      </w:r>
      <w:r>
        <w:rPr>
          <w:bCs/>
          <w:b/>
        </w:rPr>
        <w:t xml:space="preserve">ponad</w:t>
      </w:r>
      <w:r>
        <w:t xml:space="preserve"> </w:t>
      </w:r>
      <w:r>
        <w:t xml:space="preserve">nimi, a my jesteśmy w Nim, posadzeni po prawicy Ojca, wówczas my również jesteśmy ponad wszystkimi zastępami wroga. Taka jest nasza pozycja i autorytet do neutralizowania ingerencji.</w:t>
      </w:r>
    </w:p>
    <w:p>
      <w:pPr>
        <w:pStyle w:val="BodyText"/>
      </w:pPr>
      <w:r>
        <w:t xml:space="preserve">Dobrze i pięknie, lecz jak właściwie mamy się do tego zabrać? Otóż na jakim poziomie powinniśmy „neutralizować”? Nasuwa się pięciu kandydatów: instytucje, nauczyciele, studenci, przywódcy kościelni i świeccy. Może działać na wszystkich poziomach? Następnie jakimi procedurami dysponujemy, by dokonać neutralizacji? Proponuję następujące: a) zakazać dalszego używania mocy Szatana w konkretnym przypadku, b) zażądać zniweczenia zaistniałych konsekwencji używania tej mocy (w takim zakresie, w jakim może to być możliwe), c) zniszczyć wszelkie warownie Szatana w ich umysłach (łącznie z martwymi punktami), d) związać wszystkie zaangażowane demony i posłać je do Otchłani, zakazując dalszej aktywności demonicznej, e) wziąć ich myśli w niewolę posłuszeństwa Chrystusowi. Z mojego doświadczenia wynika, że aby działać skutecznie, musimy być konkretni: nazwać instytucję, nazwać osobę.</w:t>
      </w:r>
    </w:p>
    <w:p>
      <w:pPr>
        <w:pStyle w:val="BodyText"/>
      </w:pPr>
      <w:r>
        <w:t xml:space="preserve">Ale chwileczkę, poddaję pod rozwagę, że wiara jest podstawowym warunkiem korzystania z naszej pozycji i autorytetu. Wykształcenie teologiczne, które sam otrzymałem, zaprogramowało mnie tak, bym nie oczekiwał nadprzyrodzonych przejawów mocy w moim życiu i służbie ani za ich pośrednictwem. W rezultacie osobiście trudno mi przejawiać ten rodzaj wiary, którego wymaga Pan Jezus. Rozważmy:</w:t>
      </w:r>
    </w:p>
    <w:p>
      <w:pPr>
        <w:pStyle w:val="BodyText"/>
      </w:pPr>
      <w:r>
        <w:t xml:space="preserve">W Ewangelii Mateusza 8,5-13 centurion rozumiał autorytet, wydawał rozkazy, a one były wykonywane bezzwłocznie i bez zastrzeżeń.</w:t>
      </w:r>
      <w:r>
        <w:rPr>
          <w:rStyle w:val="FootnoteReference"/>
        </w:rPr>
        <w:footnoteReference w:id="476"/>
      </w:r>
      <w:r>
        <w:t xml:space="preserve"> </w:t>
      </w:r>
      <w:r>
        <w:t xml:space="preserve">Pan Jezus powiedział jednak, że miał on niezwykle wielką wiarę — wiarę w co? W duchowy autorytet Pana, mógł po prostu wydać rozkaz i tak by się stało. Być może ten rodzaj wiary powinniśmy rozumieć jako absolutną pewność, bez śladu wątpliwości czy lęku. W Ewangelii Mateusza 21,21 Pan powiedział: „Zaprawdę… jeśli macie wiarę i nie wątpicie” (zob. Ewangelia Marka 11,23: „nie wątpi w swoim sercu”), możecie (właściwie: „sprawicie”) ususzyć drzewo albo posłać górę do morza. Zobacz także List do Hebrajczyków 10,22: „pełna pewność wiary”, 1 List do Tymoteusza 2,8: „modlić się… bez powątpiewania”, List Jakuba 1,6: „prosić w wierze, bez powątpiewania”. Ewangelia Marka 5,34 i Ewangelia Mateusza 15,28 przedstawiają pozytywne przykłady, Piotr natomiast zawiódł (Ewangelia Mateusza 14,31: „dlaczego zwątpiłeś?”).</w:t>
      </w:r>
    </w:p>
    <w:p>
      <w:pPr>
        <w:pStyle w:val="BodyText"/>
      </w:pPr>
      <w:r>
        <w:t xml:space="preserve">Jeśli ktoś udziela pełnomocnictwa, przypuszczalnie poprze je do granic swoich możliwości. Ponieważ możliwości Chrystusa nie mają granic, Jego wsparcie nie ma granic (z Jego strony). W Ewangelii Mateusza 28,18 powiedział: „Został mi dany wszelki autorytet w niebie i na ziemi”. Potem następuje posłannictwo: „Idąc, czyńcie uczniami… ucząc ich przestrzegać wszystkiego, co wam nakazałem” — zaimek odsyła do jedenastu Apostołów (werset 16). Jakie zatem polecenia Jezus dał Jedenastu? Między innymi: „uzdrawiajcie chorych, oczyszczajcie trędowatych, wypędzajcie demony” (w Ewangelii Mateusza 10,8 być może 94% greckich manuskryptów</w:t>
      </w:r>
      <w:r>
        <w:t xml:space="preserve"> </w:t>
      </w:r>
      <w:r>
        <w:rPr>
          <w:u w:val="single"/>
        </w:rPr>
        <w:t xml:space="preserve">nie</w:t>
      </w:r>
      <w:r>
        <w:t xml:space="preserve"> </w:t>
      </w:r>
      <w:r>
        <w:t xml:space="preserve">ma „wskrzeszajcie umarłych”). Jedenastu słyszało również Ewangelię Jana 20,21. Wiedząc, że wspiera nas Władca wszechświata, który ma wszelki autorytet i moc, możemy i powinniśmy działać z całkowitą pewnością.</w:t>
      </w:r>
    </w:p>
    <w:p>
      <w:pPr>
        <w:pStyle w:val="BodyText"/>
      </w:pPr>
      <w:r>
        <w:t xml:space="preserve">W tym miejscu konieczne jest słowo przestrogi. Rozważmy List Jakuba 4,7: „Poddajcie się więc Bogu. Przeciwstawcie się diabłu, a ucieknie od was”. Zauważ kolejność, zanim podejmiemy walkę z diabłem, musimy sprawdzić, czy jesteśmy poddani Bogu. Następnie powinniśmy powołać się na naszą pozycję w Chrystusie po prawicy Ojca. Ponieważ niewielu chrześcijan otrzymało choćby w przybliżeniu odpowiedni poziom pouczenia w dziedzinie biblijnej wojny duchowej (większość nie otrzymała żadnego), muszę wyjaśnić procedury.</w:t>
      </w:r>
    </w:p>
    <w:bookmarkStart w:id="477" w:name="zakazać-dalszego-używania-mocy-szatana"/>
    <w:p>
      <w:pPr>
        <w:pStyle w:val="Heading5"/>
      </w:pPr>
      <w:r>
        <w:t xml:space="preserve">Zakazać dalszego używania mocy Szatana</w:t>
      </w:r>
    </w:p>
    <w:p>
      <w:pPr>
        <w:pStyle w:val="FirstParagraph"/>
      </w:pPr>
      <w:r>
        <w:t xml:space="preserve">Procedura ta opiera się na Ewangelii Łukasza 10,19. Władca Jezus daje nam „ten” autorytet nad całą mocą wroga. Autorytet kontroluje moc, lecz ponieważ mamy dostęp do nieograniczonej mocy Boga (List do Efezjan 3,20), nie powinniśmy dawać Szatanowi satysfakcji z korzystania z jego mocy (a mógłby nas łatwo zwieść do robienia rzeczy, których nie powinniśmy robić). Powinniśmy używać naszego autorytetu, aby zakazywać używania mocy Szatana w odniesieniu do konkretnych sytuacji, z mojego doświadczenia wynika, że musimy być konkretni. (Próbowałem związać Szatana raz na zawsze, aż do końca świata, lecz to nie działa, przypuszczalnie dlatego, że plan Boga przewiduje dalszą aktywność wroga na tym świecie. Możemy ograniczyć działania wroga, lecz nie możemy całkowicie zakończyć jego działalności, a przynajmniej tak sądzę). Jak jednak właściwie mamy się do tego zabrać?</w:t>
      </w:r>
    </w:p>
    <w:p>
      <w:pPr>
        <w:pStyle w:val="BodyText"/>
      </w:pPr>
      <w:r>
        <w:t xml:space="preserve">W zbroi opisanej w Liście do Efezjan 6 znajdujemy „miecz Ducha” (werset 17). Miecz jest bronią zaczepną, choć służy również do obrony. Tekst mówi nam, że tym mieczem jest „ρημα Boga” — ρημα, nie λογος. Jest to wypowiedziane lub zastosowane Słowo Boga. Naprawdę, jaki pożytek z miecza pozostawionego w pochwie? Choć nasz Miecz jest cudowny (List do Hebrajczyków 4,12), aby wywołał skutek, musi wyjść z pochwy. Słowo musi być wypowiedziane albo napisane, zastosowane w konkretny sposób.</w:t>
      </w:r>
    </w:p>
    <w:p>
      <w:pPr>
        <w:pStyle w:val="BodyText"/>
      </w:pPr>
      <w:r>
        <w:t xml:space="preserve">W Biblii mamy wiele przykładów, w których ludzie uruchamiali moc Boga przez mówienie. Nasz świat zaczął się od stwórczego słowa Boga — wypowiedzianego (1 Księga Mojżeszowa 1,3.6.9.11.14.20.24.26, zob. też List do Hebrajczyków 11,3). Mojżesz wiele mówił. Eliasz mówił (1 Księga Królewska 17,1, 18,36, 2 Księga Królewska 1,10). Elizeusz mówił (2 Księga Królewska 2,14.21.24, 4,16.43, 6,19). Jezus bardzo wiele mówił. Ananiasz mówił (Dzieje Apostolskie 9,17). Piotr mówił (Dzieje Apostolskie 9,34.40). Paweł mówił (Dzieje Apostolskie 13,11, 14,3.10, 16,18, 20,10, 28,8). Krótko mówiąc, musimy mówić!</w:t>
      </w:r>
    </w:p>
    <w:bookmarkEnd w:id="477"/>
    <w:bookmarkStart w:id="478" w:name="X0f526a0a2f441185fd0de1d2aa0d90fab1e0a22"/>
    <w:p>
      <w:pPr>
        <w:pStyle w:val="Heading5"/>
      </w:pPr>
      <w:r>
        <w:t xml:space="preserve">Zażądać zniweczenia zaistniałych konsekwencji używania tej mocy</w:t>
      </w:r>
    </w:p>
    <w:p>
      <w:pPr>
        <w:pStyle w:val="FirstParagraph"/>
      </w:pPr>
      <w:r>
        <w:t xml:space="preserve">Procedura ta opiera się na 1 Liście Jana 3,8, w połączeniu z Ewangelią Łukasza 10,19. Powinniśmy móc nakazać Szatanowi, aby użył własnej mocy do naprawienia szkód, które wyrządził, zmuszając go tym samym do uznania swojej porażki (co nie będzie odpowiadać jego pysze). Syn Boga objawił się w celu „zniweczenia dzieł diabła” (1 List Jana 3,8), a na nas spoczywa obowiązek kontynuowania Jego dzieła tutaj, na tym świecie (Ewangelia Jana 20,21). Jak można zniweczyć dzieło, nie niwecząc również jego konsekwencji? Ojciec posłał Syna, aby zniweczył dzieła Szatana, a Pan Jezus Chrystus posyła nas, abyśmy niweczyli dzieła Szatana. Ponownie rozumiem, że musimy być konkretni.</w:t>
      </w:r>
    </w:p>
    <w:bookmarkEnd w:id="478"/>
    <w:bookmarkStart w:id="479" w:name="X0a20cec6c01584c7752d84d17719c0d5e506521"/>
    <w:p>
      <w:pPr>
        <w:pStyle w:val="Heading5"/>
      </w:pPr>
      <w:r>
        <w:t xml:space="preserve">Zniszczyć wszelkie warownie Szatana w umyśle danej osoby</w:t>
      </w:r>
    </w:p>
    <w:p>
      <w:pPr>
        <w:pStyle w:val="FirstParagraph"/>
      </w:pPr>
      <w:r>
        <w:t xml:space="preserve">Procedura ta opiera się na 2 Liście do Koryntian 10,4 oraz 1 Liście Jana 3,8. Ponieważ warownie i martwe punkty w umyśle są dziełem Szatana, a my jesteśmy tutaj po to, by niweczyć takie dzieła, mieści się to w zakresie naszych kompetencji. Dokonuje się tego, domagając się takiego zniszczenia wyraźnymi słowami i będąc konkretnym.</w:t>
      </w:r>
    </w:p>
    <w:bookmarkEnd w:id="479"/>
    <w:bookmarkStart w:id="482" w:name="X4ed9f750286e3ae75787aed5837bdf71cedb48d"/>
    <w:p>
      <w:pPr>
        <w:pStyle w:val="Heading5"/>
      </w:pPr>
      <w:r>
        <w:t xml:space="preserve">Związać wszystkie zaangażowane demony i posłać je do Otchłani</w:t>
      </w:r>
    </w:p>
    <w:p>
      <w:pPr>
        <w:pStyle w:val="FirstParagraph"/>
      </w:pPr>
      <w:r>
        <w:t xml:space="preserve">Procedura ta opiera się na Ewangelii Marka 3,27 i Ewangelii Łukasza 8,31. „Nikt nie może zrabować dóbr mocarza, wdzierając się do jego domu, jeśli najpierw nie zwiąże mocarza — wtedy może ograbić dom” (Ewangelia Marka 3,27). Ponieważ przy pierwszym wystąpieniu słowa „mocarz” znajduje się rodzajnik określony, istota ta została już przedstawiona, odniesienie dotyczy więc Szatana. Oto biblijna podstawa wiązania Szatana, co jest teraz możliwe dzięki zwycięstwu Chrystusa. Jeśli możemy związać Szatana, najwyraźniej możemy również związać każdego z jego podwładnych. „I błagał Go usilnie, aby nie nakazywał im odejść do Otchłani” (Ewangelia Łukasza 8,31).</w:t>
      </w:r>
      <w:r>
        <w:rPr>
          <w:rStyle w:val="FootnoteReference"/>
        </w:rPr>
        <w:footnoteReference w:id="480"/>
      </w:r>
      <w:r>
        <w:rPr>
          <w:rStyle w:val="FootnoteReference"/>
        </w:rPr>
        <w:footnoteReference w:id="481"/>
      </w:r>
      <w:r>
        <w:t xml:space="preserve"> </w:t>
      </w:r>
      <w:r>
        <w:t xml:space="preserve">Uważam, że Jezus nie posłał ich wówczas do Otchłani, ponieważ nie odniósł jeszcze zwycięstwa, a demony działały „w granicach swoich praw” podlegając Szatanowi, który nadal był bogiem tego świata. Demony były jednak wyraźnie zaniepokojone! (Bardzo dobrze wiedziały, kim jest Jezus i co może uczynić). Powiedziałbym, że jest to jedna z „większych rzeczy” (Ewangelia Jana 14,12), które możemy teraz czynić — a raczej które powinniśmy czynić. Jeśli chodzi o zakazywanie dalszej aktywności demonicznej, mamy przykład Pana (Ewangelia Marka 9,25), a mamy czynić to, co czynił On (Ewangelia Jana 14,12).</w:t>
      </w:r>
    </w:p>
    <w:bookmarkEnd w:id="482"/>
    <w:bookmarkStart w:id="484" w:name="X1cad799430c6a8eed5553f0a768a4614be044b7"/>
    <w:p>
      <w:pPr>
        <w:pStyle w:val="Heading5"/>
      </w:pPr>
      <w:r>
        <w:t xml:space="preserve">Wziąć ich myśli w niewolę posłuszeństwa Chrystusowi</w:t>
      </w:r>
    </w:p>
    <w:p>
      <w:pPr>
        <w:pStyle w:val="FirstParagraph"/>
      </w:pPr>
      <w:r>
        <w:t xml:space="preserve">Procedura ta opiera się na 2 Liście do Koryntian 10,5. W kontekście chodzi o myśli ludzi, którzy służą Szatanowi (nawet jeśli nieświadomie). (Oczywiście zawsze powinniśmy sprawdzać, czy sami działamy w obrębie „umysłu Chrystusa”, 1 List do Koryntian 2,15-16). Procedura ta wykracza poza samo neutralizowanie ingerencji wroga, ponieważ wprowadza pozytywną „ingerencję”, lecz jest istotna dla omawianej tutaj kwestii, gdyż stanowi ochronę przed ponownym popadnięciem w poprzedni błąd. Ponownie musimy być konkretni.</w:t>
      </w:r>
    </w:p>
    <w:p>
      <w:pPr>
        <w:pStyle w:val="BodyText"/>
      </w:pPr>
      <w:r>
        <w:t xml:space="preserve">Kilka dalszych tekstów, które mogą mieć zastosowanie: Ewangelia Łukasza 4,18-21, Księga Psalmów 149,5-9, Ewangelia Jana 14,12.</w:t>
      </w:r>
    </w:p>
    <w:p>
      <w:pPr>
        <w:pStyle w:val="BodyText"/>
      </w:pPr>
      <w:r>
        <w:t xml:space="preserve">W Ewangelii Łukasza 4,18-21 Jezus wymienia „wypuszczenie uciśnionych na wolność” (Księga Izajasza 58,6) jako jedną z rzeczy, do których został posłany. Przechodząc do Księgi Izajasza 58,6, znajdujemy oświadczenie Jehowy, jaki rodzaj „postu” chciałby zobaczyć: „Rozwiązać więzy niegodziwości (a), rozluźnić powrozy jarzma (b), wypuścić uciśnionych na wolność (a) i abyście złamali każde jarzmo (b)”. Jak to jest typowe dla gramatyki hebrajskiej, obie połowy są równoległe. „Rozwiązać więzy niegodziwości” i „wypuścić uciśnionych na wolność” są równoległe. Kto nałożył „więzy” i kto uciska? Otóż chociaż ludzie z pewnością mogą sami wykuć swoje więzy przez własny niegodziwy styl życia, uważam, że chodzi tutaj o to, iż niegodziwe istoty nałożyły więzy na innych. „Rozluźnić powrozy jarzma” i „abyście złamali każde jarzmo” idą w parze. Najpierw powinniśmy rozwiązać powrozy mocujące jarzmo do szyi, następnie powinniśmy złamać same jarzma. Odnoszę wyraźne wrażenie, że tekst ten mówi o działalności sług Szatana, ludzi i aniołów. Posługując się kulturą, światopoglądem, środkami prawnymi, groźbami, szantażem, kłamstwami, zwodzeniem oraz zwyczajnym demonizowaniem i czarami, wiążą jednostki, rodziny, grupy etniczne itd. rozmaitymi więzami i narzędziami ucisku.</w:t>
      </w:r>
    </w:p>
    <w:p>
      <w:pPr>
        <w:pStyle w:val="BodyText"/>
      </w:pPr>
      <w:r>
        <w:t xml:space="preserve">Co to ma zatem wspólnego z naszym tematem? Otóż post był ważnym i wymaganym elementem ich czci oddawanej Bogu. Ten rodzaj „postu” jest więc czymś, co Jehowa wyraźnie chce widzieć, jest wprost Jego wolą. Gdy zatem widzimy w czyimś życiu jakiekolwiek dzieło Szatana, wolą Boga jest, abyśmy je zniweczyli. Jeśli wiemy, że jest to wola Boga, możemy postępować z całkowitą pewnością. Stanowi to także część naszego posłannictwa (Ewangelia Jana 20,21).</w:t>
      </w:r>
    </w:p>
    <w:p>
      <w:pPr>
        <w:pStyle w:val="BodyText"/>
      </w:pPr>
      <w:r>
        <w:t xml:space="preserve">Zauważmy również Księgę Psalmów 149,5-9: „Niech święci radują się w chwale, niech śpiewają radośnie na swoich łożach. Niech wzniosłe pochwały Boga będą w ich ustach, a miecz obosieczny w ich ręku — aby dokonać pomsty na narodach i kar na ludach, aby związać ich królów łańcuchami, a ich dostojników żelaznymi kajdanami, aby wykonać na nich zapisany wyrok. Taki zaszczyt jest dla wszystkich Jego świętych”. Zauważ, że święci są na swoich łożach, dlatego działalność opisana w kolejnych wersetach musi odbywać się w sferze duchowej. Zakładam, że „królowie” i „dostojnicy” obejmują zarówno ludzi, jak i upadłych aniołów. Opisana działalność jest prerogatywą „wszystkich Jego świętych”, jeśli jesteś jednym z tych świętych, należy to do ciebie. W Tekście istnieje pewna liczba „zapisanych wyroków”: Księga Zachariasza 5,2-4, Księga Przysłów 20,10, Księga Izajasza 10,1-2, List do Rzymian 1,26-36 i 1 List do Koryntian 6,9-10, przynajmniej.</w:t>
      </w:r>
    </w:p>
    <w:p>
      <w:pPr>
        <w:pStyle w:val="BodyText"/>
      </w:pPr>
      <w:r>
        <w:t xml:space="preserve">W Ewangelii Jana 14,12 Pan Jezus powiedział: „Zaprawdę, zaprawdę, mówię wam, ten, kto wierzy we Mnie, on także będzie czynił dzieła, które Ja czynię, istotnie będzie czynił większe dzieła niż te, ponieważ idę do mojego Ojca”. „Zaprawdę, zaprawdę” to w istocie „amen, amen” — w AV oddane jako „verily, verily”. Tylko Jan odnotowuje to słowo jako powtórzone, w pozostałych Ewangeliach jest to po prostu „amen”. W ówczesnej literaturze nie mamy przykładu, by ktokolwiek inny używał tego słowa w taki sposób. Wydaje się, że Jezus stworzył własne zastosowanie, a jego celem zdaje się być zwrócenie uwagi na ważne oświadczenie: „Zatrzymajcie się i słuchajcie!”. Często poprzedza ono formalne stwierdzenie doktryny lub zasady, tak jak tutaj.</w:t>
      </w:r>
    </w:p>
    <w:p>
      <w:pPr>
        <w:pStyle w:val="BodyText"/>
      </w:pPr>
      <w:r>
        <w:t xml:space="preserve">„Ten, kto wierzy we Mnie, on także będzie czynił dzieła, które Ja czynię”. Jest to ogromne stwierdzenie i niemało niepokojące. Zauważ, że Pan powiedział: „będzie czynił”, nie „może”, „być może”, „jeśli będzie miał ochotę”, a już z pewnością nie: „jeśli pozwala na to doktryna twojego kościoła”! Jeśli wierzysz,</w:t>
      </w:r>
      <w:r>
        <w:t xml:space="preserve"> </w:t>
      </w:r>
      <w:r>
        <w:rPr>
          <w:bCs/>
          <w:b/>
        </w:rPr>
        <w:t xml:space="preserve">będziesz czynił!</w:t>
      </w:r>
      <w:r>
        <w:t xml:space="preserve"> </w:t>
      </w:r>
      <w:r>
        <w:t xml:space="preserve">Czasownik „wierzyć” jest w czasie teraźniejszym, jeśli wierzysz, będziesz czynił, wynika z tego, że jeśli nie czynisz, to dlatego, że nie wierzysz. 2 + 2 = 4. Co czynić? „Dzieła, które Ja czynię”. Otóż Jezus głosił Ewangelię, nauczał, wypędzał demony, uzdrawiał choroby i schorzenia wszelkich rodzajów i rozmiarów, od czasu do czasu wskrzeszał umarłego i dokonywał różnych cudów (woda w wino, chodzenie po wodzie, natychmiastowe uciszenie burzy, natychmiastowe przeniesienie łodzi o kilka kilometrów, rozmnożenie żywności, ususzenie drzewa — zasugerował też, że uczniowie powinni byli uciszyć burzę i rozmnożyć żywność, oraz stwierdził, że mogą ususzyć drzewo (Piotr rzeczywiście zrobił kilka kroków po wodzie)). A co z nami? Z głoszeniem i nauczaniem potrafimy sobie poradzić, lecz co z resztą? Słyszałem kiedyś, jak rektor pewnej chrześcijańskiej uczelni twierdził, że werset ten oczywiście nie może znaczyć tego, co mówi, ponieważ to się nie dzieje! Cóż, przypuszczam, że w jego własnym doświadczeniu i doświadczeniu jego współpracowników się nie dzieje. Wielu ludzi wypędza jednak dzisiaj demony i uzdrawia, a ja osobiście znam kogoś, kto wskrzesił umarłego. Cuda również się zdarzają. Co więc ze mną? I z tobą?</w:t>
      </w:r>
    </w:p>
    <w:p>
      <w:pPr>
        <w:pStyle w:val="BodyText"/>
      </w:pPr>
      <w:r>
        <w:t xml:space="preserve">„Istotnie będzie czynił większe dzieła niż te”. Otóż jeśli wypędzamy demony, uzdrawiamy i dokonujemy cudów, czy to nie wystarczy? Jezus chce czegoś więcej, chce „większych rzeczy” niż właśnie wymienione (nie zapominaj, co powiedział w Ewangelii Mateusza 7,22-23). Ponownie zauważ, że powiedział „będzie czynił”, nie „może”, „być może” albo „jeśli pozwoli twój kościół”. Co jednak może być „większe” od cudów? Nie może to dotyczyć współczesnej technologii, ponieważ w takim przypadku podobne „większe rzeczy” nie byłyby dostępne dla wierzących przez pierwszych 1900 lat. Zauważ, że klucz znajduje się w ostatnim stwierdzeniu Pana (w wersecie 12): „ponieważ idę do mojego Ojca”. Tylko jeśli zwycięży, może wrócić do Ojca, oznajmia więc tutaj swoje zwycięstwo, zanim do niego doszło. To na podstawie tego zwycięstwa można dokonywać „większych rzeczy”. Czym właściwie są te „większe” rzeczy? Moją odpowiedź przedstawiam w zarysie „Biblical Spiritual Warfare”.</w:t>
      </w:r>
    </w:p>
    <w:p>
      <w:pPr>
        <w:pStyle w:val="BodyText"/>
      </w:pPr>
      <w:r>
        <w:t xml:space="preserve">W wersecie 12 czasownik „będzie czynił” jest za każdym razem w liczbie pojedynczej, dotyczy więc jednostki. Zauważ, że Pan</w:t>
      </w:r>
      <w:r>
        <w:t xml:space="preserve"> </w:t>
      </w:r>
      <w:r>
        <w:rPr>
          <w:u w:val="single"/>
          <w:bCs/>
          <w:b/>
        </w:rPr>
        <w:t xml:space="preserve">nie</w:t>
      </w:r>
      <w:r>
        <w:t xml:space="preserve"> </w:t>
      </w:r>
      <w:r>
        <w:t xml:space="preserve">powiedział: „wy, Apostołowie”, „tylko w epoce apostolskiej”, „tylko do ukończenia kanonu” czy cokolwiek podobnego. Powiedział: „ten, kto wierzy”, czas teraźniejszy, dotyczy to zatem każdego późniejszego momentu aż po nasze czasy. Zaprzeczanie prawdzie zawartej w tym wersecie oznacza czynienie z Pana Jezusa Chrystusa kłamcy. Jakoś nie wydaje mi się to zbyt mądre.</w:t>
      </w:r>
      <w:r>
        <w:rPr>
          <w:rStyle w:val="FootnoteReference"/>
        </w:rPr>
        <w:footnoteReference w:id="483"/>
      </w:r>
    </w:p>
    <w:bookmarkEnd w:id="484"/>
    <w:bookmarkEnd w:id="485"/>
    <w:bookmarkEnd w:id="486"/>
    <w:bookmarkStart w:id="496" w:name="sedno-zaginionego-oryginału"/>
    <w:p>
      <w:pPr>
        <w:pStyle w:val="Heading3"/>
      </w:pPr>
      <w:r>
        <w:t xml:space="preserve">„Sedno” „zaginionego” Oryginału</w:t>
      </w:r>
    </w:p>
    <w:p>
      <w:pPr>
        <w:pStyle w:val="FirstParagraph"/>
      </w:pPr>
      <w:r>
        <w:t xml:space="preserve">Wracając do początkowego akapitu, czy oryginalne sformułowania zaginęły? Odpowiadam stanowczo: „</w:t>
      </w:r>
      <w:r>
        <w:rPr>
          <w:bCs/>
          <w:b/>
        </w:rPr>
        <w:t xml:space="preserve">Nie</w:t>
      </w:r>
      <w:r>
        <w:t xml:space="preserve">”. Z pewnością istnieją w masie bizantyjskiej. W moim rozumieniu za każdym razem, gdy zgadza się co najmniej 90% świadków pierwszorzędnych, nie może istnieć rozsądna wątpliwość, statystycznie niemożliwe jest, by nieoryginalny odczyt osiągnął tak wysoki wynik.</w:t>
      </w:r>
      <w:r>
        <w:rPr>
          <w:rStyle w:val="FootnoteReference"/>
        </w:rPr>
        <w:footnoteReference w:id="487"/>
      </w:r>
      <w:r>
        <w:t xml:space="preserve"> </w:t>
      </w:r>
      <w:r>
        <w:t xml:space="preserve">Za każdym razem, gdy odczyt zdobywa poświadczenie wynoszące co najmniej 80%, jego prawdopodobieństwo jest wysokie. Jednak w przypadku być może 2% słów Nowego Testamentu poświadczenie spada poniżej 80% (nieproporcjonalnie wiele z nich znajduje się w Objawieniu Jana), w tym miejscu musimy więc przenieść uwagę z manuskryptów na rodziny. Gdy wszystkie manuskrypty zostaną skolacjonowane i empirycznie przypisane do rodzin, będziemy mogli od początku ograniczyć uwagę do tych rodzin (jak uczyniłem w Objawieniu Jana). W innym miejscu wspomniałem o przypisaniu każdej rodzinie współczynnika wiarygodności opartego na obiektywnych kryteriach, trzeba tego dokonać. Niestety w tej dziedzinie czeka do odrobienia mnóstwo „pracy domowej”. O ile mi wiadomo, przynajmniej do chwili obecnej tylko Rodzina 35 ma empirycznie zdefiniowany profil (określony przez pełne kolacjonowanie reprezentatywnej liczby manuskryptów tworzących rodzinę).</w:t>
      </w:r>
      <w:r>
        <w:rPr>
          <w:rStyle w:val="FootnoteReference"/>
        </w:rPr>
        <w:footnoteReference w:id="488"/>
      </w:r>
    </w:p>
    <w:p>
      <w:pPr>
        <w:pStyle w:val="BodyText"/>
      </w:pPr>
      <w:r>
        <w:t xml:space="preserve">Wśród tych 2% o poświadczeniu poniżej 80% w zdecydowanej większości przypadków różnicy niemal nie da się odzwierciedlić w przekładzie. Czytelnik zrozumie zamierzone znaczenie przy dowolnym z wariantów. W obrębie Rodziny 35 istnieje jednak bardzo niewiele znaczącego zróżnicowania, a formę archetypalną można wykazać. Na przykład spośród czterdziestu trzech członków rodziny, których skolacjonowałem dla Listów Ogólnych, dwadzieścia osiem jest identycznych (doskonałych) dla 2 i 3 Listu Jana (lecz nie zawsze są to te same manuskrypty), dwadzieścia dwa dla Listu Judy, pięć dla 2 Listu Piotra, po cztery dla Listu Jakuba i 1 Listu Jana oraz trzy dla 1 Listu Piotra.</w:t>
      </w:r>
    </w:p>
    <w:p>
      <w:pPr>
        <w:pStyle w:val="BodyText"/>
      </w:pPr>
      <w:r>
        <w:t xml:space="preserve">Do mojego artykułu „Współczynnik staranności kopisty” (zob. wyżej, Część II) skolacjonowałem pięćdziesięciu jeden (obecnie 53) przedstawicieli Rodziny 35 dla Ewangelii Marka. Przeanalizowałem warianty zawarte w manuskrypcie 1384 (eapr, XI, Andros), spośród pięćdziesięciu trzech skolacjonowanych przeze mnie manuskryptów co najmniej czterdzieści cztery są lepsze niż 1384, jest on więc zaledwie przeciętnym przedstawicielem. Jednak z czterema wyjątkami wszędzie chodzi tylko o jedną literę lub sylabę i nigdzie znaczenie nie zostaje poważnie naruszone.</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489"/>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p>
      <w:pPr>
        <w:pStyle w:val="BodyText"/>
      </w:pPr>
      <w:r>
        <w:t xml:space="preserve">Kilka lat temu Maurice Robinson dokonał pełnego kolacjonowania 1389 manuskryptów zawierających</w:t>
      </w:r>
      <w:r>
        <w:t xml:space="preserve"> </w:t>
      </w:r>
      <w:r>
        <w:rPr>
          <w:iCs/>
          <w:i/>
        </w:rPr>
        <w:t xml:space="preserve">PA</w:t>
      </w:r>
      <w:r>
        <w:t xml:space="preserve"> </w:t>
      </w:r>
      <w:r>
        <w:t xml:space="preserve">(Ewangelia Jana 7,53-8,11),</w:t>
      </w:r>
      <w:r>
        <w:rPr>
          <w:rStyle w:val="FootnoteReference"/>
        </w:rPr>
        <w:footnoteReference w:id="490"/>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Moje założenia wstępne obejmują: istnieje Władca i Stwórca, natchnął Tekst biblijny, obiecał zachować go przez tysiąc pokoleń (1 Księga Kronik 16,15), musi więc czynnie i nieustannie interesować się tym zachowaniem (od Adama minęło mniej niż 300 pokoleń, ma więc jeszcze trochę do zrobienia!). Gdyby zachowywał oryginalne sformułowania w jakiejś innej linii przekazu niż</w:t>
      </w:r>
      <w:r>
        <w:t xml:space="preserve"> </w:t>
      </w:r>
      <w:r>
        <w:rPr>
          <w:bCs/>
          <w:b/>
        </w:rPr>
        <w:t xml:space="preserve">f</w:t>
      </w:r>
      <w:r>
        <w:rPr>
          <w:vertAlign w:val="superscript"/>
          <w:bCs/>
          <w:b/>
        </w:rPr>
        <w:t xml:space="preserve">35</w:t>
      </w:r>
      <w:r>
        <w:t xml:space="preserve">, czy przekaz ten byłby mniej staranny niż ten, który wykazałem dla</w:t>
      </w:r>
      <w:r>
        <w:t xml:space="preserve"> </w:t>
      </w:r>
      <w:r>
        <w:rPr>
          <w:bCs/>
          <w:b/>
        </w:rPr>
        <w:t xml:space="preserve">f</w:t>
      </w:r>
      <w:r>
        <w:rPr>
          <w:vertAlign w:val="superscript"/>
          <w:bCs/>
          <w:b/>
        </w:rPr>
        <w:t xml:space="preserve">35</w:t>
      </w:r>
      <w:r>
        <w:t xml:space="preserve">? Nie sądzę. Każda linia przekazu charakteryzująca się wewnętrznym pomieszaniem zostaje więc zdyskwalifikowana — obejmuje to</w:t>
      </w:r>
      <w:r>
        <w:t xml:space="preserve"> </w:t>
      </w:r>
      <w:r>
        <w:rPr>
          <w:u w:val="single"/>
          <w:bCs/>
          <w:b/>
        </w:rPr>
        <w:t xml:space="preserve">wszystkie</w:t>
      </w:r>
      <w:r>
        <w:t xml:space="preserve"> </w:t>
      </w:r>
      <w:r>
        <w:t xml:space="preserve">inne linie przekazu, jakie dotąd widziałem!</w:t>
      </w:r>
      <w:r>
        <w:rPr>
          <w:rStyle w:val="FootnoteReference"/>
        </w:rPr>
        <w:footnoteReference w:id="491"/>
      </w:r>
    </w:p>
    <w:p>
      <w:pPr>
        <w:pStyle w:val="BodyText"/>
      </w:pPr>
      <w:r>
        <w:t xml:space="preserve">Na podstawie dostępnych dotąd dowodów twierdzę, co następuje:</w:t>
      </w:r>
    </w:p>
    <w:p>
      <w:pPr>
        <w:numPr>
          <w:ilvl w:val="0"/>
          <w:numId w:val="1077"/>
        </w:numPr>
      </w:pPr>
      <w:r>
        <w:t xml:space="preserve">Oryginalne sformułowania nigdy nie „zaginęły”, a ich przekaz na przestrzeni lat był zasadniczo normalny, ponieważ od początku uznawano je za materiał natchniony.</w:t>
      </w:r>
    </w:p>
    <w:p>
      <w:pPr>
        <w:numPr>
          <w:ilvl w:val="0"/>
          <w:numId w:val="1077"/>
        </w:numPr>
      </w:pPr>
      <w:r>
        <w:t xml:space="preserve">Ten normalny proces doprowadził do powstania linii przekazu.</w:t>
      </w:r>
    </w:p>
    <w:p>
      <w:pPr>
        <w:numPr>
          <w:ilvl w:val="0"/>
          <w:numId w:val="1077"/>
        </w:numPr>
      </w:pPr>
      <w:r>
        <w:t xml:space="preserve">Aby wyznaczyć takie linie, manuskrypty trzeba empirycznie grupować na podstawie wspólnej mozaiki odczytów.</w:t>
      </w:r>
    </w:p>
    <w:p>
      <w:pPr>
        <w:numPr>
          <w:ilvl w:val="0"/>
          <w:numId w:val="1077"/>
        </w:numPr>
      </w:pPr>
      <w:r>
        <w:t xml:space="preserve">Takie grupy lub rodziny trzeba ocenić pod względem niezależności i wiarygodności.</w:t>
      </w:r>
    </w:p>
    <w:p>
      <w:pPr>
        <w:numPr>
          <w:ilvl w:val="0"/>
          <w:numId w:val="1077"/>
        </w:numPr>
      </w:pPr>
      <w:r>
        <w:t xml:space="preserve">Największą jasno zdefiniowaną grupą jest Rodzina 35.</w:t>
      </w:r>
    </w:p>
    <w:p>
      <w:pPr>
        <w:numPr>
          <w:ilvl w:val="0"/>
          <w:numId w:val="1077"/>
        </w:numPr>
      </w:pPr>
      <w:r>
        <w:t xml:space="preserve">Rodzina 35 jest w sposób możliwy do wykazania niezależna od wszystkich innych linii przekazu w całym Nowym Testamencie.</w:t>
      </w:r>
    </w:p>
    <w:p>
      <w:pPr>
        <w:numPr>
          <w:ilvl w:val="0"/>
          <w:numId w:val="1077"/>
        </w:numPr>
      </w:pPr>
      <w:r>
        <w:t xml:space="preserve">Rodzina 35 jest w sposób możliwy do wykazania starożytna, sięga co najmniej III wieku.</w:t>
      </w:r>
      <w:r>
        <w:rPr>
          <w:rStyle w:val="FootnoteReference"/>
        </w:rPr>
        <w:footnoteReference w:id="492"/>
      </w:r>
    </w:p>
    <w:p>
      <w:pPr>
        <w:numPr>
          <w:ilvl w:val="0"/>
          <w:numId w:val="1077"/>
        </w:numPr>
      </w:pPr>
      <w:r>
        <w:t xml:space="preserve">Przedstawiciele Rodziny 35 pochodzą z całego obszaru śródziemnomorskiego, rozmieszczenie geograficzne jest niemal całkowite.</w:t>
      </w:r>
      <w:r>
        <w:rPr>
          <w:rStyle w:val="FootnoteReference"/>
        </w:rPr>
        <w:footnoteReference w:id="493"/>
      </w:r>
    </w:p>
    <w:p>
      <w:pPr>
        <w:numPr>
          <w:ilvl w:val="0"/>
          <w:numId w:val="1077"/>
        </w:numPr>
      </w:pPr>
      <w:r>
        <w:t xml:space="preserve">Rodzina 35 nie jest recenzją, nie powstała w żadnym momencie późniejszym od Autografów.</w:t>
      </w:r>
    </w:p>
    <w:p>
      <w:pPr>
        <w:numPr>
          <w:ilvl w:val="0"/>
          <w:numId w:val="1077"/>
        </w:numPr>
      </w:pPr>
      <w:r>
        <w:t xml:space="preserve">Rodzina 35 jest obiektywnie/empirycznie zdefiniowaną jednostką w całym Nowym Testamencie, ma możliwy do wykazania, diagnostyczny profil od Ewangelii Mateusza 1,1 do Objawienia Jana 22,21.</w:t>
      </w:r>
    </w:p>
    <w:p>
      <w:pPr>
        <w:numPr>
          <w:ilvl w:val="0"/>
          <w:numId w:val="1077"/>
        </w:numPr>
      </w:pPr>
      <w:r>
        <w:t xml:space="preserve">Archetypalną formę Rodziny 35 można wykazać — została wykazana (zob. „Profil” wyżej, w Części II).</w:t>
      </w:r>
    </w:p>
    <w:p>
      <w:pPr>
        <w:numPr>
          <w:ilvl w:val="0"/>
          <w:numId w:val="1077"/>
        </w:numPr>
      </w:pPr>
      <w:r>
        <w:t xml:space="preserve">Tekst Oryginalny jest ostatecznym archetypem, każdy kandydat musi być również archetypem — rzeczywistym, najzupełniej prawdziwym, obiektywnie weryfikowalnym archetypem — istnieje tylko jeden (jak dotąd), Rodzina 35.</w:t>
      </w:r>
      <w:r>
        <w:rPr>
          <w:rStyle w:val="FootnoteReference"/>
        </w:rPr>
        <w:footnoteReference w:id="494"/>
      </w:r>
    </w:p>
    <w:p>
      <w:pPr>
        <w:numPr>
          <w:ilvl w:val="0"/>
          <w:numId w:val="1077"/>
        </w:numPr>
      </w:pPr>
      <w:r>
        <w:t xml:space="preserve">Troska Boga o zachowanie Tekstu biblijnego jest oczywista, uważam, że fragmenty takie jak 1 Księga Kronik 16,15, Księga Psalmów 119,89, Księga Izajasza 40,8, Ewangelia Mateusza 5,18, Ewangelia Łukasza 16,17 i 21,33, Ewangelia Jana 10,35,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077"/>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077"/>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077"/>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495"/>
      </w:r>
    </w:p>
    <w:p>
      <w:pPr>
        <w:pStyle w:val="FirstParagraph"/>
      </w:pPr>
      <w:r>
        <w:t xml:space="preserve">Twierdzę, że wykazałem wyższość Rodziny 35 na podstawie</w:t>
      </w:r>
      <w:r>
        <w:t xml:space="preserve"> </w:t>
      </w:r>
      <w:r>
        <w:rPr>
          <w:u w:val="single"/>
        </w:rPr>
        <w:t xml:space="preserve">liczebności (liczby przedstawicieli), niezależności, wieku, rozmieszczenia geograficznego, profilu (ustalonego empirycznie), staranności (zob. „Współczynnik staranności kopisty”</w:t>
      </w:r>
      <w:r>
        <w:t xml:space="preserve"> </w:t>
      </w:r>
      <w:r>
        <w:t xml:space="preserve">w Części II) i zakresu (wszystkie 27 ksiąg). Rzucam wyzwanie każdemu bez wyjątku, aby uczynił to samo dla jakiejkolwiek innej linii przekazu!</w:t>
      </w:r>
    </w:p>
    <w:bookmarkEnd w:id="496"/>
    <w:bookmarkEnd w:id="497"/>
    <w:bookmarkEnd w:id="498"/>
    <w:bookmarkStart w:id="583" w:name="dodatek"/>
    <w:p>
      <w:pPr>
        <w:pStyle w:val="Heading1"/>
      </w:pPr>
      <w:r>
        <w:t xml:space="preserve">DODATEK</w:t>
      </w:r>
    </w:p>
    <w:bookmarkStart w:id="501" w:name="nagromadzone-błędy-czternastu-stuleci"/>
    <w:p>
      <w:pPr>
        <w:pStyle w:val="Heading2"/>
      </w:pPr>
      <w:r>
        <w:t xml:space="preserve">„Nagromadzone błędy czternastu stuleci”</w:t>
      </w:r>
    </w:p>
    <w:p>
      <w:pPr>
        <w:pStyle w:val="FirstParagraph"/>
      </w:pPr>
      <w:r>
        <w:t xml:space="preserve">Manuskrypt Ewangelii GA 1700 jest najpóźniejszym datowanym manuskryptem reprezentującym Rodzinę 35, jaki zwrócił moją uwagę. Jest datowany na 1623 rok po Chr. i przechowywany w Bibliotece Narodowej Grecji. Pragnę wyrazić szczere podziękowania Center for the Study of New Testament Manuscripts za udostępnienie cyfrowej kopii tego manuskryptu. Choć pochodzi z XVII wieku, pismo jest bardzo czytelne. Dokonałem pełnego kolacjonowania tego manuskryptu dla Ewangelii Jana i zwracam uwagę na wynik. Chcę jednak przeanalizować ten wynik na tle poniższego cytatu zaczerpniętego z przedmowy do Revised Standard Version, s. ix.</w:t>
      </w:r>
    </w:p>
    <w:p>
      <w:pPr>
        <w:pStyle w:val="BlockText"/>
      </w:pPr>
      <w:r>
        <w:t xml:space="preserve">King James Version Nowego Testamentu opierała się na tekście greckim oszpeconym błędami, zawierającym nagromadzone błędy czternastu stuleci kopiowania manuskryptów… Posiadamy obecnie znacznie więcej starożytnych manuskryptów Nowego Testamentu i jesteśmy o wiele lepiej wyposażeni, by dążyć do odzyskania oryginalnych sformułowań tekstu greckiego.</w:t>
      </w:r>
    </w:p>
    <w:p>
      <w:pPr>
        <w:pStyle w:val="FirstParagraph"/>
      </w:pPr>
      <w:r>
        <w:t xml:space="preserve">Pierwszą rzeczą, która mnie tutaj interesuje, jest zarzut, że TR zawiera „nagromadzone błędy czternastu stuleci kopiowania manuskryptów”. Jeśli jest to prawdą, manuskrypt z XVII wieku powinien być prawdziwym koszem „nagromadzonych błędów”. Zobaczmy więc, jak radzi sobie GA 1700.</w:t>
      </w:r>
    </w:p>
    <w:p>
      <w:pPr>
        <w:pStyle w:val="BodyText"/>
      </w:pPr>
      <w:r>
        <w:t xml:space="preserve">Na początek ma nie mniej niż 136 odstępstw od archetypu rodziny (w Ewangelii Jana), co czyni go zdecydowanie najgorszym spośród 54 przedstawicieli rodziny, których skolacjonowałem dla tej księgi, drugi najgorszy ma „tylko” 41 odstępstw. Chociaż z powodu niedbałości i domieszki 1700 jest marginalnym członkiem Rodziny 35 w Ewangelii Jana, mimo wszystko wyraźnie jest jej członkiem. Spośród 12 odczytów, które klasyfikuję jako +++, pomija jeden, spośród 17 odczytów klasyfikowanych jako ++-- pomija jeden, spośród 17 odczytów klasyfikowanych jako ++ pomija jeden, spośród 15 odczytów klasyfikowanych jako +-- nie pomija żadnego, spośród 12 odczytów klasyfikowanych jako + pomija trzy, łącznie sześć z 44. Choć w żadnym razie nie jest to rzecz o nieskazitelnym pięknie, należy do rodziny.</w:t>
      </w:r>
      <w:r>
        <w:rPr>
          <w:rStyle w:val="FootnoteReference"/>
        </w:rPr>
        <w:footnoteReference w:id="499"/>
      </w:r>
    </w:p>
    <w:p>
      <w:pPr>
        <w:pStyle w:val="BodyText"/>
      </w:pPr>
      <w:r>
        <w:t xml:space="preserve">Wymienię teraz 136 odstępstw, podając wybrane dalsze poświadczenie wariantu 1700, wszystkie skolacjonowane przeze mnie manuskrypty</w:t>
      </w:r>
      <w:r>
        <w:t xml:space="preserve"> </w:t>
      </w:r>
      <w:r>
        <w:rPr>
          <w:bCs/>
          <w:b/>
        </w:rPr>
        <w:t xml:space="preserve">f</w:t>
      </w:r>
      <w:r>
        <w:rPr>
          <w:vertAlign w:val="superscript"/>
          <w:bCs/>
          <w:b/>
        </w:rPr>
        <w:t xml:space="preserve">35</w:t>
      </w:r>
      <w:r>
        <w:t xml:space="preserve"> </w:t>
      </w:r>
      <w:r>
        <w:t xml:space="preserve">są wymienione najpierw, a po nawiasach znajduje się wszystko inne. Moje wykazy dowodów są selektywne, wystarczają do mojego celu. Pierwszy odczyt należy do archetypu rodziny, drugi do GA 1700,</w:t>
      </w:r>
      <w:r>
        <w:rPr>
          <w:rStyle w:val="FootnoteReference"/>
        </w:rPr>
        <w:footnoteReference w:id="500"/>
      </w:r>
      <w:r>
        <w:t xml:space="preserve"> </w:t>
      </w:r>
      <w:r>
        <w:t xml:space="preserve">jeśli nie wymieniono żadnych dalszych manuskryptów, traktuję wariant jako odczyt singularny — spośród 136 łącznie co najmniej 54 są singularne, co wskazuje, że kopista był dość niedbały (powinno być oczywiste, że odczyt singularny nie może być „nagromadzonym błędem”, jest błędem prywatnym). Pozostałe 82 dają jednak do myślenia. Oto wykaz, który ponumerowałem, by ułatwić późniejszą dyskusję (numery pogrubione oznaczają odczyty singularne):</w:t>
      </w:r>
    </w:p>
    <w:p>
      <w:pPr>
        <w:numPr>
          <w:ilvl w:val="0"/>
          <w:numId w:val="1078"/>
        </w:numPr>
      </w:pPr>
      <w:r>
        <w:t xml:space="preserve">1,5 σκοτια || σκοτεια (2%) P</w:t>
      </w:r>
      <w:r>
        <w:rPr>
          <w:vertAlign w:val="superscript"/>
        </w:rPr>
        <w:t xml:space="preserve">75</w:t>
      </w:r>
      <w:r>
        <w:t xml:space="preserve"> </w:t>
      </w:r>
      <w:r>
        <w:t xml:space="preserve">C, 579 (jest to po prostu alternatywna pisownia, a zatem nie właściwy wariant, powtarza się w 12,35 i 20,1).</w:t>
      </w:r>
    </w:p>
    <w:p>
      <w:pPr>
        <w:numPr>
          <w:ilvl w:val="0"/>
          <w:numId w:val="1078"/>
        </w:numPr>
      </w:pPr>
      <w:r>
        <w:t xml:space="preserve">1,18 εις τον κολπον || εν τοις κολποις () 565 (ten przypadek jest dziwny, oba wyrażenia najwyraźniej uznawano za synonimiczne, jeśli nie można ustalić zależności, obaj kopiści dokonali zmiany niezależnie).</w:t>
      </w:r>
    </w:p>
    <w:p>
      <w:pPr>
        <w:pStyle w:val="FirstParagraph"/>
      </w:pPr>
      <w:r>
        <w:rPr>
          <w:bCs/>
          <w:b/>
        </w:rPr>
        <w:t xml:space="preserve">3.</w:t>
      </w:r>
      <w:r>
        <w:t xml:space="preserve"> </w:t>
      </w:r>
      <w:r>
        <w:t xml:space="preserve">1,19 οτε || οταν (odczyt singularny, który nie wpływa na znaczenie).</w:t>
      </w:r>
    </w:p>
    <w:p>
      <w:pPr>
        <w:numPr>
          <w:ilvl w:val="0"/>
          <w:numId w:val="1079"/>
        </w:numPr>
      </w:pPr>
      <w:r>
        <w:t xml:space="preserve">1,28 βιθαβαρα || βηθανια (65%) P</w:t>
      </w:r>
      <w:r>
        <w:rPr>
          <w:vertAlign w:val="superscript"/>
        </w:rPr>
        <w:t xml:space="preserve">66,75</w:t>
      </w:r>
      <w:r>
        <w:t xml:space="preserve"> </w:t>
      </w:r>
      <w:r>
        <w:t xml:space="preserve">ℵ A, B, C, W, Θ, 28, 579, 1424 (jest to jedno z miejsc, w których 1700 odchodzi od rodziny, nazwa miejsca rzuca się w oczy, a wariant jest odczytem dominującego typu lekcjonarza, mnich przyzwyczajony do słyszenia wariantu naturalnie zmieniłby tekst).</w:t>
      </w:r>
    </w:p>
    <w:p>
      <w:pPr>
        <w:numPr>
          <w:ilvl w:val="0"/>
          <w:numId w:val="1079"/>
        </w:numPr>
      </w:pPr>
      <w:r>
        <w:t xml:space="preserve">1,38 λεγεται || λεγετε 553, 1617, 2352 () W (formy są praktycznie synonimiczne, a zmiany dokonano przypuszczalnie niezależnie, fakt, że W również ma tę zmianę, jest jedynie ciekawostką).</w:t>
      </w:r>
    </w:p>
    <w:p>
      <w:pPr>
        <w:numPr>
          <w:ilvl w:val="0"/>
          <w:numId w:val="1079"/>
        </w:numPr>
      </w:pPr>
      <w:r>
        <w:t xml:space="preserve">1,40</w:t>
      </w:r>
      <w:r>
        <w:rPr>
          <w:vertAlign w:val="superscript"/>
        </w:rPr>
        <w:t xml:space="preserve">a</w:t>
      </w:r>
      <w:r>
        <w:t xml:space="preserve"> </w:t>
      </w:r>
      <w:r>
        <w:t xml:space="preserve">ην || 1 δε (2%) A, W, Λ, f</w:t>
      </w:r>
      <w:r>
        <w:rPr>
          <w:vertAlign w:val="superscript"/>
        </w:rPr>
        <w:t xml:space="preserve">13</w:t>
      </w:r>
      <w:r>
        <w:t xml:space="preserve">, 579, 1424 (dodatek jest „naturalny” i mógł powstać niezależnie, znaczenie nie zostaje naruszone, 1700 często zgadza się z 1424).</w:t>
      </w:r>
    </w:p>
    <w:p>
      <w:pPr>
        <w:pStyle w:val="FirstParagraph"/>
      </w:pPr>
      <w:r>
        <w:rPr>
          <w:bCs/>
          <w:b/>
        </w:rPr>
        <w:t xml:space="preserve">7.</w:t>
      </w:r>
      <w:r>
        <w:t xml:space="preserve"> </w:t>
      </w:r>
      <w:r>
        <w:t xml:space="preserve">1,40</w:t>
      </w:r>
      <w:r>
        <w:rPr>
          <w:vertAlign w:val="superscript"/>
        </w:rPr>
        <w:t xml:space="preserve">b</w:t>
      </w:r>
      <w:r>
        <w:t xml:space="preserve"> </w:t>
      </w:r>
      <w:r>
        <w:t xml:space="preserve">των δυο των ακουσαντων || ~ 3412 (odczyt singularny, który nie wpływa na znaczenie).</w:t>
      </w:r>
    </w:p>
    <w:p>
      <w:pPr>
        <w:numPr>
          <w:ilvl w:val="0"/>
          <w:numId w:val="1080"/>
        </w:numPr>
        <w:pStyle w:val="Compact"/>
      </w:pPr>
      <w:r>
        <w:t xml:space="preserve">1,42 εμβλεψας || 1 δε 1384, 1667 (20%) P</w:t>
      </w:r>
      <w:r>
        <w:rPr>
          <w:vertAlign w:val="superscript"/>
        </w:rPr>
        <w:t xml:space="preserve">75</w:t>
      </w:r>
      <w:r>
        <w:t xml:space="preserve"> </w:t>
      </w:r>
      <w:r>
        <w:t xml:space="preserve">Θ, Λ, f</w:t>
      </w:r>
      <w:r>
        <w:rPr>
          <w:vertAlign w:val="superscript"/>
        </w:rPr>
        <w:t xml:space="preserve">13</w:t>
      </w:r>
      <w:r>
        <w:t xml:space="preserve">, 1071, 1424 (dodatek jest „naturalny” i mógł powstać niezależnie, znaczenie nie zostaje naruszone).</w:t>
      </w:r>
    </w:p>
    <w:p>
      <w:pPr>
        <w:pStyle w:val="FirstParagraph"/>
      </w:pPr>
      <w:r>
        <w:rPr>
          <w:bCs/>
          <w:b/>
        </w:rPr>
        <w:t xml:space="preserve">9.</w:t>
      </w:r>
      <w:r>
        <w:t xml:space="preserve"> </w:t>
      </w:r>
      <w:r>
        <w:t xml:space="preserve">1,45 ευρηκαμεν || 1 τον (odczyt singularny, który nie wpływa na znaczenie).</w:t>
      </w:r>
    </w:p>
    <w:p>
      <w:pPr>
        <w:numPr>
          <w:ilvl w:val="0"/>
          <w:numId w:val="1081"/>
        </w:numPr>
      </w:pPr>
      <w:r>
        <w:t xml:space="preserve">1,50 μειζω || μειζονα () P</w:t>
      </w:r>
      <w:r>
        <w:rPr>
          <w:vertAlign w:val="superscript"/>
        </w:rPr>
        <w:t xml:space="preserve">66</w:t>
      </w:r>
      <w:r>
        <w:t xml:space="preserve"> </w:t>
      </w:r>
      <w:r>
        <w:t xml:space="preserve">ℵ (kopista przypuszczalnie nie miał dostępu do żadnego z wczesnych manuskryptów, jest to więc niezależna zmiana, zmiana rodzaju podyktowana wyobrażonym desygnatem, znaczenie nie zostaje naruszone).</w:t>
      </w:r>
    </w:p>
    <w:p>
      <w:pPr>
        <w:numPr>
          <w:ilvl w:val="0"/>
          <w:numId w:val="1081"/>
        </w:numPr>
      </w:pPr>
      <w:r>
        <w:t xml:space="preserve">2,5 λεγη || λεγει 1559, 1667 (30%) Θ,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2,10 συ || 1 δε (2%) ℵ, Λ, f</w:t>
      </w:r>
      <w:r>
        <w:rPr>
          <w:vertAlign w:val="superscript"/>
        </w:rPr>
        <w:t xml:space="preserve">13</w:t>
      </w:r>
      <w:r>
        <w:t xml:space="preserve">, 1071, 1346 (dodatek jest „naturalny” i mógł powstać niezależnie, znaczenie nie zostaje naruszone).</w:t>
      </w:r>
    </w:p>
    <w:p>
      <w:pPr>
        <w:numPr>
          <w:ilvl w:val="0"/>
          <w:numId w:val="1081"/>
        </w:numPr>
      </w:pPr>
      <w:r>
        <w:t xml:space="preserve">2,15 φραγελλιον || φραγγελιον 141, 685, 1694, 2466 (jest to po prostu alternatywna pisownia, a zatem nie właściwy wariant).</w:t>
      </w:r>
    </w:p>
    <w:p>
      <w:pPr>
        <w:numPr>
          <w:ilvl w:val="0"/>
          <w:numId w:val="1081"/>
        </w:numPr>
      </w:pPr>
      <w:r>
        <w:t xml:space="preserve">2,17 καταφαγεται || κατεφαγε (5%) 69, 1071 (jest to różnica czasu, która nie wpływa na znaczenie).</w:t>
      </w:r>
    </w:p>
    <w:p>
      <w:pPr>
        <w:numPr>
          <w:ilvl w:val="0"/>
          <w:numId w:val="1081"/>
        </w:numPr>
      </w:pPr>
      <w:r>
        <w:t xml:space="preserve">3,15 εχη || εχει 824, 1713, 2322 (40%) Θ, Λ, f</w:t>
      </w:r>
      <w:r>
        <w:rPr>
          <w:vertAlign w:val="superscript"/>
        </w:rPr>
        <w:t xml:space="preserve">13</w:t>
      </w:r>
      <w:r>
        <w:t xml:space="preserve">, 579, 1071, 1346, 1424 (oczekiwany jest tryb łączący, lecz tryb oznajmujący jest możliwy, prawdopodobnie nie jest to itacyzm, znaczenie nie zostaje naruszone).</w:t>
      </w:r>
    </w:p>
    <w:p>
      <w:pPr>
        <w:numPr>
          <w:ilvl w:val="0"/>
          <w:numId w:val="1081"/>
        </w:numPr>
      </w:pPr>
      <w:r>
        <w:t xml:space="preserve">3,16 εχη || εχει 824, 1686, 1559, 2322 (30%)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3,22 μετ αυτων || μετα των μαθητων αυτου () 28 (w kontekście wyrażenia są synonimiczne, znaczenie nie zostaje naruszone, zmiana jest prawdopodobnie niezależna, co czyniłoby ją odczytem „singularnym”).</w:t>
      </w:r>
    </w:p>
    <w:p>
      <w:pPr>
        <w:numPr>
          <w:ilvl w:val="0"/>
          <w:numId w:val="1081"/>
        </w:numPr>
      </w:pPr>
      <w:r>
        <w:t xml:space="preserve">3,24 την || --- () Θ, f</w:t>
      </w:r>
      <w:r>
        <w:rPr>
          <w:vertAlign w:val="superscript"/>
        </w:rPr>
        <w:t xml:space="preserve">1</w:t>
      </w:r>
      <w:r>
        <w:t xml:space="preserve">, 565 (zmiana mogła powstać niezależnie, znaczenie nie zostaje naruszone).</w:t>
      </w:r>
    </w:p>
    <w:p>
      <w:pPr>
        <w:numPr>
          <w:ilvl w:val="0"/>
          <w:numId w:val="1081"/>
        </w:numPr>
      </w:pPr>
      <w:r>
        <w:t xml:space="preserve">3,28 μοι μαρτυρειτε || ~ 21 928, 1334, 1572, 1667 (zwykłe odwrócenie szyku wyrazów, które nie wpływa na znaczenie, mogło z powodzeniem powstać niezależnie).</w:t>
      </w:r>
    </w:p>
    <w:p>
      <w:pPr>
        <w:pStyle w:val="FirstParagraph"/>
      </w:pPr>
      <w:r>
        <w:rPr>
          <w:bCs/>
          <w:b/>
        </w:rPr>
        <w:t xml:space="preserve">20.</w:t>
      </w:r>
      <w:r>
        <w:t xml:space="preserve"> </w:t>
      </w:r>
      <w:r>
        <w:t xml:space="preserve">3,36 οψεται || οψετε (formy są praktycznie synonimiczne, znaczenie nie zostaje naruszone).</w:t>
      </w:r>
    </w:p>
    <w:p>
      <w:pPr>
        <w:numPr>
          <w:ilvl w:val="0"/>
          <w:numId w:val="1082"/>
        </w:numPr>
        <w:pStyle w:val="Compact"/>
      </w:pPr>
      <w:r>
        <w:t xml:space="preserve">4,14 διψηση || διψησει (10%) P</w:t>
      </w:r>
      <w:r>
        <w:rPr>
          <w:vertAlign w:val="superscript"/>
        </w:rPr>
        <w:t xml:space="preserve">75</w:t>
      </w:r>
      <w:r>
        <w:t xml:space="preserve"> </w:t>
      </w:r>
      <w:r>
        <w:t xml:space="preserve">ℵ A, B, Θ, f</w:t>
      </w:r>
      <w:r>
        <w:rPr>
          <w:vertAlign w:val="superscript"/>
        </w:rPr>
        <w:t xml:space="preserve">13</w:t>
      </w:r>
      <w:r>
        <w:t xml:space="preserve">, 28, 1071 (oczekiwany jest tryb łączący, lecz tryb oznajmujący jest możliwy, prawdopodobnie nie jest to itacyzm, znaczenie nie zostaje naruszone).</w:t>
      </w:r>
    </w:p>
    <w:p>
      <w:pPr>
        <w:pStyle w:val="FirstParagraph"/>
      </w:pPr>
      <w:r>
        <w:rPr>
          <w:bCs/>
          <w:b/>
        </w:rPr>
        <w:t xml:space="preserve">22.</w:t>
      </w:r>
      <w:r>
        <w:t xml:space="preserve"> </w:t>
      </w:r>
      <w:r>
        <w:t xml:space="preserve">4,17 οτι || --- (cytat bezpośredni lub pośredni, znaczenie nie zostaje naruszone).</w:t>
      </w:r>
    </w:p>
    <w:p>
      <w:pPr>
        <w:pStyle w:val="BodyText"/>
      </w:pPr>
      <w:r>
        <w:rPr>
          <w:bCs/>
          <w:b/>
        </w:rPr>
        <w:t xml:space="preserve">23.</w:t>
      </w:r>
      <w:r>
        <w:t xml:space="preserve"> </w:t>
      </w:r>
      <w:r>
        <w:t xml:space="preserve">4,20 εστιν ο τοπος οπου δει προσκυνειν || ~ 56 εκει 123 (dwa sposoby powiedzenia tego samego).</w:t>
      </w:r>
    </w:p>
    <w:p>
      <w:pPr>
        <w:numPr>
          <w:ilvl w:val="0"/>
          <w:numId w:val="1083"/>
        </w:numPr>
      </w:pPr>
      <w:r>
        <w:t xml:space="preserve">4,36 χαιρη || χαιρει (30%) Θ, Λ, f</w:t>
      </w:r>
      <w:r>
        <w:rPr>
          <w:vertAlign w:val="superscript"/>
        </w:rPr>
        <w:t xml:space="preserve">13</w:t>
      </w:r>
      <w:r>
        <w:t xml:space="preserve">, 28, 579, 1071, 1424 (oczekiwany jest tryb łączący, lecz tryb oznajmujący jest możliwy, prawdopodobnie nie jest to itacyzm, znaczenie nie zostaje naruszone).</w:t>
      </w:r>
    </w:p>
    <w:p>
      <w:pPr>
        <w:numPr>
          <w:ilvl w:val="0"/>
          <w:numId w:val="1083"/>
        </w:numPr>
      </w:pPr>
      <w:r>
        <w:t xml:space="preserve">4,43 τας || --- () 1424 (mogło to powstać niezależnie, znaczenie nie zostaje naruszone).</w:t>
      </w:r>
    </w:p>
    <w:p>
      <w:pPr>
        <w:numPr>
          <w:ilvl w:val="0"/>
          <w:numId w:val="1083"/>
        </w:numPr>
      </w:pPr>
      <w:r>
        <w:t xml:space="preserve">4,48 ουν || --- () P^66*^ (przypuszczalnie powstało to niezależnie, znaczenie nie zostaje naruszone).</w:t>
      </w:r>
    </w:p>
    <w:p>
      <w:pPr>
        <w:numPr>
          <w:ilvl w:val="0"/>
          <w:numId w:val="1083"/>
        </w:numPr>
      </w:pPr>
      <w:r>
        <w:t xml:space="preserve">5,2 εβραιστι || εβραιστη 1339, 2466 (2%) f</w:t>
      </w:r>
      <w:r>
        <w:rPr>
          <w:vertAlign w:val="superscript"/>
        </w:rPr>
        <w:t xml:space="preserve">13</w:t>
      </w:r>
      <w:r>
        <w:t xml:space="preserve">, 28, 579, 1071, 1424 (jest to po prostu alternatywna pisownia, a zatem nie właściwy wariant).</w:t>
      </w:r>
    </w:p>
    <w:p>
      <w:pPr>
        <w:numPr>
          <w:ilvl w:val="0"/>
          <w:numId w:val="1083"/>
        </w:numPr>
      </w:pPr>
      <w:r>
        <w:t xml:space="preserve">5,31 εαν || 1 γαρ 2352 () 28 (dodatek jest „naturalny” i mógł powstać niezależnie, znaczenie nie zostaje naruszone).</w:t>
      </w:r>
    </w:p>
    <w:p>
      <w:pPr>
        <w:pStyle w:val="FirstParagraph"/>
      </w:pPr>
      <w:r>
        <w:rPr>
          <w:bCs/>
          <w:b/>
        </w:rPr>
        <w:t xml:space="preserve">29.</w:t>
      </w:r>
      <w:r>
        <w:t xml:space="preserve"> </w:t>
      </w:r>
      <w:r>
        <w:t xml:space="preserve">5,34 την || --- (odczyt singularny, który nie wpływa na znaczenie).</w:t>
      </w:r>
    </w:p>
    <w:p>
      <w:pPr>
        <w:pStyle w:val="BodyText"/>
      </w:pPr>
      <w:r>
        <w:rPr>
          <w:bCs/>
          <w:b/>
        </w:rPr>
        <w:t xml:space="preserve">30.</w:t>
      </w:r>
      <w:r>
        <w:t xml:space="preserve"> </w:t>
      </w:r>
      <w:r>
        <w:t xml:space="preserve">5,36 με απεσταλκεν || ~ 21 (zwykłe odwrócenie szyku wyrazów, które nie wpływa na znaczenie).</w:t>
      </w:r>
    </w:p>
    <w:p>
      <w:pPr>
        <w:pStyle w:val="BodyText"/>
      </w:pPr>
      <w:r>
        <w:rPr>
          <w:bCs/>
          <w:b/>
        </w:rPr>
        <w:t xml:space="preserve">31.</w:t>
      </w:r>
      <w:r>
        <w:t xml:space="preserve"> </w:t>
      </w:r>
      <w:r>
        <w:t xml:space="preserve">5,39</w:t>
      </w:r>
      <w:r>
        <w:rPr>
          <w:vertAlign w:val="superscript"/>
        </w:rPr>
        <w:t xml:space="preserve">a</w:t>
      </w:r>
      <w:r>
        <w:t xml:space="preserve"> </w:t>
      </w:r>
      <w:r>
        <w:t xml:space="preserve">ερευνατε || ερευναται (poprawiony odczyt singularny).</w:t>
      </w:r>
    </w:p>
    <w:p>
      <w:pPr>
        <w:numPr>
          <w:ilvl w:val="0"/>
          <w:numId w:val="1084"/>
        </w:numPr>
        <w:pStyle w:val="Compact"/>
      </w:pPr>
      <w:r>
        <w:t xml:space="preserve">5,39</w:t>
      </w:r>
      <w:r>
        <w:rPr>
          <w:vertAlign w:val="superscript"/>
        </w:rPr>
        <w:t xml:space="preserve">b</w:t>
      </w:r>
      <w:r>
        <w:t xml:space="preserve"> </w:t>
      </w:r>
      <w:r>
        <w:t xml:space="preserve">αυταις || αυτοις () 1071 (oczywisty błąd pisowni, który czytelnik automatycznie by poprawił, przy niedbałości kopisty mógł on powtórzyć błąd ze swojego egzemplarza).</w:t>
      </w:r>
    </w:p>
    <w:p>
      <w:pPr>
        <w:pStyle w:val="FirstParagraph"/>
      </w:pPr>
      <w:r>
        <w:rPr>
          <w:bCs/>
          <w:b/>
        </w:rPr>
        <w:t xml:space="preserve">33.</w:t>
      </w:r>
      <w:r>
        <w:t xml:space="preserve"> </w:t>
      </w:r>
      <w:r>
        <w:t xml:space="preserve">6,2 αυτου τα σημεια || ~ 231 (zwykłe odwrócenie szyku wyrazów, które nie wpływa na znaczenie).</w:t>
      </w:r>
    </w:p>
    <w:p>
      <w:pPr>
        <w:numPr>
          <w:ilvl w:val="0"/>
          <w:numId w:val="1085"/>
        </w:numPr>
      </w:pPr>
      <w:r>
        <w:t xml:space="preserve">6,19</w:t>
      </w:r>
      <w:r>
        <w:rPr>
          <w:vertAlign w:val="superscript"/>
        </w:rPr>
        <w:t xml:space="preserve">a</w:t>
      </w:r>
      <w:r>
        <w:t xml:space="preserve"> </w:t>
      </w:r>
      <w:r>
        <w:t xml:space="preserve">ως || ωσει (1%) A, D, f</w:t>
      </w:r>
      <w:r>
        <w:rPr>
          <w:vertAlign w:val="superscript"/>
        </w:rPr>
        <w:t xml:space="preserve">1</w:t>
      </w:r>
      <w:r>
        <w:t xml:space="preserve">, 565 (zmiana jest „łatwa” i mogła powstać niezależnie, znaczenie nie zostaje naruszone).</w:t>
      </w:r>
    </w:p>
    <w:p>
      <w:pPr>
        <w:numPr>
          <w:ilvl w:val="0"/>
          <w:numId w:val="1085"/>
        </w:numPr>
      </w:pPr>
      <w:r>
        <w:t xml:space="preserve">6,19</w:t>
      </w:r>
      <w:r>
        <w:rPr>
          <w:vertAlign w:val="superscript"/>
        </w:rPr>
        <w:t xml:space="preserve">b</w:t>
      </w:r>
      <w:r>
        <w:t xml:space="preserve"> </w:t>
      </w:r>
      <w:r>
        <w:t xml:space="preserve">γινομενον || γενομενον 128, 685 () G, 1424 (zmiana czasu, która nie wpływa na znaczenie, w rękopisach kursywnych</w:t>
      </w:r>
      <w:r>
        <w:t xml:space="preserve"> </w:t>
      </w:r>
      <w:r>
        <w:rPr>
          <w:iCs/>
          <w:i/>
        </w:rPr>
        <w:t xml:space="preserve">epsilon</w:t>
      </w:r>
      <w:r>
        <w:t xml:space="preserve"> </w:t>
      </w:r>
      <w:r>
        <w:t xml:space="preserve">i</w:t>
      </w:r>
      <w:r>
        <w:t xml:space="preserve"> </w:t>
      </w:r>
      <w:r>
        <w:rPr>
          <w:iCs/>
          <w:i/>
        </w:rPr>
        <w:t xml:space="preserve">jota</w:t>
      </w:r>
      <w:r>
        <w:t xml:space="preserve"> </w:t>
      </w:r>
      <w:r>
        <w:t xml:space="preserve">często łatwo ze sobą pomylić).</w:t>
      </w:r>
    </w:p>
    <w:p>
      <w:pPr>
        <w:numPr>
          <w:ilvl w:val="0"/>
          <w:numId w:val="1085"/>
        </w:numPr>
      </w:pPr>
      <w:r>
        <w:t xml:space="preserve">6,21 λαβειν αυτον || ~ 21 () D (zwykłe odwrócenie szyku wyrazów, przypuszczalnie niezależne, które nie wpływa na znaczenie).</w:t>
      </w:r>
    </w:p>
    <w:p>
      <w:pPr>
        <w:numPr>
          <w:ilvl w:val="0"/>
          <w:numId w:val="1085"/>
        </w:numPr>
      </w:pPr>
      <w:r>
        <w:t xml:space="preserve">6,22 ενεβησαν || ανεβησαν (12,9%) (chociaż czasowniki są odmienne, w kontekście działają jako synonimy, znaczenie nie zostaje naruszone).</w:t>
      </w:r>
    </w:p>
    <w:p>
      <w:pPr>
        <w:numPr>
          <w:ilvl w:val="0"/>
          <w:numId w:val="1085"/>
        </w:numPr>
      </w:pPr>
      <w:r>
        <w:t xml:space="preserve">6,27 την βρωσιν</w:t>
      </w:r>
      <w:r>
        <w:rPr>
          <w:vertAlign w:val="superscript"/>
        </w:rPr>
        <w:t xml:space="preserve">2</w:t>
      </w:r>
      <w:r>
        <w:t xml:space="preserve"> </w:t>
      </w:r>
      <w:r>
        <w:t xml:space="preserve">|| --- (2%) ℵ, 28, 1071 (mogło to powstać niezależnie, ponieważ wyrażenie jest powtórzeniem, jego pominięcie nie wpływa na znaczenie, jest to możliwy przypadek</w:t>
      </w:r>
      <w:r>
        <w:t xml:space="preserve"> </w:t>
      </w:r>
      <w:r>
        <w:rPr>
          <w:iCs/>
          <w:i/>
        </w:rPr>
        <w:t xml:space="preserve">homoioarcton</w:t>
      </w:r>
      <w:r>
        <w:t xml:space="preserve">).</w:t>
      </w:r>
    </w:p>
    <w:p>
      <w:pPr>
        <w:numPr>
          <w:ilvl w:val="0"/>
          <w:numId w:val="1085"/>
        </w:numPr>
      </w:pPr>
      <w:r>
        <w:t xml:space="preserve">6,30 συ || --- 201 (10%) W, f</w:t>
      </w:r>
      <w:r>
        <w:rPr>
          <w:vertAlign w:val="superscript"/>
        </w:rPr>
        <w:t xml:space="preserve">13</w:t>
      </w:r>
      <w:r>
        <w:t xml:space="preserve">, 579 (mogło to powstać niezależnie, znaczenie nie zostaje naruszone).</w:t>
      </w:r>
    </w:p>
    <w:p>
      <w:pPr>
        <w:pStyle w:val="FirstParagraph"/>
      </w:pPr>
      <w:r>
        <w:rPr>
          <w:bCs/>
          <w:b/>
        </w:rPr>
        <w:t xml:space="preserve">40.</w:t>
      </w:r>
      <w:r>
        <w:t xml:space="preserve"> </w:t>
      </w:r>
      <w:r>
        <w:t xml:space="preserve">6,32</w:t>
      </w:r>
      <w:r>
        <w:rPr>
          <w:vertAlign w:val="superscript"/>
        </w:rPr>
        <w:t xml:space="preserve">a</w:t>
      </w:r>
      <w:r>
        <w:t xml:space="preserve"> </w:t>
      </w:r>
      <w:r>
        <w:t xml:space="preserve">υμιν</w:t>
      </w:r>
      <w:r>
        <w:rPr>
          <w:vertAlign w:val="superscript"/>
        </w:rPr>
        <w:t xml:space="preserve">2</w:t>
      </w:r>
      <w:r>
        <w:t xml:space="preserve"> </w:t>
      </w:r>
      <w:r>
        <w:t xml:space="preserve">|| ημιν (itacyzm dający nonsens, nie właściwy wariant).</w:t>
      </w:r>
    </w:p>
    <w:p>
      <w:pPr>
        <w:numPr>
          <w:ilvl w:val="0"/>
          <w:numId w:val="1086"/>
        </w:numPr>
      </w:pPr>
      <w:r>
        <w:t xml:space="preserve">6,32</w:t>
      </w:r>
      <w:r>
        <w:rPr>
          <w:vertAlign w:val="superscript"/>
        </w:rPr>
        <w:t xml:space="preserve">b</w:t>
      </w:r>
      <w:r>
        <w:t xml:space="preserve"> </w:t>
      </w:r>
      <w:r>
        <w:t xml:space="preserve">αρτον</w:t>
      </w:r>
      <w:r>
        <w:rPr>
          <w:vertAlign w:val="superscript"/>
        </w:rPr>
        <w:t xml:space="preserve">2</w:t>
      </w:r>
      <w:r>
        <w:t xml:space="preserve"> </w:t>
      </w:r>
      <w:r>
        <w:t xml:space="preserve">|| 1 τον () P</w:t>
      </w:r>
      <w:r>
        <w:rPr>
          <w:vertAlign w:val="superscript"/>
        </w:rPr>
        <w:t xml:space="preserve">75v</w:t>
      </w:r>
      <w:r>
        <w:t xml:space="preserve"> </w:t>
      </w:r>
      <w:r>
        <w:t xml:space="preserve">(mogło to powstać niezależnie, znaczenie nie zostaje naruszone).</w:t>
      </w:r>
    </w:p>
    <w:p>
      <w:pPr>
        <w:numPr>
          <w:ilvl w:val="0"/>
          <w:numId w:val="1086"/>
        </w:numPr>
      </w:pPr>
      <w:r>
        <w:t xml:space="preserve">6,37 εκβαλω || εκβαλλω 18, 1617, 2466 (1%) G (zmiana czasu, która nie wpływa na znaczenie, ponieważ jednak formy wymawiano tak samo, zmiany można było dokonać niezależnie, bez zastanowienia).</w:t>
      </w:r>
    </w:p>
    <w:p>
      <w:pPr>
        <w:numPr>
          <w:ilvl w:val="0"/>
          <w:numId w:val="1086"/>
        </w:numPr>
      </w:pPr>
      <w:r>
        <w:t xml:space="preserve">6,40 εχη || εχει (8%) P</w:t>
      </w:r>
      <w:r>
        <w:rPr>
          <w:vertAlign w:val="superscript"/>
        </w:rPr>
        <w:t xml:space="preserve">66c</w:t>
      </w:r>
      <w:r>
        <w:t xml:space="preserve">, Λ</w:t>
      </w:r>
      <w:r>
        <w:rPr>
          <w:vertAlign w:val="superscript"/>
        </w:rPr>
        <w:t xml:space="preserve">c</w:t>
      </w:r>
      <w:r>
        <w:t xml:space="preserve">, f</w:t>
      </w:r>
      <w:r>
        <w:rPr>
          <w:vertAlign w:val="superscript"/>
        </w:rPr>
        <w:t xml:space="preserve">13</w:t>
      </w:r>
      <w:r>
        <w:t xml:space="preserve">, 28, 579, 1071, 1424 (oczekiwany jest tryb łączący, lecz tryb oznajmujący jest możliwy, prawdopodobnie nie jest to itacyzm, znaczenie nie zostaje naruszone).</w:t>
      </w:r>
    </w:p>
    <w:p>
      <w:pPr>
        <w:pStyle w:val="FirstParagraph"/>
      </w:pPr>
      <w:r>
        <w:rPr>
          <w:bCs/>
          <w:b/>
        </w:rPr>
        <w:t xml:space="preserve">44.</w:t>
      </w:r>
      <w:r>
        <w:t xml:space="preserve"> </w:t>
      </w:r>
      <w:r>
        <w:t xml:space="preserve">6,45 ερχεται || ερχετε (poprawiony odczyt singularny).</w:t>
      </w:r>
    </w:p>
    <w:p>
      <w:pPr>
        <w:pStyle w:val="BodyText"/>
      </w:pPr>
      <w:r>
        <w:rPr>
          <w:bCs/>
          <w:b/>
        </w:rPr>
        <w:t xml:space="preserve">45.</w:t>
      </w:r>
      <w:r>
        <w:t xml:space="preserve"> </w:t>
      </w:r>
      <w:r>
        <w:t xml:space="preserve">6,50 καταβαινων || καταβαινον (itacyzm, który niepoprawnie zmienia rodzaj).</w:t>
      </w:r>
    </w:p>
    <w:p>
      <w:pPr>
        <w:numPr>
          <w:ilvl w:val="0"/>
          <w:numId w:val="1087"/>
        </w:numPr>
        <w:pStyle w:val="Compact"/>
      </w:pPr>
      <w:r>
        <w:t xml:space="preserve">6,54 αυτον || 1 εν 1339, 1496, 1617, 1637 (25%) C, Λ, f</w:t>
      </w:r>
      <w:r>
        <w:rPr>
          <w:vertAlign w:val="superscript"/>
        </w:rPr>
        <w:t xml:space="preserve">13</w:t>
      </w:r>
      <w:r>
        <w:t xml:space="preserve">, 28, 1071 (dodatek jest „naturalny” i mógł powstać niezależnie, znaczenie nie zostaje naruszone).</w:t>
      </w:r>
    </w:p>
    <w:p>
      <w:pPr>
        <w:pStyle w:val="FirstParagraph"/>
      </w:pPr>
      <w:r>
        <w:rPr>
          <w:bCs/>
          <w:b/>
        </w:rPr>
        <w:t xml:space="preserve">47.</w:t>
      </w:r>
      <w:r>
        <w:t xml:space="preserve"> </w:t>
      </w:r>
      <w:r>
        <w:t xml:space="preserve">6,63 ωφελει || ωφελη (itacyzm).</w:t>
      </w:r>
    </w:p>
    <w:p>
      <w:pPr>
        <w:numPr>
          <w:ilvl w:val="0"/>
          <w:numId w:val="1088"/>
        </w:numPr>
      </w:pPr>
      <w:r>
        <w:t xml:space="preserve">6,65 αυτω || --- () ℵ* (mogło to powstać niezależnie, znaczenie nie zostaje naruszone).</w:t>
      </w:r>
    </w:p>
    <w:p>
      <w:pPr>
        <w:numPr>
          <w:ilvl w:val="0"/>
          <w:numId w:val="1088"/>
        </w:numPr>
      </w:pPr>
      <w:r>
        <w:t xml:space="preserve">6,67 τοις || τους () H, Y (błąd pisowni, który przypuszczalnie powstał niezależnie).</w:t>
      </w:r>
    </w:p>
    <w:p>
      <w:pPr>
        <w:pStyle w:val="FirstParagraph"/>
      </w:pPr>
      <w:r>
        <w:rPr>
          <w:bCs/>
          <w:b/>
        </w:rPr>
        <w:t xml:space="preserve">50.</w:t>
      </w:r>
      <w:r>
        <w:t xml:space="preserve"> </w:t>
      </w:r>
      <w:r>
        <w:t xml:space="preserve">6,68 απελευσομεθα || πορευσομεθα (odczyt singularny, być może egzemplarz był rozmazany, czasowniki są w tym kontekście synonimiczne, znaczenie nie zostaje naruszone).</w:t>
      </w:r>
    </w:p>
    <w:p>
      <w:pPr>
        <w:pStyle w:val="BodyText"/>
      </w:pPr>
      <w:r>
        <w:rPr>
          <w:bCs/>
          <w:b/>
        </w:rPr>
        <w:t xml:space="preserve">51.</w:t>
      </w:r>
      <w:r>
        <w:t xml:space="preserve"> </w:t>
      </w:r>
      <w:r>
        <w:t xml:space="preserve">7,1 ο ιησους μετα ταυτα || ~ 3412 (zwykłe odwrócenie szyku wyrazów, które nie wpływa na znaczenie).</w:t>
      </w:r>
    </w:p>
    <w:p>
      <w:pPr>
        <w:numPr>
          <w:ilvl w:val="0"/>
          <w:numId w:val="1089"/>
        </w:numPr>
      </w:pPr>
      <w:r>
        <w:t xml:space="preserve">7,28 αληθινος || αληθης () P</w:t>
      </w:r>
      <w:r>
        <w:rPr>
          <w:vertAlign w:val="superscript"/>
        </w:rPr>
        <w:t xml:space="preserve">66</w:t>
      </w:r>
      <w:r>
        <w:t xml:space="preserve"> </w:t>
      </w:r>
      <w:r>
        <w:t xml:space="preserve">ℵ (mogło to powstać niezależnie, znaczenie nie zostaje naruszone).</w:t>
      </w:r>
    </w:p>
    <w:p>
      <w:pPr>
        <w:numPr>
          <w:ilvl w:val="0"/>
          <w:numId w:val="1089"/>
        </w:numPr>
      </w:pPr>
      <w:r>
        <w:t xml:space="preserve">7,30 την χειρα || τας χειρας (1%) W, f</w:t>
      </w:r>
      <w:r>
        <w:rPr>
          <w:vertAlign w:val="superscript"/>
        </w:rPr>
        <w:t xml:space="preserve">1</w:t>
      </w:r>
      <w:r>
        <w:t xml:space="preserve">, 1071 (liczba pojedyncza lub mnoga w tym kontekście nie wpływa na znaczenie).</w:t>
      </w:r>
    </w:p>
    <w:p>
      <w:pPr>
        <w:pStyle w:val="FirstParagraph"/>
      </w:pPr>
      <w:r>
        <w:rPr>
          <w:bCs/>
          <w:b/>
        </w:rPr>
        <w:t xml:space="preserve">54.</w:t>
      </w:r>
      <w:r>
        <w:t xml:space="preserve"> </w:t>
      </w:r>
      <w:r>
        <w:t xml:space="preserve">7,31 ων || ωνπερ (odczyt singularny, formy są w tym kontekście synonimiczne, znaczenie nie zostaje naruszone).</w:t>
      </w:r>
    </w:p>
    <w:p>
      <w:pPr>
        <w:numPr>
          <w:ilvl w:val="0"/>
          <w:numId w:val="1090"/>
        </w:numPr>
      </w:pPr>
      <w:r>
        <w:t xml:space="preserve">7,39 ο || ου 201, 480, 547, 1384 (70%) P</w:t>
      </w:r>
      <w:r>
        <w:rPr>
          <w:vertAlign w:val="superscript"/>
        </w:rPr>
        <w:t xml:space="preserve">66</w:t>
      </w:r>
      <w:r>
        <w:t xml:space="preserve"> </w:t>
      </w:r>
      <w:r>
        <w:t xml:space="preserve">ℵ, D, W, Θ, f</w:t>
      </w:r>
      <w:r>
        <w:rPr>
          <w:vertAlign w:val="superscript"/>
        </w:rPr>
        <w:t xml:space="preserve">1,13</w:t>
      </w:r>
      <w:r>
        <w:t xml:space="preserve">, 28, 579, 1424 (jest to jedno z miejsc, w których 1700 odchodzi od rodziny, dopełniacz dostosowuje się do przypadka desygnatu, lecz biernik poprawnie podaje dopełnienie bliższe czasownika, znaczenie nie zostaje naruszone).</w:t>
      </w:r>
    </w:p>
    <w:p>
      <w:pPr>
        <w:numPr>
          <w:ilvl w:val="0"/>
          <w:numId w:val="1090"/>
        </w:numPr>
      </w:pPr>
      <w:r>
        <w:t xml:space="preserve">7,46 ουτως || --- 897 () 28 (mogło to powstać niezależnie, znaczenie nie zostaje naruszone).</w:t>
      </w:r>
    </w:p>
    <w:p>
      <w:pPr>
        <w:numPr>
          <w:ilvl w:val="0"/>
          <w:numId w:val="1090"/>
        </w:numPr>
      </w:pPr>
      <w:r>
        <w:t xml:space="preserve">7,50 ων || --- () L (mogło to powstać niezależnie, znaczenie nie zostaje naruszone).</w:t>
      </w:r>
    </w:p>
    <w:p>
      <w:pPr>
        <w:numPr>
          <w:ilvl w:val="0"/>
          <w:numId w:val="1090"/>
        </w:numPr>
      </w:pPr>
      <w:r>
        <w:t xml:space="preserve">8,4 αυτοφωρω || αυτοφορω 1145, 1334, 1559, 2352, 2466, I.2110 (60%) 124, 1346 (jest to jedno z miejsc, w których 1700 odchodzi od rodziny, są to odmienne pisownie tego samego słowa, znaczenie nie zostaje naruszone).</w:t>
      </w:r>
    </w:p>
    <w:p>
      <w:pPr>
        <w:numPr>
          <w:ilvl w:val="0"/>
          <w:numId w:val="1090"/>
        </w:numPr>
      </w:pPr>
      <w:r>
        <w:t xml:space="preserve">8,33 οτι || --- () W, f</w:t>
      </w:r>
      <w:r>
        <w:rPr>
          <w:vertAlign w:val="superscript"/>
        </w:rPr>
        <w:t xml:space="preserve">1</w:t>
      </w:r>
      <w:r>
        <w:t xml:space="preserve">, 565 (mogło to powstać niezależnie, znaczenie nie zostaje naruszone).</w:t>
      </w:r>
    </w:p>
    <w:p>
      <w:pPr>
        <w:pStyle w:val="FirstParagraph"/>
      </w:pPr>
      <w:r>
        <w:rPr>
          <w:bCs/>
          <w:b/>
        </w:rPr>
        <w:t xml:space="preserve">60.</w:t>
      </w:r>
      <w:r>
        <w:t xml:space="preserve"> </w:t>
      </w:r>
      <w:r>
        <w:t xml:space="preserve">8,36 ο υιος υμας || ~ 312 (zwykłe odwrócenie szyku wyrazów, które nie wpływa na znaczenie).</w:t>
      </w:r>
    </w:p>
    <w:p>
      <w:pPr>
        <w:numPr>
          <w:ilvl w:val="0"/>
          <w:numId w:val="1091"/>
        </w:numPr>
        <w:pStyle w:val="Compact"/>
      </w:pPr>
      <w:r>
        <w:t xml:space="preserve">8,48 σαμαρειτης || σαμαρειτις 1559, 1617 (1%) 28, 1424 (są to odmienne pisownie tego samego słowa, znaczenie nie zostaje naruszone).</w:t>
      </w:r>
    </w:p>
    <w:p>
      <w:pPr>
        <w:pStyle w:val="FirstParagraph"/>
      </w:pPr>
      <w:r>
        <w:rPr>
          <w:bCs/>
          <w:b/>
        </w:rPr>
        <w:t xml:space="preserve">62.</w:t>
      </w:r>
      <w:r>
        <w:t xml:space="preserve"> </w:t>
      </w:r>
      <w:r>
        <w:t xml:space="preserve">8,52 εγνωκαμεν || εγνωμεν (odczyt singularny, prawdopodobnie niedbały błąd, który przypadkiem zmienia czas, znaczenie nie zostaje naruszone).</w:t>
      </w:r>
    </w:p>
    <w:p>
      <w:pPr>
        <w:pStyle w:val="BodyText"/>
      </w:pPr>
      <w:r>
        <w:rPr>
          <w:bCs/>
          <w:b/>
        </w:rPr>
        <w:t xml:space="preserve">63.</w:t>
      </w:r>
      <w:r>
        <w:t xml:space="preserve"> </w:t>
      </w:r>
      <w:r>
        <w:t xml:space="preserve">8,57 ουν || --- (odczyt singularny, kopista wielokrotnie pomija ten spójnik i można się zastanawiać, dlaczego, znaczenie nie zostaje naruszone).</w:t>
      </w:r>
    </w:p>
    <w:p>
      <w:pPr>
        <w:numPr>
          <w:ilvl w:val="0"/>
          <w:numId w:val="1092"/>
        </w:numPr>
      </w:pPr>
      <w:r>
        <w:t xml:space="preserve">9,20 αυτοις || --- (5%) P</w:t>
      </w:r>
      <w:r>
        <w:rPr>
          <w:vertAlign w:val="superscript"/>
        </w:rPr>
        <w:t xml:space="preserve">66,75</w:t>
      </w:r>
      <w:r>
        <w:t xml:space="preserve"> </w:t>
      </w:r>
      <w:r>
        <w:t xml:space="preserve">ℵ, B, W, f</w:t>
      </w:r>
      <w:r>
        <w:rPr>
          <w:vertAlign w:val="superscript"/>
        </w:rPr>
        <w:t xml:space="preserve">13</w:t>
      </w:r>
      <w:r>
        <w:t xml:space="preserve"> </w:t>
      </w:r>
      <w:r>
        <w:t xml:space="preserve">(mogło to powstać niezależnie, znaczenie nie zostaje naruszone).</w:t>
      </w:r>
    </w:p>
    <w:p>
      <w:pPr>
        <w:numPr>
          <w:ilvl w:val="0"/>
          <w:numId w:val="1092"/>
        </w:numPr>
      </w:pPr>
      <w:r>
        <w:t xml:space="preserve">9,21</w:t>
      </w:r>
      <w:r>
        <w:rPr>
          <w:vertAlign w:val="superscript"/>
        </w:rPr>
        <w:t xml:space="preserve">a</w:t>
      </w:r>
      <w:r>
        <w:t xml:space="preserve"> </w:t>
      </w:r>
      <w:r>
        <w:t xml:space="preserve">ηνοιξεν || ανεωξεν () Θ, 579 (alternatywne pisownie tej samej formy, znaczenie nie zostaje naruszone).</w:t>
      </w:r>
    </w:p>
    <w:p>
      <w:pPr>
        <w:pStyle w:val="FirstParagraph"/>
      </w:pPr>
      <w:r>
        <w:rPr>
          <w:bCs/>
          <w:b/>
        </w:rPr>
        <w:t xml:space="preserve">66.</w:t>
      </w:r>
      <w:r>
        <w:t xml:space="preserve"> </w:t>
      </w:r>
      <w:r>
        <w:t xml:space="preserve">9,21</w:t>
      </w:r>
      <w:r>
        <w:rPr>
          <w:vertAlign w:val="superscript"/>
        </w:rPr>
        <w:t xml:space="preserve">b</w:t>
      </w:r>
      <w:r>
        <w:t xml:space="preserve"> </w:t>
      </w:r>
      <w:r>
        <w:t xml:space="preserve">ημεις || --- (odczyt singularny, znaczenie nie zostaje naruszone).</w:t>
      </w:r>
    </w:p>
    <w:p>
      <w:pPr>
        <w:numPr>
          <w:ilvl w:val="0"/>
          <w:numId w:val="1093"/>
        </w:numPr>
        <w:pStyle w:val="Compact"/>
      </w:pPr>
      <w:r>
        <w:t xml:space="preserve">9,24 ουν || --- () 579 (mogło to powstać niezależnie, znaczenie nie zostaje naruszone).</w:t>
      </w:r>
    </w:p>
    <w:p>
      <w:pPr>
        <w:pStyle w:val="FirstParagraph"/>
      </w:pPr>
      <w:r>
        <w:rPr>
          <w:bCs/>
          <w:b/>
        </w:rPr>
        <w:t xml:space="preserve">68.</w:t>
      </w:r>
      <w:r>
        <w:t xml:space="preserve"> </w:t>
      </w:r>
      <w:r>
        <w:t xml:space="preserve">9,35 ο ιησους || --- (odczyt singularny, możliwy przypadek</w:t>
      </w:r>
      <w:r>
        <w:t xml:space="preserve"> </w:t>
      </w:r>
      <w:r>
        <w:rPr>
          <w:iCs/>
          <w:i/>
        </w:rPr>
        <w:t xml:space="preserve">homoioarcton</w:t>
      </w:r>
      <w:r>
        <w:t xml:space="preserve">, znaczenie nie zostaje naruszone).</w:t>
      </w:r>
    </w:p>
    <w:p>
      <w:pPr>
        <w:pStyle w:val="BodyText"/>
      </w:pPr>
      <w:r>
        <w:rPr>
          <w:bCs/>
          <w:b/>
        </w:rPr>
        <w:t xml:space="preserve">69.</w:t>
      </w:r>
      <w:r>
        <w:t xml:space="preserve"> </w:t>
      </w:r>
      <w:r>
        <w:t xml:space="preserve">10,1 αναβαινων || αναβαινον (itacyzm, który niepoprawnie zmienia rodzaj).</w:t>
      </w:r>
    </w:p>
    <w:p>
      <w:pPr>
        <w:pStyle w:val="BodyText"/>
      </w:pPr>
      <w:r>
        <w:rPr>
          <w:bCs/>
          <w:b/>
        </w:rPr>
        <w:t xml:space="preserve">70.</w:t>
      </w:r>
      <w:r>
        <w:t xml:space="preserve"> </w:t>
      </w:r>
      <w:r>
        <w:t xml:space="preserve">10,5 ακολουθησωσιν || ακουσωσιν (odczyt singularny, być może egzemplarz był rozmazany, czasowniki są w tym kontekście praktycznie synonimiczne, znaczenie nie zostaje naruszone).</w:t>
      </w:r>
    </w:p>
    <w:p>
      <w:pPr>
        <w:numPr>
          <w:ilvl w:val="0"/>
          <w:numId w:val="1094"/>
        </w:numPr>
      </w:pPr>
      <w:r>
        <w:t xml:space="preserve">10,13 μελει || μελλει 83 (30%) 1424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numPr>
          <w:ilvl w:val="0"/>
          <w:numId w:val="1094"/>
        </w:numPr>
      </w:pPr>
      <w:r>
        <w:t xml:space="preserve">10,16 ακουσουσιν || ακουσωσιν (38,1%) P</w:t>
      </w:r>
      <w:r>
        <w:rPr>
          <w:vertAlign w:val="superscript"/>
        </w:rPr>
        <w:t xml:space="preserve">66</w:t>
      </w:r>
      <w:r>
        <w:t xml:space="preserve"> </w:t>
      </w:r>
      <w:r>
        <w:t xml:space="preserve">ℵ, A, W, Θ, Λ, f</w:t>
      </w:r>
      <w:r>
        <w:rPr>
          <w:vertAlign w:val="superscript"/>
        </w:rPr>
        <w:t xml:space="preserve">13</w:t>
      </w:r>
      <w:r>
        <w:t xml:space="preserve">, 28, 579, 1071, 1424 (tryb oznajmujący czasu przyszłego albo aoryst trybu łączącego, w tym kontekście pełnią tę samą funkcję).</w:t>
      </w:r>
    </w:p>
    <w:p>
      <w:pPr>
        <w:numPr>
          <w:ilvl w:val="0"/>
          <w:numId w:val="1094"/>
        </w:numPr>
      </w:pPr>
      <w:r>
        <w:t xml:space="preserve">10,18 αλλ εγω τιθημι αυτην απ εμαυτου || --- () D (są to przypuszczalnie niezależne przypadki</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numPr>
          <w:ilvl w:val="0"/>
          <w:numId w:val="1094"/>
        </w:numPr>
      </w:pPr>
      <w:r>
        <w:t xml:space="preserve">10,20 μαινεται || μενεται () P</w:t>
      </w:r>
      <w:r>
        <w:rPr>
          <w:vertAlign w:val="superscript"/>
        </w:rPr>
        <w:t xml:space="preserve">66</w:t>
      </w:r>
      <w:r>
        <w:t xml:space="preserve"> </w:t>
      </w:r>
      <w:r>
        <w:t xml:space="preserve">A, Θ, f</w:t>
      </w:r>
      <w:r>
        <w:rPr>
          <w:vertAlign w:val="superscript"/>
        </w:rPr>
        <w:t xml:space="preserve">13</w:t>
      </w:r>
      <w:r>
        <w:t xml:space="preserve"> </w:t>
      </w:r>
      <w:r>
        <w:t xml:space="preserve">(przypuszczalnie itacyzm, który niepoprawnie zmienia czasownik, dając nonsens).</w:t>
      </w:r>
    </w:p>
    <w:p>
      <w:pPr>
        <w:pStyle w:val="FirstParagraph"/>
      </w:pPr>
      <w:r>
        <w:rPr>
          <w:bCs/>
          <w:b/>
        </w:rPr>
        <w:t xml:space="preserve">75.</w:t>
      </w:r>
      <w:r>
        <w:t xml:space="preserve"> </w:t>
      </w:r>
      <w:r>
        <w:t xml:space="preserve">10,24 ουν || --- (odczyt singularny, kopista wielokrotnie pomija ten spójnik i można się zastanawiać, dlaczego, znaczenie nie zostaje naruszone).</w:t>
      </w:r>
    </w:p>
    <w:p>
      <w:pPr>
        <w:numPr>
          <w:ilvl w:val="0"/>
          <w:numId w:val="1095"/>
        </w:numPr>
      </w:pPr>
      <w:r>
        <w:t xml:space="preserve">10,40 οπου || ου () P</w:t>
      </w:r>
      <w:r>
        <w:rPr>
          <w:vertAlign w:val="superscript"/>
        </w:rPr>
        <w:t xml:space="preserve">66</w:t>
      </w:r>
      <w:r>
        <w:t xml:space="preserve"> </w:t>
      </w:r>
      <w:r>
        <w:t xml:space="preserve">(mogło to powstać niezależnie, niedbały błąd dający nonsens).</w:t>
      </w:r>
    </w:p>
    <w:p>
      <w:pPr>
        <w:numPr>
          <w:ilvl w:val="0"/>
          <w:numId w:val="1095"/>
        </w:numPr>
      </w:pPr>
      <w:r>
        <w:t xml:space="preserve">11,2 εαυτης || αυτης 547, 789, 1461 (60%) P</w:t>
      </w:r>
      <w:r>
        <w:rPr>
          <w:vertAlign w:val="superscript"/>
        </w:rPr>
        <w:t xml:space="preserve">45,66,75</w:t>
      </w:r>
      <w:r>
        <w:t xml:space="preserve"> </w:t>
      </w:r>
      <w:r>
        <w:t xml:space="preserve">ℵ, A, B, D, W, Θ, Λ, f</w:t>
      </w:r>
      <w:r>
        <w:rPr>
          <w:vertAlign w:val="superscript"/>
        </w:rPr>
        <w:t xml:space="preserve">1</w:t>
      </w:r>
      <w:r>
        <w:t xml:space="preserve">, 28, 579, 1071, 1424 (jest to jedno z miejsc, w których 1700 odchodzi od rodziny, są to dwa sposoby powiedzenia tego samego, znaczenie nie zostaje naruszone).</w:t>
      </w:r>
    </w:p>
    <w:p>
      <w:pPr>
        <w:pStyle w:val="FirstParagraph"/>
      </w:pPr>
      <w:r>
        <w:rPr>
          <w:bCs/>
          <w:b/>
        </w:rPr>
        <w:t xml:space="preserve">78.</w:t>
      </w:r>
      <w:r>
        <w:t xml:space="preserve"> </w:t>
      </w:r>
      <w:r>
        <w:t xml:space="preserve">11,5 την</w:t>
      </w:r>
      <w:r>
        <w:rPr>
          <w:vertAlign w:val="superscript"/>
        </w:rPr>
        <w:t xml:space="preserve">1</w:t>
      </w:r>
      <w:r>
        <w:t xml:space="preserve"> </w:t>
      </w:r>
      <w:r>
        <w:t xml:space="preserve">|| --- (odczyt singularny, znaczenie nie zostaje naruszone).</w:t>
      </w:r>
    </w:p>
    <w:p>
      <w:pPr>
        <w:pStyle w:val="BodyText"/>
      </w:pPr>
      <w:r>
        <w:rPr>
          <w:bCs/>
          <w:b/>
        </w:rPr>
        <w:t xml:space="preserve">79.</w:t>
      </w:r>
      <w:r>
        <w:t xml:space="preserve"> </w:t>
      </w:r>
      <w:r>
        <w:t xml:space="preserve">11,9 οτι το φως του κοσμου τουτου βλεπει || --- (odczyt singularny, przypuszczalnie przypadek</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pStyle w:val="BodyText"/>
      </w:pPr>
      <w:r>
        <w:rPr>
          <w:bCs/>
          <w:b/>
        </w:rPr>
        <w:t xml:space="preserve">80.</w:t>
      </w:r>
      <w:r>
        <w:t xml:space="preserve"> </w:t>
      </w:r>
      <w:r>
        <w:t xml:space="preserve">11,12 κυριε || --- (odczyt singularny, znaczenie nie zostaje naruszone).</w:t>
      </w:r>
    </w:p>
    <w:p>
      <w:pPr>
        <w:numPr>
          <w:ilvl w:val="0"/>
          <w:numId w:val="1096"/>
        </w:numPr>
        <w:pStyle w:val="Compact"/>
      </w:pPr>
      <w:r>
        <w:t xml:space="preserve">11,19 παραμυθησωνται || παραμυθησονται 1686 (15%) 579, 1071 (tryb oznajmujący czasu przyszłego albo aoryst trybu łączącego, w tym kontekście pełnią tę samą funkcję).</w:t>
      </w:r>
    </w:p>
    <w:p>
      <w:pPr>
        <w:pStyle w:val="FirstParagraph"/>
      </w:pPr>
      <w:r>
        <w:rPr>
          <w:bCs/>
          <w:b/>
        </w:rPr>
        <w:t xml:space="preserve">82.</w:t>
      </w:r>
      <w:r>
        <w:t xml:space="preserve"> </w:t>
      </w:r>
      <w:r>
        <w:t xml:space="preserve">11,28 εφωνησεν || ελαλησε (odczyt singularny obejmujący synonim, znaczenie nie zostaje naruszone).</w:t>
      </w:r>
    </w:p>
    <w:p>
      <w:pPr>
        <w:pStyle w:val="BodyText"/>
      </w:pPr>
      <w:r>
        <w:rPr>
          <w:bCs/>
          <w:b/>
        </w:rPr>
        <w:t xml:space="preserve">83.</w:t>
      </w:r>
      <w:r>
        <w:t xml:space="preserve"> </w:t>
      </w:r>
      <w:r>
        <w:t xml:space="preserve">11,38 εμβριμωμενος || 1 τω πνευματι (odczyt singularny, znaczenie nie zostaje naruszone).</w:t>
      </w:r>
    </w:p>
    <w:p>
      <w:pPr>
        <w:pStyle w:val="BodyText"/>
      </w:pPr>
      <w:r>
        <w:rPr>
          <w:bCs/>
          <w:b/>
        </w:rPr>
        <w:t xml:space="preserve">84.</w:t>
      </w:r>
      <w:r>
        <w:t xml:space="preserve"> </w:t>
      </w:r>
      <w:r>
        <w:t xml:space="preserve">11,39 ηδη || ηδει (itacyzm dający nonsens).</w:t>
      </w:r>
    </w:p>
    <w:p>
      <w:pPr>
        <w:pStyle w:val="BodyText"/>
      </w:pPr>
      <w:r>
        <w:rPr>
          <w:bCs/>
          <w:b/>
        </w:rPr>
        <w:t xml:space="preserve">85.</w:t>
      </w:r>
      <w:r>
        <w:t xml:space="preserve"> </w:t>
      </w:r>
      <w:r>
        <w:t xml:space="preserve">11,53 ινα αποκτεινωσιν || ιναποκτεινωσιν (niedbały błąd dający nonsens, czytelnik automatycznie uzupełniłby brakującą samogłoskę).</w:t>
      </w:r>
    </w:p>
    <w:p>
      <w:pPr>
        <w:pStyle w:val="BodyText"/>
      </w:pPr>
      <w:r>
        <w:rPr>
          <w:bCs/>
          <w:b/>
        </w:rPr>
        <w:t xml:space="preserve">86.</w:t>
      </w:r>
      <w:r>
        <w:t xml:space="preserve"> </w:t>
      </w:r>
      <w:r>
        <w:t xml:space="preserve">12,2 ανακειμενων συν || συνανακειμενων (10%) W, 28, 1071 || συνανακειμενων συν (odczyt singularny, lecz zbudowany na zależności, znaczenie nie zostaje naruszone).</w:t>
      </w:r>
    </w:p>
    <w:p>
      <w:pPr>
        <w:numPr>
          <w:ilvl w:val="0"/>
          <w:numId w:val="1097"/>
        </w:numPr>
        <w:pStyle w:val="Compact"/>
      </w:pPr>
      <w:r>
        <w:t xml:space="preserve">12,6 εμελεν || εμελλεν</w:t>
      </w:r>
      <w:r>
        <w:t xml:space="preserve"> </w:t>
      </w:r>
      <w:r>
        <w:rPr>
          <w:bCs/>
          <w:b/>
        </w:rPr>
        <w:t xml:space="preserve">f</w:t>
      </w:r>
      <w:r>
        <w:rPr>
          <w:vertAlign w:val="superscript"/>
          <w:bCs/>
          <w:b/>
        </w:rPr>
        <w:t xml:space="preserve">35pt</w:t>
      </w:r>
      <w:r>
        <w:t xml:space="preserve"> </w:t>
      </w:r>
      <w:r>
        <w:t xml:space="preserve">(60%) f</w:t>
      </w:r>
      <w:r>
        <w:rPr>
          <w:vertAlign w:val="superscript"/>
        </w:rPr>
        <w:t xml:space="preserve">13</w:t>
      </w:r>
      <w:r>
        <w:t xml:space="preserve">, 28, 1424 (jest to jedno z miejsc, w których 1700 odchodzi od rodziny,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pStyle w:val="FirstParagraph"/>
      </w:pPr>
      <w:r>
        <w:rPr>
          <w:bCs/>
          <w:b/>
        </w:rPr>
        <w:t xml:space="preserve">88.</w:t>
      </w:r>
      <w:r>
        <w:t xml:space="preserve"> </w:t>
      </w:r>
      <w:r>
        <w:t xml:space="preserve">12,7 αυτο || αυαυτο (kopista powtórzył sylabę, przechodząc z jednego wiersza do następnego).</w:t>
      </w:r>
    </w:p>
    <w:p>
      <w:pPr>
        <w:numPr>
          <w:ilvl w:val="0"/>
          <w:numId w:val="1098"/>
        </w:numPr>
        <w:pStyle w:val="Compact"/>
      </w:pPr>
      <w:r>
        <w:t xml:space="preserve">12,26</w:t>
      </w:r>
      <w:r>
        <w:rPr>
          <w:vertAlign w:val="superscript"/>
        </w:rPr>
        <w:t xml:space="preserve">a</w:t>
      </w:r>
      <w:r>
        <w:t xml:space="preserve"> </w:t>
      </w:r>
      <w:r>
        <w:t xml:space="preserve">διακονη || διακονει () 28, 1071, 1424 (oczekiwany jest tryb łączący, lecz tryb oznajmujący jest możliwy, w kontekście znaczenie nie zostaje naruszone).</w:t>
      </w:r>
    </w:p>
    <w:p>
      <w:pPr>
        <w:pStyle w:val="FirstParagraph"/>
      </w:pPr>
      <w:r>
        <w:rPr>
          <w:bCs/>
          <w:b/>
        </w:rPr>
        <w:t xml:space="preserve">90.</w:t>
      </w:r>
      <w:r>
        <w:t xml:space="preserve"> </w:t>
      </w:r>
      <w:r>
        <w:t xml:space="preserve">12,26</w:t>
      </w:r>
      <w:r>
        <w:rPr>
          <w:vertAlign w:val="superscript"/>
        </w:rPr>
        <w:t xml:space="preserve">b</w:t>
      </w:r>
      <w:r>
        <w:t xml:space="preserve"> </w:t>
      </w:r>
      <w:r>
        <w:t xml:space="preserve">διακονη || διακονει (odczyt singularny, zob. wyżej).</w:t>
      </w:r>
    </w:p>
    <w:p>
      <w:pPr>
        <w:numPr>
          <w:ilvl w:val="0"/>
          <w:numId w:val="1099"/>
        </w:numPr>
        <w:pStyle w:val="Compact"/>
      </w:pPr>
      <w:r>
        <w:t xml:space="preserve">12,37 αυτου σημεια || ~ 21 () Λ, f</w:t>
      </w:r>
      <w:r>
        <w:rPr>
          <w:vertAlign w:val="superscript"/>
        </w:rPr>
        <w:t xml:space="preserve">13</w:t>
      </w:r>
      <w:r>
        <w:t xml:space="preserve">, 579 (zwykłe odwrócenie szyku wyrazów, które nie wpływa na znaczenie).</w:t>
      </w:r>
    </w:p>
    <w:p>
      <w:pPr>
        <w:pStyle w:val="FirstParagraph"/>
      </w:pPr>
      <w:r>
        <w:rPr>
          <w:bCs/>
          <w:b/>
        </w:rPr>
        <w:t xml:space="preserve">92.</w:t>
      </w:r>
      <w:r>
        <w:t xml:space="preserve"> </w:t>
      </w:r>
      <w:r>
        <w:t xml:space="preserve">12,42 ωμολογουν || ομολογουν (odczyt singularny, itacyzm dający alternatywną pisownię, znaczenie nie zostaje naruszone).</w:t>
      </w:r>
    </w:p>
    <w:p>
      <w:pPr>
        <w:numPr>
          <w:ilvl w:val="0"/>
          <w:numId w:val="1100"/>
        </w:numPr>
        <w:pStyle w:val="Compact"/>
      </w:pPr>
      <w:r>
        <w:t xml:space="preserve">13,26 ω || ο () 579, 1071, 1424 (itacyzm, który niepoprawnie zmienia rodzaj).</w:t>
      </w:r>
    </w:p>
    <w:p>
      <w:pPr>
        <w:pStyle w:val="FirstParagraph"/>
      </w:pPr>
      <w:r>
        <w:rPr>
          <w:bCs/>
          <w:b/>
        </w:rPr>
        <w:t xml:space="preserve">94.</w:t>
      </w:r>
      <w:r>
        <w:t xml:space="preserve"> </w:t>
      </w:r>
      <w:r>
        <w:t xml:space="preserve">13,27 ουν || --- (odczyt singularny, kopista wielokrotnie pomija ten spójnik i można się zastanawiać, dlaczego, znaczenie nie zostaje naruszone).</w:t>
      </w:r>
    </w:p>
    <w:p>
      <w:pPr>
        <w:numPr>
          <w:ilvl w:val="0"/>
          <w:numId w:val="1101"/>
        </w:numPr>
      </w:pPr>
      <w:r>
        <w:t xml:space="preserve">13,29 εχομεν || εχωμεν () 579 (zmiana trybu nie wpływa na znaczenie).</w:t>
      </w:r>
    </w:p>
    <w:p>
      <w:pPr>
        <w:numPr>
          <w:ilvl w:val="0"/>
          <w:numId w:val="1101"/>
        </w:numPr>
      </w:pPr>
      <w:r>
        <w:t xml:space="preserve">13,30-31 ην δε νυξ οτε εξηλθεν || --- () G (wyraźny przypadek</w:t>
      </w:r>
      <w:r>
        <w:t xml:space="preserve"> </w:t>
      </w:r>
      <w:r>
        <w:rPr>
          <w:iCs/>
          <w:i/>
        </w:rPr>
        <w:t xml:space="preserve">homoioteleuton</w:t>
      </w:r>
      <w:r>
        <w:t xml:space="preserve">, który powstał niezależnie).</w:t>
      </w:r>
    </w:p>
    <w:p>
      <w:pPr>
        <w:numPr>
          <w:ilvl w:val="0"/>
          <w:numId w:val="1101"/>
        </w:numPr>
      </w:pPr>
      <w:r>
        <w:t xml:space="preserve">14,13 αιτησητε || αιτησηται 1145 () P</w:t>
      </w:r>
      <w:r>
        <w:rPr>
          <w:vertAlign w:val="superscript"/>
        </w:rPr>
        <w:t xml:space="preserve">66</w:t>
      </w:r>
      <w:r>
        <w:t xml:space="preserve"> </w:t>
      </w:r>
      <w:r>
        <w:t xml:space="preserve">D, W (kopista sam się poprawił).</w:t>
      </w:r>
    </w:p>
    <w:p>
      <w:pPr>
        <w:numPr>
          <w:ilvl w:val="0"/>
          <w:numId w:val="1101"/>
        </w:numPr>
      </w:pPr>
      <w:r>
        <w:t xml:space="preserve">14,23 ποιησομεν || ποιησωμεν 1667, 1686 (5%) Λ, 28, 1424 (tryb oznajmujący czasu przyszłego albo aoryst trybu łączącego, w tym kontekście pełnią tę samą funkcję).</w:t>
      </w:r>
    </w:p>
    <w:p>
      <w:pPr>
        <w:numPr>
          <w:ilvl w:val="0"/>
          <w:numId w:val="1101"/>
        </w:numPr>
      </w:pPr>
      <w:r>
        <w:t xml:space="preserve">15,2 φερη || φερει 553 () 124, 788, 1346 (oczekiwany jest tryb łączący, lecz tryb oznajmujący jest możliwy, w kontekście znaczenie nie zostaje naruszone).</w:t>
      </w:r>
    </w:p>
    <w:p>
      <w:pPr>
        <w:numPr>
          <w:ilvl w:val="0"/>
          <w:numId w:val="1101"/>
        </w:numPr>
      </w:pPr>
      <w:r>
        <w:t xml:space="preserve">15,7 αιτησεσθε || αιτησησθε () 1424 (tryb oznajmujący czasu przyszłego albo aoryst trybu łączącego, w tym kontekście pełnią tę samą funkcję).</w:t>
      </w:r>
    </w:p>
    <w:p>
      <w:pPr>
        <w:pStyle w:val="FirstParagraph"/>
      </w:pPr>
      <w:r>
        <w:rPr>
          <w:bCs/>
          <w:b/>
        </w:rPr>
        <w:t xml:space="preserve">101.</w:t>
      </w:r>
      <w:r>
        <w:t xml:space="preserve"> </w:t>
      </w:r>
      <w:r>
        <w:t xml:space="preserve">15,8 φερητε || φερηται (poprawiony odczyt singularny).</w:t>
      </w:r>
    </w:p>
    <w:p>
      <w:pPr>
        <w:pStyle w:val="BodyText"/>
      </w:pPr>
      <w:r>
        <w:rPr>
          <w:bCs/>
          <w:b/>
        </w:rPr>
        <w:t xml:space="preserve">102.</w:t>
      </w:r>
      <w:r>
        <w:t xml:space="preserve"> </w:t>
      </w:r>
      <w:r>
        <w:t xml:space="preserve">15,11 η χαρα</w:t>
      </w:r>
      <w:r>
        <w:rPr>
          <w:vertAlign w:val="superscript"/>
        </w:rPr>
        <w:t xml:space="preserve">1</w:t>
      </w:r>
      <w:r>
        <w:t xml:space="preserve"> </w:t>
      </w:r>
      <w:r>
        <w:t xml:space="preserve">|| --- (odczyt singularny powstały zarówno wskutek</w:t>
      </w:r>
      <w:r>
        <w:t xml:space="preserve"> </w:t>
      </w:r>
      <w:r>
        <w:rPr>
          <w:iCs/>
          <w:i/>
        </w:rPr>
        <w:t xml:space="preserve">homoioarcton</w:t>
      </w:r>
      <w:r>
        <w:t xml:space="preserve">, jak i</w:t>
      </w:r>
      <w:r>
        <w:t xml:space="preserve"> </w:t>
      </w:r>
      <w:r>
        <w:rPr>
          <w:iCs/>
          <w:i/>
        </w:rPr>
        <w:t xml:space="preserve">homoioteleuton</w:t>
      </w:r>
      <w:r>
        <w:t xml:space="preserve">, nie właściwy wariant).</w:t>
      </w:r>
    </w:p>
    <w:p>
      <w:pPr>
        <w:numPr>
          <w:ilvl w:val="0"/>
          <w:numId w:val="1102"/>
        </w:numPr>
        <w:pStyle w:val="Compact"/>
      </w:pPr>
      <w:r>
        <w:t xml:space="preserve">15,15 υμας λεγω || ~ 21 (1%) P</w:t>
      </w:r>
      <w:r>
        <w:rPr>
          <w:vertAlign w:val="superscript"/>
        </w:rPr>
        <w:t xml:space="preserve">66</w:t>
      </w:r>
      <w:r>
        <w:t xml:space="preserve"> </w:t>
      </w:r>
      <w:r>
        <w:t xml:space="preserve">ℵ, A, B, 579, 1071, 1424 (zwykłe odwrócenie szyku wyrazów, które nie wpływa na znaczenie).</w:t>
      </w:r>
    </w:p>
    <w:p>
      <w:pPr>
        <w:pStyle w:val="FirstParagraph"/>
      </w:pPr>
      <w:r>
        <w:rPr>
          <w:bCs/>
          <w:b/>
        </w:rPr>
        <w:t xml:space="preserve">104.</w:t>
      </w:r>
      <w:r>
        <w:t xml:space="preserve"> </w:t>
      </w:r>
      <w:r>
        <w:t xml:space="preserve">15,18 γινωσκετε || --- (niedbały odczyt singularny dający nonsens).</w:t>
      </w:r>
    </w:p>
    <w:p>
      <w:pPr>
        <w:pStyle w:val="BodyText"/>
      </w:pPr>
      <w:r>
        <w:rPr>
          <w:bCs/>
          <w:b/>
        </w:rPr>
        <w:t xml:space="preserve">105.</w:t>
      </w:r>
      <w:r>
        <w:t xml:space="preserve"> </w:t>
      </w:r>
      <w:r>
        <w:t xml:space="preserve">15,20 ουκ εστιν δουλος μειζων του κυριου αυτου || --- (niedbały odczyt singularny, być może pomijający cały wiersz w egzemplarzu, lecz powstały tekst ma dobry sens).</w:t>
      </w:r>
    </w:p>
    <w:p>
      <w:pPr>
        <w:pStyle w:val="BodyText"/>
      </w:pPr>
      <w:r>
        <w:rPr>
          <w:bCs/>
          <w:b/>
        </w:rPr>
        <w:t xml:space="preserve">106.</w:t>
      </w:r>
      <w:r>
        <w:t xml:space="preserve"> </w:t>
      </w:r>
      <w:r>
        <w:t xml:space="preserve">15,25 οτι εμισησαν με δωρεαν || --- (kolejny niedbały odczyt singularny, być może wskutek</w:t>
      </w:r>
      <w:r>
        <w:t xml:space="preserve"> </w:t>
      </w:r>
      <w:r>
        <w:rPr>
          <w:iCs/>
          <w:i/>
        </w:rPr>
        <w:t xml:space="preserve">homoioarcton</w:t>
      </w:r>
      <w:r>
        <w:t xml:space="preserve">, powstały tekst ma sens, lecz jest nieco niepełny).</w:t>
      </w:r>
    </w:p>
    <w:p>
      <w:pPr>
        <w:pStyle w:val="BodyText"/>
      </w:pPr>
      <w:r>
        <w:rPr>
          <w:bCs/>
          <w:b/>
        </w:rPr>
        <w:t xml:space="preserve">107.</w:t>
      </w:r>
      <w:r>
        <w:t xml:space="preserve"> </w:t>
      </w:r>
      <w:r>
        <w:t xml:space="preserve">16,7</w:t>
      </w:r>
      <w:r>
        <w:rPr>
          <w:vertAlign w:val="superscript"/>
        </w:rPr>
        <w:t xml:space="preserve">a</w:t>
      </w:r>
      <w:r>
        <w:t xml:space="preserve"> </w:t>
      </w:r>
      <w:r>
        <w:t xml:space="preserve">αλλ εγω την αληθειαν λεγω υμιν || --- (kolejny niedbały odczyt singularny, powstały tekst ma sens, zauważ, że kopista najwyraźniej miał zły dzień).</w:t>
      </w:r>
    </w:p>
    <w:p>
      <w:pPr>
        <w:pStyle w:val="BodyText"/>
      </w:pPr>
      <w:r>
        <w:rPr>
          <w:bCs/>
          <w:b/>
        </w:rPr>
        <w:t xml:space="preserve">108.</w:t>
      </w:r>
      <w:r>
        <w:t xml:space="preserve"> </w:t>
      </w:r>
      <w:r>
        <w:t xml:space="preserve">16,7</w:t>
      </w:r>
      <w:r>
        <w:rPr>
          <w:vertAlign w:val="superscript"/>
        </w:rPr>
        <w:t xml:space="preserve">b</w:t>
      </w:r>
      <w:r>
        <w:t xml:space="preserve"> </w:t>
      </w:r>
      <w:r>
        <w:t xml:space="preserve">υμας</w:t>
      </w:r>
      <w:r>
        <w:rPr>
          <w:vertAlign w:val="superscript"/>
        </w:rPr>
        <w:t xml:space="preserve">1</w:t>
      </w:r>
      <w:r>
        <w:t xml:space="preserve"> </w:t>
      </w:r>
      <w:r>
        <w:t xml:space="preserve">|| 1 και (odczyt singularny, znaczenie nie zostaje naruszone).</w:t>
      </w:r>
    </w:p>
    <w:p>
      <w:pPr>
        <w:numPr>
          <w:ilvl w:val="0"/>
          <w:numId w:val="1103"/>
        </w:numPr>
        <w:pStyle w:val="Compact"/>
      </w:pPr>
      <w:r>
        <w:t xml:space="preserve">16,21</w:t>
      </w:r>
      <w:r>
        <w:rPr>
          <w:vertAlign w:val="superscript"/>
        </w:rPr>
        <w:t xml:space="preserve">a</w:t>
      </w:r>
      <w:r>
        <w:t xml:space="preserve"> </w:t>
      </w:r>
      <w:r>
        <w:t xml:space="preserve">τικτη || τικτει 553 (10%) Λ, 28, 1346, 1424 (oczekiwany jest tryb łączący, lecz tryb oznajmujący jest możliwy, prawdopodobnie nie jest to itacyzm, znaczenie nie zostaje naruszone).</w:t>
      </w:r>
    </w:p>
    <w:p>
      <w:pPr>
        <w:pStyle w:val="FirstParagraph"/>
      </w:pPr>
      <w:r>
        <w:rPr>
          <w:bCs/>
          <w:b/>
        </w:rPr>
        <w:t xml:space="preserve">110.</w:t>
      </w:r>
      <w:r>
        <w:t xml:space="preserve"> </w:t>
      </w:r>
      <w:r>
        <w:t xml:space="preserve">16,21</w:t>
      </w:r>
      <w:r>
        <w:rPr>
          <w:vertAlign w:val="superscript"/>
        </w:rPr>
        <w:t xml:space="preserve">b</w:t>
      </w:r>
      <w:r>
        <w:t xml:space="preserve"> </w:t>
      </w:r>
      <w:r>
        <w:t xml:space="preserve">γεννηση || γεννησει (odczyt singularny, tryb oznajmujący czasu przyszłego albo aoryst trybu łączącego, w tym kontekście pełnią tę samą funkcję).</w:t>
      </w:r>
    </w:p>
    <w:p>
      <w:pPr>
        <w:numPr>
          <w:ilvl w:val="0"/>
          <w:numId w:val="1104"/>
        </w:numPr>
      </w:pPr>
      <w:r>
        <w:t xml:space="preserve">16,33 εχητε || εχετε (1%) Λ, 28, 1071 (oczekiwany jest tryb łączący, lecz tryb oznajmujący jest możliwy, prawdopodobnie nie jest to itacyzm, znaczenie nie zostaje naruszone).</w:t>
      </w:r>
    </w:p>
    <w:p>
      <w:pPr>
        <w:numPr>
          <w:ilvl w:val="0"/>
          <w:numId w:val="1104"/>
        </w:numPr>
      </w:pPr>
      <w:r>
        <w:t xml:space="preserve">17,10 δεδοξασμαι || δεδοξασμε (2%) P</w:t>
      </w:r>
      <w:r>
        <w:rPr>
          <w:vertAlign w:val="superscript"/>
        </w:rPr>
        <w:t xml:space="preserve">66c</w:t>
      </w:r>
      <w:r>
        <w:t xml:space="preserve"> </w:t>
      </w:r>
      <w:r>
        <w:t xml:space="preserve">ℵ, Θ, 1346, 1424 (itacyzm dający nonsens, czytelnik automatycznie dokonałby poprawki).</w:t>
      </w:r>
    </w:p>
    <w:p>
      <w:pPr>
        <w:numPr>
          <w:ilvl w:val="0"/>
          <w:numId w:val="1104"/>
        </w:numPr>
      </w:pPr>
      <w:r>
        <w:t xml:space="preserve">17,23 γινωσκη || γινωσκει 553, 1686 (2%) Λ, f</w:t>
      </w:r>
      <w:r>
        <w:rPr>
          <w:vertAlign w:val="superscript"/>
        </w:rPr>
        <w:t xml:space="preserve">13</w:t>
      </w:r>
      <w:r>
        <w:t xml:space="preserve">, 28, 579, 1071 (oczekiwany jest tryb łączący, lecz tryb oznajmujący jest możliwy, prawdopodobnie nie jest to itacyzm, znaczenie nie zostaje naruszone).</w:t>
      </w:r>
    </w:p>
    <w:p>
      <w:pPr>
        <w:numPr>
          <w:ilvl w:val="0"/>
          <w:numId w:val="1104"/>
        </w:numPr>
      </w:pPr>
      <w:r>
        <w:t xml:space="preserve">18,13 αυτον || --- (2%) P</w:t>
      </w:r>
      <w:r>
        <w:rPr>
          <w:vertAlign w:val="superscript"/>
        </w:rPr>
        <w:t xml:space="preserve">66</w:t>
      </w:r>
      <w:r>
        <w:t xml:space="preserve"> </w:t>
      </w:r>
      <w:r>
        <w:t xml:space="preserve">ℵ, B, C, D, W, 579, 1071 (powtórzenie zaimka nie jest konieczne dla sensu, znaczenie nie zostaje naruszone).</w:t>
      </w:r>
    </w:p>
    <w:p>
      <w:pPr>
        <w:pStyle w:val="FirstParagraph"/>
      </w:pPr>
      <w:r>
        <w:rPr>
          <w:bCs/>
          <w:b/>
        </w:rPr>
        <w:t xml:space="preserve">115.</w:t>
      </w:r>
      <w:r>
        <w:t xml:space="preserve"> </w:t>
      </w:r>
      <w:r>
        <w:t xml:space="preserve">18,15 τω ιησου</w:t>
      </w:r>
      <w:r>
        <w:rPr>
          <w:vertAlign w:val="superscript"/>
        </w:rPr>
        <w:t xml:space="preserve">1</w:t>
      </w:r>
      <w:r>
        <w:t xml:space="preserve"> </w:t>
      </w:r>
      <w:r>
        <w:t xml:space="preserve">|| αυτω (odczyt singularny, znaczenie nie zostaje naruszone).</w:t>
      </w:r>
    </w:p>
    <w:p>
      <w:pPr>
        <w:pStyle w:val="BodyText"/>
      </w:pPr>
      <w:r>
        <w:rPr>
          <w:bCs/>
          <w:b/>
        </w:rPr>
        <w:t xml:space="preserve">116.</w:t>
      </w:r>
      <w:r>
        <w:t xml:space="preserve"> </w:t>
      </w:r>
      <w:r>
        <w:t xml:space="preserve">18,17 συ || --- (odczyt singularny, znaczenie nie zostaje naruszone).</w:t>
      </w:r>
    </w:p>
    <w:p>
      <w:pPr>
        <w:numPr>
          <w:ilvl w:val="0"/>
          <w:numId w:val="1105"/>
        </w:numPr>
        <w:pStyle w:val="Compact"/>
      </w:pPr>
      <w:r>
        <w:t xml:space="preserve">18,25 σιμων || --- 1435 () 1424 (znaczenie nie zostaje naruszone).</w:t>
      </w:r>
    </w:p>
    <w:p>
      <w:pPr>
        <w:pStyle w:val="FirstParagraph"/>
      </w:pPr>
      <w:r>
        <w:rPr>
          <w:bCs/>
          <w:b/>
        </w:rPr>
        <w:t xml:space="preserve">118.</w:t>
      </w:r>
      <w:r>
        <w:t xml:space="preserve"> </w:t>
      </w:r>
      <w:r>
        <w:t xml:space="preserve">18,36</w:t>
      </w:r>
      <w:r>
        <w:rPr>
          <w:vertAlign w:val="superscript"/>
        </w:rPr>
        <w:t xml:space="preserve">a</w:t>
      </w:r>
      <w:r>
        <w:t xml:space="preserve"> </w:t>
      </w:r>
      <w:r>
        <w:t xml:space="preserve">ηγωνιζοντο || ηγονιζοντο (odczyt singularny, itacyzm dający błędną pisownię, znaczenie nie zostaje naruszone).</w:t>
      </w:r>
    </w:p>
    <w:p>
      <w:pPr>
        <w:pStyle w:val="BodyText"/>
      </w:pPr>
      <w:r>
        <w:rPr>
          <w:bCs/>
          <w:b/>
        </w:rPr>
        <w:t xml:space="preserve">119.</w:t>
      </w:r>
      <w:r>
        <w:t xml:space="preserve"> </w:t>
      </w:r>
      <w:r>
        <w:t xml:space="preserve">18,36</w:t>
      </w:r>
      <w:r>
        <w:rPr>
          <w:vertAlign w:val="superscript"/>
        </w:rPr>
        <w:t xml:space="preserve">b</w:t>
      </w:r>
      <w:r>
        <w:t xml:space="preserve"> </w:t>
      </w:r>
      <w:r>
        <w:t xml:space="preserve">ουκ εστιν || --- (odczyt singularny, pominięcie tworzy sprzeczność wewnątrz wersetu, nie da się powiedzieć, dlaczego kopista to uczynił, chyba że jest to niezamierzony błąd, których jest niemało).</w:t>
      </w:r>
    </w:p>
    <w:p>
      <w:pPr>
        <w:numPr>
          <w:ilvl w:val="0"/>
          <w:numId w:val="1106"/>
        </w:numPr>
        <w:pStyle w:val="Compact"/>
      </w:pPr>
      <w:r>
        <w:t xml:space="preserve">18,37 αυτω || --- 201, 2322 (pominięcie nie wpływa na znaczenie).</w:t>
      </w:r>
    </w:p>
    <w:p>
      <w:pPr>
        <w:pStyle w:val="FirstParagraph"/>
      </w:pPr>
      <w:r>
        <w:rPr>
          <w:bCs/>
          <w:b/>
        </w:rPr>
        <w:t xml:space="preserve">121.</w:t>
      </w:r>
      <w:r>
        <w:t xml:space="preserve"> </w:t>
      </w:r>
      <w:r>
        <w:t xml:space="preserve">18,39</w:t>
      </w:r>
      <w:r>
        <w:rPr>
          <w:vertAlign w:val="superscript"/>
        </w:rPr>
        <w:t xml:space="preserve">a</w:t>
      </w:r>
      <w:r>
        <w:t xml:space="preserve"> </w:t>
      </w:r>
      <w:r>
        <w:t xml:space="preserve">συνηθεια || συνηθει (odczyt singularny, niedbały błąd pisowni).</w:t>
      </w:r>
    </w:p>
    <w:p>
      <w:pPr>
        <w:numPr>
          <w:ilvl w:val="0"/>
          <w:numId w:val="1107"/>
        </w:numPr>
        <w:pStyle w:val="Compact"/>
      </w:pPr>
      <w:r>
        <w:t xml:space="preserve">18,39</w:t>
      </w:r>
      <w:r>
        <w:rPr>
          <w:vertAlign w:val="superscript"/>
        </w:rPr>
        <w:t xml:space="preserve">b</w:t>
      </w:r>
      <w:r>
        <w:t xml:space="preserve"> </w:t>
      </w:r>
      <w:r>
        <w:t xml:space="preserve">ημιν || υμιν 928, 1334, 1572, 1667 (80%) ℵ, A, B, W, Θ, Λ, f</w:t>
      </w:r>
      <w:r>
        <w:rPr>
          <w:vertAlign w:val="superscript"/>
        </w:rPr>
        <w:t xml:space="preserve">1,13</w:t>
      </w:r>
      <w:r>
        <w:t xml:space="preserve">, 28, 579, 1071, 1346, 1424 (jest to jedno z miejsc, w których 1700 odchodzi od rodziny, pierwotna zmiana była prawdopodobnie celowa i wprowadziła nieprawdopodobieństwo, trudno uwierzyć, by cesarski Rzym uwolnił więźnia na podstawie żądania Żydów, zmiana ma jednak niewielki wpływ na całkowite znaczenie opisu).</w:t>
      </w:r>
    </w:p>
    <w:p>
      <w:pPr>
        <w:pStyle w:val="FirstParagraph"/>
      </w:pPr>
      <w:r>
        <w:rPr>
          <w:bCs/>
          <w:b/>
        </w:rPr>
        <w:t xml:space="preserve">123.</w:t>
      </w:r>
      <w:r>
        <w:t xml:space="preserve"> </w:t>
      </w:r>
      <w:r>
        <w:t xml:space="preserve">18,39</w:t>
      </w:r>
      <w:r>
        <w:rPr>
          <w:vertAlign w:val="superscript"/>
        </w:rPr>
        <w:t xml:space="preserve">c</w:t>
      </w:r>
      <w:r>
        <w:t xml:space="preserve"> </w:t>
      </w:r>
      <w:r>
        <w:t xml:space="preserve">υμιν</w:t>
      </w:r>
      <w:r>
        <w:rPr>
          <w:vertAlign w:val="superscript"/>
        </w:rPr>
        <w:t xml:space="preserve">2</w:t>
      </w:r>
      <w:r>
        <w:t xml:space="preserve"> </w:t>
      </w:r>
      <w:r>
        <w:t xml:space="preserve">|| 1 ινα (odczyt singularny, znaczenie nie zostaje naruszone).</w:t>
      </w:r>
    </w:p>
    <w:p>
      <w:pPr>
        <w:pStyle w:val="BodyText"/>
      </w:pPr>
      <w:r>
        <w:rPr>
          <w:bCs/>
          <w:b/>
        </w:rPr>
        <w:t xml:space="preserve">124.</w:t>
      </w:r>
      <w:r>
        <w:t xml:space="preserve"> </w:t>
      </w:r>
      <w:r>
        <w:t xml:space="preserve">19,1 ελαβεν || --- (odczyt singularny, możliwy przypadek</w:t>
      </w:r>
      <w:r>
        <w:t xml:space="preserve"> </w:t>
      </w:r>
      <w:r>
        <w:rPr>
          <w:iCs/>
          <w:i/>
        </w:rPr>
        <w:t xml:space="preserve">homoioteleuton</w:t>
      </w:r>
      <w:r>
        <w:t xml:space="preserve">, pominięcie czasownika pozostawia zdanie niepełne).</w:t>
      </w:r>
    </w:p>
    <w:p>
      <w:pPr>
        <w:numPr>
          <w:ilvl w:val="0"/>
          <w:numId w:val="1108"/>
        </w:numPr>
      </w:pPr>
      <w:r>
        <w:t xml:space="preserve">19,13 εβραιστι || εβραιστη () f</w:t>
      </w:r>
      <w:r>
        <w:rPr>
          <w:vertAlign w:val="superscript"/>
        </w:rPr>
        <w:t xml:space="preserve">13</w:t>
      </w:r>
      <w:r>
        <w:t xml:space="preserve">, 28</w:t>
      </w:r>
      <w:r>
        <w:rPr>
          <w:vertAlign w:val="superscript"/>
        </w:rPr>
        <w:t xml:space="preserve">s</w:t>
      </w:r>
      <w:r>
        <w:t xml:space="preserve">, 579, 1346, 1424 (jest to po prostu alternatywna pisownia, a zatem nie właściwy wariant).</w:t>
      </w:r>
    </w:p>
    <w:p>
      <w:pPr>
        <w:numPr>
          <w:ilvl w:val="0"/>
          <w:numId w:val="1108"/>
        </w:numPr>
      </w:pPr>
      <w:r>
        <w:t xml:space="preserve">19,15 εχομεν || εχωμεν 1686 () Λ, 579, 1346 (tryb oznajmujący jest wyraźnie poprawny, może to więc być itacyzm).</w:t>
      </w:r>
    </w:p>
    <w:p>
      <w:pPr>
        <w:numPr>
          <w:ilvl w:val="0"/>
          <w:numId w:val="1108"/>
        </w:numPr>
      </w:pPr>
      <w:r>
        <w:t xml:space="preserve">19,17 εβραιστι || εβραιστη () 579, 1071, 1424 (jest to po prostu alternatywna pisownia, a zatem nie właściwy wariant).</w:t>
      </w:r>
    </w:p>
    <w:p>
      <w:pPr>
        <w:pStyle w:val="FirstParagraph"/>
      </w:pPr>
      <w:r>
        <w:rPr>
          <w:bCs/>
          <w:b/>
        </w:rPr>
        <w:t xml:space="preserve">128.</w:t>
      </w:r>
      <w:r>
        <w:t xml:space="preserve"> </w:t>
      </w:r>
      <w:r>
        <w:t xml:space="preserve">19,24 ιματισμον || ιματις (odczyt singularny, niedbały błąd, czytelnik automatycznie dokonałby poprawki).</w:t>
      </w:r>
    </w:p>
    <w:p>
      <w:pPr>
        <w:pStyle w:val="BodyText"/>
      </w:pPr>
      <w:r>
        <w:rPr>
          <w:bCs/>
          <w:b/>
        </w:rPr>
        <w:t xml:space="preserve">129.</w:t>
      </w:r>
      <w:r>
        <w:t xml:space="preserve"> </w:t>
      </w:r>
      <w:r>
        <w:t xml:space="preserve">19,25</w:t>
      </w:r>
      <w:r>
        <w:rPr>
          <w:vertAlign w:val="superscript"/>
        </w:rPr>
        <w:t xml:space="preserve">a</w:t>
      </w:r>
      <w:r>
        <w:t xml:space="preserve"> </w:t>
      </w:r>
      <w:r>
        <w:t xml:space="preserve">ειστηκεισαν || ειστηκει (odczyt singularny, zmiana sprawia, że podmiot czasownika jest w liczbie pojedynczej zamiast mnogiej, co wynika z częściowego odczytania wersetu, czytelnik dokonałby koniecznej poprawki).</w:t>
      </w:r>
    </w:p>
    <w:p>
      <w:pPr>
        <w:numPr>
          <w:ilvl w:val="0"/>
          <w:numId w:val="1109"/>
        </w:numPr>
      </w:pPr>
      <w:r>
        <w:t xml:space="preserve">19,25</w:t>
      </w:r>
      <w:r>
        <w:rPr>
          <w:vertAlign w:val="superscript"/>
        </w:rPr>
        <w:t xml:space="preserve">b</w:t>
      </w:r>
      <w:r>
        <w:t xml:space="preserve"> </w:t>
      </w:r>
      <w:r>
        <w:t xml:space="preserve">μαγδαληνη || μαγδαλινη 1384 () 1071 (jest to po prostu alternatywna pisownia, a zatem nie właściwy wariant).</w:t>
      </w:r>
    </w:p>
    <w:p>
      <w:pPr>
        <w:numPr>
          <w:ilvl w:val="0"/>
          <w:numId w:val="1109"/>
        </w:numPr>
      </w:pPr>
      <w:r>
        <w:t xml:space="preserve">19,28 τουτο || ταυτα () U (niezależny błąd, który nie wpływa na znaczenie).</w:t>
      </w:r>
    </w:p>
    <w:p>
      <w:pPr>
        <w:numPr>
          <w:ilvl w:val="0"/>
          <w:numId w:val="1109"/>
        </w:numPr>
      </w:pPr>
      <w:r>
        <w:t xml:space="preserve">20,5 κειμενα || --- () Λ (pominięcie nie zmienia znaczenia).</w:t>
      </w:r>
    </w:p>
    <w:p>
      <w:pPr>
        <w:numPr>
          <w:ilvl w:val="0"/>
          <w:numId w:val="1109"/>
        </w:numPr>
      </w:pPr>
      <w:r>
        <w:t xml:space="preserve">20,11 τω μνημειω || το μνημειον (50%) Θ, Λ, f</w:t>
      </w:r>
      <w:r>
        <w:rPr>
          <w:vertAlign w:val="superscript"/>
        </w:rPr>
        <w:t xml:space="preserve">13</w:t>
      </w:r>
      <w:r>
        <w:t xml:space="preserve">, 579, 1071, 1346, 1424 (przyimek łączy się zarówno z celownikiem, jak i biernikiem, w kontekście znaczenie nie zostaje naruszone).</w:t>
      </w:r>
    </w:p>
    <w:p>
      <w:pPr>
        <w:numPr>
          <w:ilvl w:val="0"/>
          <w:numId w:val="1109"/>
        </w:numPr>
      </w:pPr>
      <w:r>
        <w:t xml:space="preserve">20,19 αυτοις || --- () ℵ (niezależne pominięcie, które nie zmienia znaczenia).</w:t>
      </w:r>
    </w:p>
    <w:p>
      <w:pPr>
        <w:numPr>
          <w:ilvl w:val="0"/>
          <w:numId w:val="1109"/>
        </w:numPr>
      </w:pPr>
      <w:r>
        <w:t xml:space="preserve">21,13 ουν || --- (2%) P</w:t>
      </w:r>
      <w:r>
        <w:rPr>
          <w:vertAlign w:val="superscript"/>
        </w:rPr>
        <w:t xml:space="preserve">122</w:t>
      </w:r>
      <w:r>
        <w:t xml:space="preserve"> </w:t>
      </w:r>
      <w:r>
        <w:t xml:space="preserve">ℵ, B, C, D, W, f</w:t>
      </w:r>
      <w:r>
        <w:rPr>
          <w:vertAlign w:val="superscript"/>
        </w:rPr>
        <w:t xml:space="preserve">1</w:t>
      </w:r>
      <w:r>
        <w:t xml:space="preserve"> </w:t>
      </w:r>
      <w:r>
        <w:t xml:space="preserve">(przypuszczalnie niezależny błąd, zważywszy na skłonność kopisty do pomijania tego spójnika, znaczenie nie zostaje naruszone).</w:t>
      </w:r>
    </w:p>
    <w:p>
      <w:pPr>
        <w:numPr>
          <w:ilvl w:val="0"/>
          <w:numId w:val="1109"/>
        </w:numPr>
      </w:pPr>
      <w:r>
        <w:t xml:space="preserve">21,15 ο ιησους || --- () 1424 (błąd, który nie wpływa na znaczenie).</w:t>
      </w:r>
    </w:p>
    <w:p>
      <w:pPr>
        <w:pStyle w:val="FirstParagraph"/>
      </w:pPr>
      <w:r>
        <w:t xml:space="preserve">Jak na przedstawiciela Rodziny 35 jest to rozczarowujący manuskrypt, przeanalizujmy jednak szczegółowo zróżnicowanie. Spośród 136 odstępstw od archetypu rodziny 54 to odczyty singularne, z nielicznymi wyjątkami nie wpływają one na znaczenie, łącznie z pewną liczbą takich, które nie są właściwymi wariantami — to, co wyżej nazwałem „niedbałym odczytem singularnym”, uważam za niezamierzony błąd, a zatem nie właściwy wariant. Jeśli żaden inny znany manuskrypt nie ma danej zmiany, wówczas coś stworzonego w XVII wieku nie jest wariantem. 136 - 54 = 82, zwróćmy więc uwagę na 82. Spośród nich dziewięć to zwykłe alternatywne pisownie, a zatem nie właściwe warianty (są to: 1, 13, 27, 58, 61, 65, 125, 127, 130). 82 - 9 = 73, spośród nich 16 to odstępstwa wspólne z wczesnymi kodeksami, przy których trudno uwierzyć, by mogła istnieć zależność, co z punktu widzenia kopisty 1700 czyni je odczytami singularnymi (10, 26, 36, 41, 48, 49, 52, 57, 73, 76, 96, 97, 131, 132, 134, 135). Powiedziałbym, że poprawnym wnioskiem, jaki należy wyprowadzić z przedstawionych nam dowodów, jest to, iż kopiści, którzy sporządzili te wczesne manuskrypty, również byli niedbali i oszpecili swoją pracę głupimi błędami. 73 - 16 = 57 (znacznie mniej niż połowa całości).</w:t>
      </w:r>
    </w:p>
    <w:p>
      <w:pPr>
        <w:pStyle w:val="BodyText"/>
      </w:pPr>
      <w:r>
        <w:t xml:space="preserve">Patrząc na dowody, wydaje się jasne, że GA 1700 zawiera pewną domieszkę. Spośród 66 odczytów niesingularnych (136 - 54 - 16 = 66) 1700 dzieli wariant z 1424 trzydzieści razy, z 1071 dwadzieścia osiem razy, z 28 dwadzieścia cztery razy, z f</w:t>
      </w:r>
      <w:r>
        <w:rPr>
          <w:vertAlign w:val="superscript"/>
        </w:rPr>
        <w:t xml:space="preserve">13</w:t>
      </w:r>
      <w:r>
        <w:t xml:space="preserve"> </w:t>
      </w:r>
      <w:r>
        <w:t xml:space="preserve">dwadzieścia dwa razy, z 579 dwadzieścia jeden razy, z Λ dziewiętnaście razy.</w:t>
      </w:r>
      <w:r>
        <w:t xml:space="preserve"> </w:t>
      </w:r>
      <w:r>
        <w:rPr>
          <w:bCs/>
          <w:b/>
        </w:rPr>
        <w:t xml:space="preserve">Jednak</w:t>
      </w:r>
      <w:r>
        <w:t xml:space="preserve"> </w:t>
      </w:r>
      <w:r>
        <w:t xml:space="preserve">analiza 66 wariantów, a właściwie całych 136, ujawnia następującą informację, zarazem zdumiewającą i znaczącą: tylko o dwóch właściwych wariantach można powiedzieć, że w jakikolwiek sposób zmieniają znaczenie — 4 i 122! Zanim jednak przyjrzę się im dokładniej, powinienem wspomnieć, że 1700 dzieli wariant z ℵ siedemnaście razy, z P</w:t>
      </w:r>
      <w:r>
        <w:rPr>
          <w:vertAlign w:val="superscript"/>
        </w:rPr>
        <w:t xml:space="preserve">66</w:t>
      </w:r>
      <w:r>
        <w:t xml:space="preserve"> </w:t>
      </w:r>
      <w:r>
        <w:t xml:space="preserve">i W po piętnaście razy, z A dziewięć razy, z B i D po osiem razy, lecz jak już argumentowałem, trudno twierdzić, że istnieje zależność, błędy po prostu popełniono niezależnie (z wyjątkiem nielicznych miejsc, w których występuje masowa zgodność).</w:t>
      </w:r>
    </w:p>
    <w:p>
      <w:pPr>
        <w:pStyle w:val="BodyText"/>
      </w:pPr>
      <w:r>
        <w:t xml:space="preserve">Przeanalizuję teraz pozycje 4 i 122. Czy miejscem, w którym Jan chrzcił, była Bitabara czy Betania? Niezależnie od tego, którą nazwę wybierzemy, nie znamy dokładnego miejsca poza tym, że znajdowało się po wschodniej stronie rzeki Jordan. (Mapy, które umieszczają je po zachodniej stronie, wprowadzają swoich czytelników w błąd). Kto od samego początku w Azji Mniejszej lub Europie znałby dokładne miejsce, niezależnie od jego nazwy? Wynika z tego, że wybór nazwy nie ma znaczenia dla istoty narracji, ważne jest</w:t>
      </w:r>
      <w:r>
        <w:t xml:space="preserve"> </w:t>
      </w:r>
      <w:r>
        <w:rPr>
          <w:u w:val="single"/>
        </w:rPr>
        <w:t xml:space="preserve">co się wydarzyło, a nie gdzie się wydarzyło</w:t>
      </w:r>
      <w:r>
        <w:t xml:space="preserve">.</w:t>
      </w:r>
    </w:p>
    <w:p>
      <w:pPr>
        <w:pStyle w:val="BodyText"/>
      </w:pPr>
      <w:r>
        <w:t xml:space="preserve">Czy Piłat powiedział: „Mamy zwyczaj”, czy „Macie zwyczaj” (122)? Poświadczenie manuskryptów na rzecz „wy” wynosi 80%. Ale naprawdę, jak Żydzi mogli mieć zwyczaj nakładający zobowiązanie na ich zdobywców? Trudno uwierzyć, by cesarski Rzym uwolnił więźnia na podstawie żądania Żydów, dlatego odczyt Rodziny 35 jest niewątpliwie poprawny. Niezależnie od tego wybór zaimka ma niewielkie znaczenie dla istoty narracji, którą jest to, że Żydzi wybrali Barabasza zamiast Jezusa.</w:t>
      </w:r>
    </w:p>
    <w:p>
      <w:pPr>
        <w:pStyle w:val="BodyText"/>
      </w:pPr>
      <w:r>
        <w:t xml:space="preserve">Chociaż jako przedstawiciel Rodziny 35 GA 1700 jest dość żałosny, mimo wszystko ktoś czytający 1700 w celach pobożnościowych nie zostałby w żadnym miejscu wprowadzony w błąd co do zamierzonego znaczenia! Twierdzę, że wniosek ten ma wielkie znaczenie. Pomimo 136 odstępstw 1700 jest adekwatną kopią Ewangelii Jana do wszystkich celów praktycznych. Co zatem ze wszystkimi tymi paskudnymi „nagromadzonymi błędami”, o których mówi przedmowa RSV? Uznaję możliwość, że 1700 może zawierać do 57 odziedziczonych błędów, błędów przejętych z egzemplarza, ponieważ jednak miałyby one niewielki wpływ albo nie miałyby żadnego wpływu na przekład na język angielski, nie odpowiadają celowi RSV przy wspominaniu o „nagromadzonych błędach”.</w:t>
      </w:r>
    </w:p>
    <w:p>
      <w:pPr>
        <w:pStyle w:val="BodyText"/>
      </w:pPr>
      <w:r>
        <w:t xml:space="preserve">Wracając do przedmowy RSV, zwracam teraz uwagę na ostatnie zdanie: „Posiadamy obecnie znacznie więcej starożytnych manuskryptów Nowego Testamentu i jesteśmy o wiele lepiej wyposażeni, by dążyć do odzyskania oryginalnych sformułowań tekstu greckiego”. Użycie czasownika „odzyskać” wskazuje, że uważali oryginalne sformułowania za zaginione. Powiązanie „o wiele lepiej wyposażeni” z „więcej starożytnych manuskryptów” wskazuje, że uznawali starsze za lepsze. Komitet, który opracował RSV, użył w istocie tekstu greckiego silnie opartego na Kodeksie Watykańskim i Synajskim. Dziesiątki lat wcześniej Herman C. Hoskier opublikował jednak</w:t>
      </w:r>
      <w:r>
        <w:t xml:space="preserve"> </w:t>
      </w:r>
      <w:r>
        <w:rPr>
          <w:iCs/>
          <w:i/>
        </w:rPr>
        <w:t xml:space="preserve">Codex B and its Allies, a Study and an Indictment</w:t>
      </w:r>
      <w:r>
        <w:t xml:space="preserve"> </w:t>
      </w:r>
      <w:r>
        <w:t xml:space="preserve">(Londyn: Bernard Quaritch, 2 tomy, 1914). Obiektywnie wykazał, że wymienione kodeksy nie są dobrymi kopiami. Komitet RSV najwyraźniej zignorował pracę Hoskiera. Powiedziałbym, że temu, kto napisał przedmowę RSV, brakowało uczciwości. Rzekome „nagromadzone błędy” były jedynie zasłoną dymną, która miała zwieść czytelnika i bronić użycia radykalnie odmiennego tekstu greckiego, tekstu zawierającego błędy rzeczowe i jawne sprzeczności, a także setki poważnych zmian. Powiedziałbym, że każdy, kto nadal wierzy zarzutom zawartym w cytacie z przedmowy RSV, w istocie przyjmuje</w:t>
      </w:r>
      <w:r>
        <w:t xml:space="preserve"> </w:t>
      </w:r>
      <w:r>
        <w:rPr>
          <w:bCs/>
          <w:b/>
        </w:rPr>
        <w:t xml:space="preserve">kaczki dziennikarskie</w:t>
      </w:r>
      <w:r>
        <w:t xml:space="preserve">.</w:t>
      </w:r>
    </w:p>
    <w:bookmarkEnd w:id="501"/>
    <w:bookmarkStart w:id="503" w:name="ocena-podstawowej-zasady"/>
    <w:p>
      <w:pPr>
        <w:pStyle w:val="Heading2"/>
      </w:pPr>
      <w:r>
        <w:t xml:space="preserve">Ocena „podstawowej zasady”</w:t>
      </w:r>
    </w:p>
    <w:p>
      <w:pPr>
        <w:pStyle w:val="FirstParagraph"/>
      </w:pPr>
      <w:r>
        <w:t xml:space="preserve">Każdy, kto studiuje krytykę tekstu Nowego Testamentu, napotka następujące stwierdzenie: podstawowa zasada krytyki tekstu brzmi: wybierz odczyt, który najlepiej wyjaśnia powstanie pozostałych (lub coś podobnego). Niewtajemniczony czytelnik prawdopodobnie nie dostrzeże, że stwierdzenie to zależy od pewnych założeń wstępnych (które mogą być błędne). Krytyka tekstu istnieje tylko w odniesieniu do tekstów, których oryginalne sformułowania uważa się za „zaginione”. Nikt nie prowadzi krytyki tekstu dzisiejszej gazety ani zeszłotygodniowego magazynu informacyjnego. Nikt nie prowadzi nawet krytyki tekstu King James Version z 1611 roku, ponieważ nadal mamy jej drukowane egzemplarze. Każdy obeznany z terenem wie, że przez ostatnich mniej więcej 140 lat świat akademicki był zdominowany przez pogląd, iż oryginalne sformułowania tekstu Nowego Testamentu rzeczywiście „zaginęły”. Pogląd ten opiera się wprost na teorii Horta. Teoria ta zaprzecza: 1) że pisma Nowego Testamentu były natchnione przez Boga, 2) że wczesny Kościół uznawał je za Pismo, 3) że otaczano je jakąkolwiek szczególną troską lub ochroną. W rezultacie, zanim przesądność i łatwowierność chrześcijan wyniosły pisma Nowego Testamentu do statusu „Pisma”, oryginalne sformułowania bezpowrotnie „zaginęły”, w tym sensie, że nikt nie wiedział, jakie były. Dlatego też, jak głosi teoria, nie można odzyskać oryginalnych sformułowań za pomocą obiektywnych kryteriów, odwołują się więc do kryteriów subiektywnych. (Dla każdego myślącego człowieka powinno być oczywiste, że stawia to krytyka ponad tekstem. Zauważ ponadto, że nie istnieje sposób, by wiedzieć, czy je znaleźli).</w:t>
      </w:r>
    </w:p>
    <w:p>
      <w:pPr>
        <w:pStyle w:val="BodyText"/>
      </w:pPr>
      <w:r>
        <w:t xml:space="preserve">Pogląd, że oryginalne sformułowania tekstu Nowego Testamentu „zaginęły”, odrzuca (albo przynajmniej ignoruje) dowody historyczne pokazujące, że przekaz pism Nowego Testamentu od początku był zasadniczo normalny. Pogląd ten odrzuca również zdecydowaną większość (90%-95%) zachowanych manuskryptów Nowego Testamentu reprezentujących tradycję bizantyjską.</w:t>
      </w:r>
      <w:r>
        <w:rPr>
          <w:rStyle w:val="FootnoteReference"/>
        </w:rPr>
        <w:footnoteReference w:id="502"/>
      </w:r>
      <w:r>
        <w:t xml:space="preserve"> </w:t>
      </w:r>
      <w:r>
        <w:t xml:space="preserve">Co pozostaje krytykom do pracy po uczynieniu tego? Pozostaje im garść stosunkowo wczesnych manuskryptów, które są tak odmienne, że nie można ich pogrupować. Nie tylko nie zgadzają się z większością, nie zgadzają się także między sobą. Przetrwały, ponieważ są tak złe, że nikt nie chciał ich używać. Nie mają ani „rodziców”, ani „dzieci”, co oznacza, że były prywatnymi wytworami, nie zaś uczciwymi kopiami, nie należą do linii przekazu.</w:t>
      </w:r>
    </w:p>
    <w:p>
      <w:pPr>
        <w:pStyle w:val="BodyText"/>
      </w:pPr>
      <w:r>
        <w:t xml:space="preserve">Co zatem robią krytycy, gdy tych kilka manuskryptów nie zgadza się między sobą? Pytają: który odczyt najlepiej wyjaśnia powstanie pozostałych? Jakich kryteriów używają, by dojść do wniosku? Zadają pytania takie jak te:</w:t>
      </w:r>
    </w:p>
    <w:p>
      <w:pPr>
        <w:numPr>
          <w:ilvl w:val="0"/>
          <w:numId w:val="1110"/>
        </w:numPr>
      </w:pPr>
      <w:r>
        <w:t xml:space="preserve">Który manuskrypt jest najstarszy?</w:t>
      </w:r>
    </w:p>
    <w:p>
      <w:pPr>
        <w:numPr>
          <w:ilvl w:val="0"/>
          <w:numId w:val="1110"/>
        </w:numPr>
      </w:pPr>
      <w:r>
        <w:t xml:space="preserve">Który manuskrypt jest „najlepszy”?</w:t>
      </w:r>
    </w:p>
    <w:p>
      <w:pPr>
        <w:numPr>
          <w:ilvl w:val="0"/>
          <w:numId w:val="1110"/>
        </w:numPr>
      </w:pPr>
      <w:r>
        <w:t xml:space="preserve">Który odczyt jest krótszy?</w:t>
      </w:r>
    </w:p>
    <w:p>
      <w:pPr>
        <w:numPr>
          <w:ilvl w:val="0"/>
          <w:numId w:val="1110"/>
        </w:numPr>
      </w:pPr>
      <w:r>
        <w:t xml:space="preserve">Który odczyt jest „trudniejszy”?</w:t>
      </w:r>
    </w:p>
    <w:p>
      <w:pPr>
        <w:numPr>
          <w:ilvl w:val="0"/>
          <w:numId w:val="1110"/>
        </w:numPr>
      </w:pPr>
      <w:r>
        <w:t xml:space="preserve">Który odczyt najlepiej zgadza się ze stylem i celem autora?</w:t>
      </w:r>
    </w:p>
    <w:p>
      <w:pPr>
        <w:pStyle w:val="FirstParagraph"/>
      </w:pPr>
      <w:r>
        <w:t xml:space="preserve">Pytanie 1) opiera się na analogii strumienia, którego woda będzie najczystsza u źródła, im większa odległość od źródła, tym więcej zanieczyszczeń będzie zawierać woda. W odniesieniu do manuskryptów Nowego Testamentu analogia ta jest jednak z pewnością fałszywa. Powszechnie uznaje się, że większość szkód poniesionych przez tekst Nowego Testamentu nastąpiła do roku 200, daty przypisywanej naszym najwcześniejszym manuskryptom o jakichkolwiek rozmiarach (P</w:t>
      </w:r>
      <w:r>
        <w:rPr>
          <w:vertAlign w:val="superscript"/>
        </w:rPr>
        <w:t xml:space="preserve">66</w:t>
      </w:r>
      <w:r>
        <w:t xml:space="preserve">). Nasze najwcześniejsze manuskrypty mogły być zatem pełne „szkód”.</w:t>
      </w:r>
    </w:p>
    <w:p>
      <w:pPr>
        <w:pStyle w:val="BodyText"/>
      </w:pPr>
      <w:r>
        <w:t xml:space="preserve">Pytanie 2): na ogół ogłaszają Kodeks B (Watykański, 03) „najlepszym” zachowanym manuskryptem. Na czym opierają swoje twierdzenie? Hort na podstawie swoich subiektywnych preferencji (łącznie z wczesną datą) ogłosił B zdecydowanie „najlepszym” manuskryptem, a późniejsi krytycy na ogół podporządkowali się temu dictum. Czy istnieje jednak jakaś obiektywna podstawa tego twierdzenia? O ile mi wiadomo, nie istnieje, dostępne obiektywne dowody mówią coś przeciwnego. (Moja ocena odnosi się także do wszystkich pozostałych wczesnych manuskryptów).</w:t>
      </w:r>
    </w:p>
    <w:p>
      <w:pPr>
        <w:pStyle w:val="BodyText"/>
      </w:pPr>
      <w:r>
        <w:t xml:space="preserve">Pytania 3) i 4) są całkowicie naturalistyczne, wykluczają jakiekolwiek rozważania teologiczne czy nadprzyrodzone. Hort przeniósł je z procedury aleksandryjskiej szkoły służącej ustaleniu oryginalnych sformułowań Homera. Każdy, kto skolacjonował jakąkolwiek liczbę manuskryptów Nowego Testamentu, jak uczyniłem to ja, wie, że kryteria te są fałszywe. W odniesieniu do Nowego Testamentu kryterium „trudniejszego” odczytu jest w oczywisty sposób przewrotne.</w:t>
      </w:r>
    </w:p>
    <w:p>
      <w:pPr>
        <w:pStyle w:val="BodyText"/>
      </w:pPr>
      <w:r>
        <w:t xml:space="preserve">Pytanie 5) jest całkowicie subiektywne, zależne od kaprysu krytyka, jego uprzedzenia, orientacji teoretycznej, osobistej przewrotności czy czegokolwiek innego. Kryterium to jest nie do przyjęcia już na pierwszy rzut oka. Dlaczego jakiemukolwiek słudze Szatana miałoby się pozwalać ustalać sformułowania Tekstu na podstawie jego osobistych preferencji?</w:t>
      </w:r>
    </w:p>
    <w:p>
      <w:pPr>
        <w:pStyle w:val="BodyText"/>
      </w:pPr>
      <w:r>
        <w:t xml:space="preserve">Każdy, kto szanuje obiektywne dowody, powinien odrzucić pięć omówionych wyżej kryteriów. Każdy, kto szanuje obiektywne dowody, powinien rozumieć, że przekaz Tekstu Nowego Testamentu był zasadniczo normalny i że masie zachowanych manuskryptów należy się należny jej szacunek. Wszystkie zachowane manuskrypty zasługują na skolacjonowanie, co pozwoli nam pogrupować je empirycznie. Empirycznie zdefiniowane rodziny trzeba następnie porównać i ocenić. Kaczka dziennikarska: „manuskrypty należy ważyć, a nie liczyć”, jest wykrętem.</w:t>
      </w:r>
    </w:p>
    <w:bookmarkEnd w:id="503"/>
    <w:bookmarkStart w:id="513" w:name="X09968b1681931da011a246d7f4596e729af125f"/>
    <w:p>
      <w:pPr>
        <w:pStyle w:val="Heading2"/>
      </w:pPr>
      <w:r>
        <w:t xml:space="preserve">Podgrupy</w:t>
      </w:r>
      <w:r>
        <w:t xml:space="preserve"> </w:t>
      </w:r>
      <w:r>
        <w:rPr>
          <w:bCs/>
          <w:b/>
        </w:rPr>
        <w:t xml:space="preserve">f</w:t>
      </w:r>
      <w:r>
        <w:rPr>
          <w:vertAlign w:val="superscript"/>
          <w:bCs/>
          <w:b/>
        </w:rPr>
        <w:t xml:space="preserve">35</w:t>
      </w:r>
      <w:r>
        <w:t xml:space="preserve"> </w:t>
      </w:r>
      <w:r>
        <w:t xml:space="preserve">w Listach Ogólnych</w:t>
      </w:r>
      <w:r>
        <w:rPr>
          <w:rStyle w:val="FootnoteReference"/>
        </w:rPr>
        <w:footnoteReference w:id="504"/>
      </w:r>
    </w:p>
    <w:p>
      <w:pPr>
        <w:pStyle w:val="BodyText"/>
      </w:pPr>
      <w:r>
        <w:t xml:space="preserve">W czterech większych księgach istnieje czternaście znaczących podziałów w Rodzinie (w trzech krótszych nie ma żadnego), jak następuje: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Miejsce</w:t>
            </w:r>
          </w:p>
        </w:tc>
        <w:tc>
          <w:tcPr/>
          <w:p>
            <w:pPr>
              <w:pStyle w:val="Compact"/>
              <w:jc w:val="left"/>
            </w:pPr>
            <w:r>
              <w:t xml:space="preserve">Odczyty</w:t>
            </w:r>
          </w:p>
        </w:tc>
      </w:tr>
      <w:tr>
        <w:tc>
          <w:tcPr/>
          <w:p>
            <w:pPr>
              <w:pStyle w:val="Compact"/>
              <w:jc w:val="left"/>
            </w:pPr>
            <w:r>
              <w:t xml:space="preserve">List Jakuba 2,13</w:t>
            </w:r>
          </w:p>
        </w:tc>
        <w:tc>
          <w:tcPr/>
          <w:p>
            <w:pPr>
              <w:pStyle w:val="Compact"/>
              <w:jc w:val="left"/>
            </w:pPr>
            <w:r>
              <w:t xml:space="preserve">ελεον 432</w:t>
            </w:r>
            <w:r>
              <w:rPr>
                <w:vertAlign w:val="superscript"/>
              </w:rPr>
              <w:t xml:space="preserve">alt</w:t>
            </w:r>
            <w:r>
              <w:t xml:space="preserve">, 1766</w:t>
            </w:r>
            <w:r>
              <w:rPr>
                <w:vertAlign w:val="superscript"/>
              </w:rPr>
              <w:t xml:space="preserve">c</w:t>
            </w:r>
            <w:r>
              <w:t xml:space="preserve">ελεος 328, 394 {432, 604}</w:t>
            </w:r>
            <w:r>
              <w:rPr>
                <w:rStyle w:val="FootnoteReference"/>
              </w:rPr>
              <w:footnoteReference w:id="505"/>
            </w:r>
            <w:r>
              <w:t xml:space="preserve"> </w:t>
            </w:r>
            <w:r>
              <w:t xml:space="preserve">634, 664, 928, 986, 1247, 1249, 1482, 1548, 1619</w:t>
            </w:r>
            <w:r>
              <w:rPr>
                <w:vertAlign w:val="superscript"/>
              </w:rPr>
              <w:t xml:space="preserve">c</w:t>
            </w:r>
            <w:r>
              <w:t xml:space="preserve">, 1636, 1725, 1732</w:t>
            </w:r>
            <w:r>
              <w:rPr>
                <w:vertAlign w:val="superscript"/>
              </w:rPr>
              <w:t xml:space="preserve">alt</w:t>
            </w:r>
            <w:r>
              <w:t xml:space="preserve">, 1749, 1752, 1766, 1897, 2080, 2221, 2289, 2587, 2704</w:t>
            </w:r>
          </w:p>
        </w:tc>
      </w:tr>
      <w:tr>
        <w:tc>
          <w:tcPr/>
          <w:p>
            <w:pPr>
              <w:pStyle w:val="Compact"/>
              <w:jc w:val="left"/>
            </w:pPr>
            <w:r>
              <w:t xml:space="preserve">List Jakuba 2,14</w:t>
            </w:r>
          </w:p>
        </w:tc>
        <w:tc>
          <w:tcPr/>
          <w:p>
            <w:pPr>
              <w:pStyle w:val="Compact"/>
              <w:jc w:val="left"/>
            </w:pPr>
            <w:r>
              <w:t xml:space="preserve">εχει</w:t>
            </w:r>
            <w:r>
              <w:t xml:space="preserve">εχη 141, 328, 386, 394, 604, 634, 664, 801, 928, 986, 1075, 1247, 1249, 1250, 1482, 1508, 1548, 1656, 1704, 1737, 1746, 1748, 1749, 1752, 1766, 1855, 1876, 1899, 2218, 2221, 2289, 2431, 2501, 2587, 2626, 2704</w:t>
            </w:r>
          </w:p>
        </w:tc>
      </w:tr>
      <w:tr>
        <w:tc>
          <w:tcPr/>
          <w:p>
            <w:pPr>
              <w:pStyle w:val="Compact"/>
              <w:jc w:val="left"/>
            </w:pPr>
            <w:r>
              <w:t xml:space="preserve">1 List Piotra 1,23</w:t>
            </w:r>
          </w:p>
        </w:tc>
        <w:tc>
          <w:tcPr/>
          <w:p>
            <w:pPr>
              <w:pStyle w:val="Compact"/>
              <w:jc w:val="left"/>
            </w:pPr>
            <w:r>
              <w:t xml:space="preserve">αλλ</w:t>
            </w:r>
            <w:r>
              <w:t xml:space="preserve">αλλα {149, 201} {432, 604} 757, 824, 1072, 1075, 1248, 1250, 1503, 1548, 1617, 1618, 1619, 1628, 1636, 1637, 1656, 1740, 1745, 1746, 1748, 1754, 1763, 1768, 1864, 1892, 2352, 2431, 2777</w:t>
            </w:r>
          </w:p>
        </w:tc>
      </w:tr>
      <w:tr>
        <w:tc>
          <w:tcPr/>
          <w:p>
            <w:pPr>
              <w:pStyle w:val="Compact"/>
              <w:jc w:val="left"/>
            </w:pPr>
            <w:r>
              <w:t xml:space="preserve">1 List Piotra 2,11</w:t>
            </w:r>
          </w:p>
        </w:tc>
        <w:tc>
          <w:tcPr/>
          <w:p>
            <w:pPr>
              <w:pStyle w:val="Compact"/>
              <w:jc w:val="left"/>
            </w:pPr>
            <w:r>
              <w:t xml:space="preserve">απεχεσθαι 1072</w:t>
            </w:r>
            <w:r>
              <w:rPr>
                <w:vertAlign w:val="superscript"/>
              </w:rPr>
              <w:t xml:space="preserve">alt</w:t>
            </w:r>
            <w:r>
              <w:t xml:space="preserve">απεχεσθε {149, 201} 204, 604</w:t>
            </w:r>
            <w:r>
              <w:rPr>
                <w:vertAlign w:val="superscript"/>
              </w:rPr>
              <w:t xml:space="preserve">c</w:t>
            </w:r>
            <w:r>
              <w:t xml:space="preserve">, 757</w:t>
            </w:r>
            <w:r>
              <w:rPr>
                <w:vertAlign w:val="superscript"/>
              </w:rPr>
              <w:t xml:space="preserve">alt</w:t>
            </w:r>
            <w:r>
              <w:t xml:space="preserve">, 824, 1072, 1248, 1503</w:t>
            </w:r>
            <w:r>
              <w:rPr>
                <w:vertAlign w:val="superscript"/>
              </w:rPr>
              <w:t xml:space="preserve">c</w:t>
            </w:r>
            <w:r>
              <w:t xml:space="preserve">, 1548, 1617, 1618, 1619</w:t>
            </w:r>
            <w:r>
              <w:rPr>
                <w:vertAlign w:val="superscript"/>
              </w:rPr>
              <w:t xml:space="preserve">alt</w:t>
            </w:r>
            <w:r>
              <w:t xml:space="preserve">, 1628</w:t>
            </w:r>
            <w:r>
              <w:rPr>
                <w:vertAlign w:val="superscript"/>
              </w:rPr>
              <w:t xml:space="preserve">alt</w:t>
            </w:r>
            <w:r>
              <w:t xml:space="preserve">, 1637</w:t>
            </w:r>
            <w:r>
              <w:rPr>
                <w:vertAlign w:val="superscript"/>
              </w:rPr>
              <w:t xml:space="preserve">c</w:t>
            </w:r>
            <w:r>
              <w:t xml:space="preserve">, 1745</w:t>
            </w:r>
            <w:r>
              <w:rPr>
                <w:vertAlign w:val="superscript"/>
              </w:rPr>
              <w:t xml:space="preserve">alt</w:t>
            </w:r>
            <w:r>
              <w:t xml:space="preserve">, 1746, 1748, 1864</w:t>
            </w:r>
            <w:r>
              <w:rPr>
                <w:vertAlign w:val="superscript"/>
              </w:rPr>
              <w:t xml:space="preserve">alt</w:t>
            </w:r>
            <w:r>
              <w:t xml:space="preserve">, 1899, 2352, 2431, 2704, 2777</w:t>
            </w:r>
          </w:p>
        </w:tc>
      </w:tr>
      <w:tr>
        <w:tc>
          <w:tcPr/>
          <w:p>
            <w:pPr>
              <w:pStyle w:val="Compact"/>
              <w:jc w:val="left"/>
            </w:pPr>
            <w:r>
              <w:t xml:space="preserve">1 List Piotra 2,24</w:t>
            </w:r>
          </w:p>
        </w:tc>
        <w:tc>
          <w:tcPr/>
          <w:p>
            <w:pPr>
              <w:pStyle w:val="Compact"/>
              <w:jc w:val="left"/>
            </w:pPr>
            <w:r>
              <w:t xml:space="preserve">απογενομενοι</w:t>
            </w:r>
            <w:r>
              <w:t xml:space="preserve">απογεννωμενοι (328)</w:t>
            </w:r>
            <w:r>
              <w:rPr>
                <w:rStyle w:val="FootnoteReference"/>
              </w:rPr>
              <w:footnoteReference w:id="506"/>
            </w:r>
            <w:r>
              <w:t xml:space="preserve"> </w:t>
            </w:r>
            <w:r>
              <w:t xml:space="preserve">394 {432 (604)} 664, 928, 986, 1247, 1249, 1482, 1508, 1548, 1752, 1763, 1766, 1768, 1855, 2289, 2587 (2704)</w:t>
            </w:r>
          </w:p>
        </w:tc>
      </w:tr>
      <w:tr>
        <w:tc>
          <w:tcPr/>
          <w:p>
            <w:pPr>
              <w:pStyle w:val="Compact"/>
              <w:jc w:val="left"/>
            </w:pPr>
            <w:r>
              <w:t xml:space="preserve">1 List Piotra 3,6</w:t>
            </w:r>
          </w:p>
        </w:tc>
        <w:tc>
          <w:tcPr/>
          <w:p>
            <w:pPr>
              <w:pStyle w:val="Compact"/>
              <w:jc w:val="left"/>
            </w:pPr>
            <w:r>
              <w:t xml:space="preserve">εγενηθητε 1766</w:t>
            </w:r>
            <w:r>
              <w:rPr>
                <w:vertAlign w:val="superscript"/>
              </w:rPr>
              <w:t xml:space="preserve">v</w:t>
            </w:r>
            <w:r>
              <w:t xml:space="preserve">εγεννηθητε 604, 664, 801, 1247, 1250, 1618, 1637, 1732, 1748, 1752, 1763, 1876, 1899, 2289, 2431, 2587, 2626, 2704, 2777</w:t>
            </w:r>
          </w:p>
        </w:tc>
      </w:tr>
      <w:tr>
        <w:tc>
          <w:tcPr/>
          <w:p>
            <w:pPr>
              <w:pStyle w:val="Compact"/>
              <w:jc w:val="left"/>
            </w:pPr>
            <w:r>
              <w:t xml:space="preserve">1 List Piotra 4,2</w:t>
            </w:r>
          </w:p>
        </w:tc>
        <w:tc>
          <w:tcPr/>
          <w:p>
            <w:pPr>
              <w:pStyle w:val="Compact"/>
              <w:jc w:val="left"/>
            </w:pPr>
            <w:r>
              <w:t xml:space="preserve">του 2261</w:t>
            </w:r>
            <w:r>
              <w:rPr>
                <w:vertAlign w:val="superscript"/>
              </w:rPr>
              <w:t xml:space="preserve">c</w:t>
            </w:r>
            <w:r>
              <w:t xml:space="preserve">--- {149, 201} {432, 604} 757, 824, 1072, 1075, 1101, 1248, 1503, 1508</w:t>
            </w:r>
            <w:r>
              <w:rPr>
                <w:vertAlign w:val="superscript"/>
              </w:rPr>
              <w:t xml:space="preserve">c</w:t>
            </w:r>
            <w:r>
              <w:t xml:space="preserve">, 1548, 1617, 1618, 1619, 1628, 1636, 1637, 1656, 1737, 1740, 1745, 1746, 1748, 1754, 1761, 1766, 1768, 1864, 1892, 1899, 2218, 2261, 2352, 2431, 2501, 2777</w:t>
            </w:r>
          </w:p>
        </w:tc>
      </w:tr>
      <w:tr>
        <w:tc>
          <w:tcPr/>
          <w:p>
            <w:pPr>
              <w:pStyle w:val="Compact"/>
              <w:jc w:val="left"/>
            </w:pPr>
            <w:r>
              <w:t xml:space="preserve">1 List Piotra 4,11</w:t>
            </w:r>
          </w:p>
        </w:tc>
        <w:tc>
          <w:tcPr/>
          <w:p>
            <w:pPr>
              <w:pStyle w:val="Compact"/>
              <w:jc w:val="left"/>
            </w:pPr>
            <w:r>
              <w:t xml:space="preserve">ως 1748</w:t>
            </w:r>
            <w:r>
              <w:rPr>
                <w:vertAlign w:val="superscript"/>
              </w:rPr>
              <w:t xml:space="preserve">?</w:t>
            </w:r>
            <w:r>
              <w:t xml:space="preserve">ης 141</w:t>
            </w:r>
            <w:r>
              <w:rPr>
                <w:vertAlign w:val="superscript"/>
              </w:rPr>
              <w:t xml:space="preserve">c</w:t>
            </w:r>
            <w:r>
              <w:t xml:space="preserve"> </w:t>
            </w:r>
            <w:r>
              <w:t xml:space="preserve">{149, 201} {432, 604} 757, 824, 1072, 1075, 1248, 1503, 1508, 1617, 1618, 1619, 1628, 1636, 1637, 1656, 1737, 1740, 1745, 1746, 1754, 1864, 1892, 2218, 2352, 2431, 2777</w:t>
            </w:r>
          </w:p>
        </w:tc>
      </w:tr>
      <w:tr>
        <w:tc>
          <w:tcPr/>
          <w:p>
            <w:pPr>
              <w:pStyle w:val="Compact"/>
              <w:jc w:val="left"/>
            </w:pPr>
            <w:r>
              <w:t xml:space="preserve">1 List Piotra 5,7</w:t>
            </w:r>
          </w:p>
        </w:tc>
        <w:tc>
          <w:tcPr/>
          <w:p>
            <w:pPr>
              <w:pStyle w:val="Compact"/>
              <w:jc w:val="left"/>
            </w:pPr>
            <w:r>
              <w:t xml:space="preserve">μελει 824</w:t>
            </w:r>
            <w:r>
              <w:rPr>
                <w:vertAlign w:val="superscript"/>
              </w:rPr>
              <w:t xml:space="preserve">c</w:t>
            </w:r>
            <w:r>
              <w:t xml:space="preserve">, 1726</w:t>
            </w:r>
            <w:r>
              <w:rPr>
                <w:vertAlign w:val="superscript"/>
              </w:rPr>
              <w:t xml:space="preserve">c</w:t>
            </w:r>
            <w:r>
              <w:t xml:space="preserve">μελλει 141 {432, 604} 801, 824, 986, 1247, 1248, 1249, 1250, 1508, 1617, 1726, 1748, 1752, 1763, 1768, 1876, 1892, 1899, 2261, 2352, 2431, 2501, 2626</w:t>
            </w:r>
          </w:p>
        </w:tc>
      </w:tr>
      <w:tr>
        <w:tc>
          <w:tcPr/>
          <w:p>
            <w:pPr>
              <w:pStyle w:val="Compact"/>
              <w:jc w:val="left"/>
            </w:pPr>
            <w:r>
              <w:t xml:space="preserve">1 List Piotra 5,8</w:t>
            </w:r>
          </w:p>
        </w:tc>
        <w:tc>
          <w:tcPr/>
          <w:p>
            <w:pPr>
              <w:pStyle w:val="Compact"/>
              <w:jc w:val="left"/>
            </w:pPr>
            <w:r>
              <w:t xml:space="preserve">καταπιειν 394</w:t>
            </w:r>
            <w:r>
              <w:rPr>
                <w:vertAlign w:val="superscript"/>
              </w:rPr>
              <w:t xml:space="preserve">c</w:t>
            </w:r>
            <w:r>
              <w:t xml:space="preserve">καταπιη 328, 394, 604, 664, 928, 986, 1075, 1247, 1249, 1482</w:t>
            </w:r>
            <w:r>
              <w:rPr>
                <w:vertAlign w:val="superscript"/>
              </w:rPr>
              <w:t xml:space="preserve">v</w:t>
            </w:r>
            <w:r>
              <w:t xml:space="preserve">, 1508, 1737, 1748, 1749, 1752, 1761, 1763, 1766, 1855, 1892</w:t>
            </w:r>
            <w:r>
              <w:rPr>
                <w:vertAlign w:val="superscript"/>
              </w:rPr>
              <w:t xml:space="preserve">c</w:t>
            </w:r>
            <w:r>
              <w:t xml:space="preserve">, 1899, 2218, 2221</w:t>
            </w:r>
            <w:r>
              <w:rPr>
                <w:vertAlign w:val="superscript"/>
              </w:rPr>
              <w:t xml:space="preserve">c</w:t>
            </w:r>
            <w:r>
              <w:t xml:space="preserve">, 2255</w:t>
            </w:r>
            <w:r>
              <w:rPr>
                <w:vertAlign w:val="superscript"/>
              </w:rPr>
              <w:t xml:space="preserve">v</w:t>
            </w:r>
            <w:r>
              <w:t xml:space="preserve">, 2289, 2431, 2587</w:t>
            </w:r>
            <w:r>
              <w:rPr>
                <w:vertAlign w:val="superscript"/>
              </w:rPr>
              <w:t xml:space="preserve">c</w:t>
            </w:r>
            <w:r>
              <w:t xml:space="preserve">, 2704</w:t>
            </w:r>
          </w:p>
        </w:tc>
      </w:tr>
      <w:tr>
        <w:tc>
          <w:tcPr/>
          <w:p>
            <w:pPr>
              <w:pStyle w:val="Compact"/>
              <w:jc w:val="left"/>
            </w:pPr>
            <w:r>
              <w:t xml:space="preserve">2 List Piotra 2,14</w:t>
            </w:r>
          </w:p>
        </w:tc>
        <w:tc>
          <w:tcPr/>
          <w:p>
            <w:pPr>
              <w:pStyle w:val="Compact"/>
              <w:jc w:val="left"/>
            </w:pPr>
            <w:r>
              <w:t xml:space="preserve">πλεονεξιας</w:t>
            </w:r>
            <w:r>
              <w:t xml:space="preserve">πλεονεξιαν 394, 664, 801, 928, 1249, 1250, 1482, 1508, 1726, 1749, 1763, 1855, 1876, 2261, 2289, 2378, 2587, 2626, 2704</w:t>
            </w:r>
            <w:r>
              <w:rPr>
                <w:vertAlign w:val="superscript"/>
              </w:rPr>
              <w:t xml:space="preserve">v</w:t>
            </w:r>
          </w:p>
        </w:tc>
      </w:tr>
      <w:tr>
        <w:tc>
          <w:tcPr/>
          <w:p>
            <w:pPr>
              <w:pStyle w:val="Compact"/>
              <w:jc w:val="left"/>
            </w:pPr>
            <w:r>
              <w:t xml:space="preserve">2 List Piotra 3,3</w:t>
            </w:r>
          </w:p>
        </w:tc>
        <w:tc>
          <w:tcPr/>
          <w:p>
            <w:pPr>
              <w:pStyle w:val="Compact"/>
              <w:jc w:val="left"/>
            </w:pPr>
            <w:r>
              <w:t xml:space="preserve">γινωσκοντες</w:t>
            </w:r>
            <w:r>
              <w:t xml:space="preserve">γινωσκοντας 328, 394, 664, 928, 1247, 1249, 1482, 1508, 1749, 1752, 1855, 2255, 2289, 2587, 2704</w:t>
            </w:r>
          </w:p>
        </w:tc>
      </w:tr>
      <w:tr>
        <w:tc>
          <w:tcPr/>
          <w:p>
            <w:pPr>
              <w:pStyle w:val="Compact"/>
              <w:jc w:val="left"/>
            </w:pPr>
            <w:r>
              <w:t xml:space="preserve">1 List Jana 1,6</w:t>
            </w:r>
          </w:p>
        </w:tc>
        <w:tc>
          <w:tcPr/>
          <w:p>
            <w:pPr>
              <w:pStyle w:val="Compact"/>
              <w:jc w:val="left"/>
            </w:pPr>
            <w:r>
              <w:t xml:space="preserve">περιπατουμεν 18, 35, 141, 204, 386, 801, 824, 1100, 1101, 1250, 1636, 1704, 1725, 1726, 1732, 1733, 1754, 1761, 1858, 1865, 1876, 1897, 2080, 2221, 2261 [2378] 2466, 2554, 2626, 2723</w:t>
            </w:r>
            <w:r>
              <w:rPr>
                <w:rStyle w:val="FootnoteReference"/>
              </w:rPr>
              <w:footnoteReference w:id="507"/>
            </w:r>
            <w:r>
              <w:t xml:space="preserve">περιπατωμεν {149, 201} 328, 394 {432, 604} 634 (664) 757, 928, 986, 1072, 1075, 1247, 1248, 1249, 1482, 1503, 1508, 1548, 1617, 1618, 1619, 1628, 1637, 1656, 1737, 1740, 1745, 1748, 1749, 1752, 1763, 1766, 1768, 1855, 1864, 1892, 2218, 2255, 2289, 2352, 2431, 2501, 2587, 2704, 2777</w:t>
            </w:r>
          </w:p>
        </w:tc>
      </w:tr>
      <w:tr>
        <w:tc>
          <w:tcPr/>
          <w:p>
            <w:pPr>
              <w:pStyle w:val="Compact"/>
              <w:jc w:val="left"/>
            </w:pPr>
            <w:r>
              <w:t xml:space="preserve">1 List Jana 4,20</w:t>
            </w:r>
          </w:p>
        </w:tc>
        <w:tc>
          <w:tcPr/>
          <w:p>
            <w:pPr>
              <w:pStyle w:val="Compact"/>
              <w:jc w:val="left"/>
            </w:pPr>
            <w:r>
              <w:t xml:space="preserve">μισει</w:t>
            </w:r>
            <w:r>
              <w:t xml:space="preserve">μιση 328, 386, 394, 604, 634, 928, 1247, 1249, 1482, 1508, 1548, 1704, 1749, 1752, 1763, 1766, 1855, 2255, 2289, 2587, 2704</w:t>
            </w:r>
          </w:p>
        </w:tc>
      </w:tr>
    </w:tbl>
    <w:bookmarkStart w:id="512" w:name="X32f55039a9581ace38a35ae0ace4b9a1f9a6d41"/>
    <w:p>
      <w:pPr>
        <w:pStyle w:val="Heading3"/>
      </w:pPr>
      <w:r>
        <w:t xml:space="preserve">Dzielą się na dwie znaczące podgrupy, jak następuje</w:t>
      </w:r>
    </w:p>
    <w:bookmarkStart w:id="508" w:name="grupa-1"/>
    <w:p>
      <w:pPr>
        <w:pStyle w:val="Heading4"/>
      </w:pPr>
      <w:r>
        <w:t xml:space="preserve">Grupa 1</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Vatopediu</w:t>
            </w:r>
          </w:p>
        </w:tc>
        <w:tc>
          <w:tcPr/>
          <w:p>
            <w:pPr>
              <w:pStyle w:val="Compact"/>
              <w:jc w:val="left"/>
            </w:pPr>
            <w:r>
              <w:t xml:space="preserve">XII</w:t>
            </w:r>
          </w:p>
        </w:tc>
      </w:tr>
      <w:tr>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Vallicelliana</w:t>
            </w:r>
          </w:p>
        </w:tc>
        <w:tc>
          <w:tcPr/>
          <w:p>
            <w:pPr>
              <w:pStyle w:val="Compact"/>
              <w:jc w:val="left"/>
            </w:pPr>
            <w:r>
              <w:t xml:space="preserve">1330</w:t>
            </w:r>
          </w:p>
        </w:tc>
      </w:tr>
      <w:tr>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w:t>
            </w:r>
          </w:p>
        </w:tc>
        <w:tc>
          <w:tcPr/>
          <w:p>
            <w:pPr>
              <w:pStyle w:val="Compact"/>
              <w:jc w:val="left"/>
            </w:pPr>
            <w:r>
              <w:t xml:space="preserve">Zittau</w:t>
            </w:r>
          </w:p>
        </w:tc>
        <w:tc>
          <w:tcPr/>
          <w:p>
            <w:pPr>
              <w:pStyle w:val="Compact"/>
              <w:jc w:val="left"/>
            </w:pPr>
            <w:r>
              <w:t xml:space="preserve">XV</w:t>
            </w:r>
          </w:p>
        </w:tc>
      </w:tr>
      <w:tr>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Dionysiu</w:t>
            </w:r>
          </w:p>
        </w:tc>
        <w:tc>
          <w:tcPr/>
          <w:p>
            <w:pPr>
              <w:pStyle w:val="Compact"/>
              <w:jc w:val="left"/>
            </w:pPr>
            <w:r>
              <w:t xml:space="preserve">1304</w:t>
            </w:r>
          </w:p>
        </w:tc>
      </w:tr>
      <w:tr>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Synaj</w:t>
            </w:r>
          </w:p>
        </w:tc>
        <w:tc>
          <w:tcPr/>
          <w:p>
            <w:pPr>
              <w:pStyle w:val="Compact"/>
              <w:jc w:val="left"/>
            </w:pPr>
            <w:r>
              <w:t xml:space="preserve">1324</w:t>
            </w:r>
          </w:p>
        </w:tc>
      </w:tr>
      <w:tr>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M Lavras</w:t>
            </w:r>
          </w:p>
        </w:tc>
        <w:tc>
          <w:tcPr/>
          <w:p>
            <w:pPr>
              <w:pStyle w:val="Compact"/>
              <w:jc w:val="left"/>
            </w:pPr>
            <w:r>
              <w:t xml:space="preserve">1304</w:t>
            </w:r>
          </w:p>
        </w:tc>
      </w:tr>
      <w:tr>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Watykan</w:t>
            </w:r>
          </w:p>
        </w:tc>
        <w:tc>
          <w:tcPr/>
          <w:p>
            <w:pPr>
              <w:pStyle w:val="Compact"/>
              <w:jc w:val="left"/>
            </w:pPr>
            <w:r>
              <w:t xml:space="preserve">XI</w:t>
            </w:r>
          </w:p>
        </w:tc>
      </w:tr>
      <w:tr>
        <w:tc>
          <w:tcPr/>
          <w:p>
            <w:pPr>
              <w:pStyle w:val="Compact"/>
              <w:jc w:val="left"/>
            </w:pPr>
            <w:r>
              <w:t xml:space="preserve">328</w:t>
            </w:r>
          </w:p>
        </w:tc>
        <w:tc>
          <w:tcPr/>
          <w:p>
            <w:pPr>
              <w:pStyle w:val="Compact"/>
              <w:jc w:val="left"/>
            </w:pPr>
            <w:r>
              <w:t xml:space="preserve">328</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328</w:t>
            </w:r>
          </w:p>
        </w:tc>
        <w:tc>
          <w:tcPr/>
          <w:p>
            <w:pPr>
              <w:pStyle w:val="Compact"/>
              <w:jc w:val="left"/>
            </w:pPr>
            <w:r>
              <w:t xml:space="preserve">Lejda</w:t>
            </w:r>
          </w:p>
        </w:tc>
        <w:tc>
          <w:tcPr/>
          <w:p>
            <w:pPr>
              <w:pStyle w:val="Compact"/>
              <w:jc w:val="left"/>
            </w:pPr>
            <w:r>
              <w:t xml:space="preserve">XIII</w:t>
            </w:r>
          </w:p>
        </w:tc>
      </w:tr>
      <w:tr>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w:t>
            </w:r>
          </w:p>
        </w:tc>
        <w:tc>
          <w:tcPr/>
          <w:p>
            <w:pPr>
              <w:pStyle w:val="Compact"/>
              <w:jc w:val="left"/>
            </w:pPr>
            <w:r>
              <w:t xml:space="preserve">---</w:t>
            </w:r>
          </w:p>
        </w:tc>
        <w:tc>
          <w:tcPr/>
          <w:p>
            <w:pPr>
              <w:pStyle w:val="Compact"/>
              <w:jc w:val="left"/>
            </w:pPr>
            <w:r>
              <w:t xml:space="preserve">604</w:t>
            </w:r>
          </w:p>
        </w:tc>
        <w:tc>
          <w:tcPr/>
          <w:p>
            <w:pPr>
              <w:pStyle w:val="Compact"/>
              <w:jc w:val="left"/>
            </w:pPr>
            <w:r>
              <w:t xml:space="preserve">Paryż</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1749</w:t>
            </w:r>
          </w:p>
        </w:tc>
        <w:tc>
          <w:tcPr/>
          <w:p>
            <w:pPr>
              <w:pStyle w:val="Compact"/>
              <w:jc w:val="left"/>
            </w:pPr>
            <w:r>
              <w:t xml:space="preserve">1749</w:t>
            </w:r>
          </w:p>
        </w:tc>
        <w:tc>
          <w:tcPr/>
          <w:p>
            <w:pPr>
              <w:pStyle w:val="Compact"/>
              <w:jc w:val="left"/>
            </w:pPr>
            <w:r>
              <w:t xml:space="preserve">---</w:t>
            </w:r>
          </w:p>
        </w:tc>
        <w:tc>
          <w:tcPr/>
          <w:p>
            <w:pPr>
              <w:pStyle w:val="Compact"/>
              <w:jc w:val="left"/>
            </w:pPr>
            <w:r>
              <w:t xml:space="preserve">---</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M Lavras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Iviron</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1766</w:t>
            </w:r>
          </w:p>
        </w:tc>
        <w:tc>
          <w:tcPr/>
          <w:p>
            <w:pPr>
              <w:pStyle w:val="Compact"/>
              <w:jc w:val="left"/>
            </w:pPr>
            <w:r>
              <w:t xml:space="preserve">1766</w:t>
            </w:r>
          </w:p>
        </w:tc>
        <w:tc>
          <w:tcPr/>
          <w:p>
            <w:pPr>
              <w:pStyle w:val="Compact"/>
              <w:jc w:val="left"/>
            </w:pPr>
            <w:r>
              <w:t xml:space="preserve">1766</w:t>
            </w:r>
          </w:p>
        </w:tc>
        <w:tc>
          <w:tcPr/>
          <w:p>
            <w:pPr>
              <w:pStyle w:val="Compact"/>
              <w:jc w:val="left"/>
            </w:pPr>
            <w:r>
              <w:t xml:space="preserve">---</w:t>
            </w:r>
          </w:p>
        </w:tc>
        <w:tc>
          <w:tcPr/>
          <w:p>
            <w:pPr>
              <w:pStyle w:val="Compact"/>
              <w:jc w:val="left"/>
            </w:pPr>
            <w:r>
              <w:t xml:space="preserve">1766</w:t>
            </w:r>
          </w:p>
        </w:tc>
        <w:tc>
          <w:tcPr/>
          <w:p>
            <w:pPr>
              <w:pStyle w:val="Compact"/>
              <w:jc w:val="left"/>
            </w:pPr>
            <w:r>
              <w:t xml:space="preserve">---</w:t>
            </w:r>
          </w:p>
        </w:tc>
        <w:tc>
          <w:tcPr/>
          <w:p>
            <w:pPr>
              <w:pStyle w:val="Compact"/>
              <w:jc w:val="left"/>
            </w:pPr>
            <w:r>
              <w:t xml:space="preserve">---</w:t>
            </w:r>
          </w:p>
        </w:tc>
        <w:tc>
          <w:tcPr/>
          <w:p>
            <w:pPr>
              <w:pStyle w:val="Compact"/>
              <w:jc w:val="left"/>
            </w:pPr>
            <w:r>
              <w:t xml:space="preserve">1766</w:t>
            </w:r>
          </w:p>
        </w:tc>
        <w:tc>
          <w:tcPr/>
          <w:p>
            <w:pPr>
              <w:pStyle w:val="Compact"/>
              <w:jc w:val="left"/>
            </w:pPr>
            <w:r>
              <w:t xml:space="preserve">Sofia</w:t>
            </w:r>
          </w:p>
        </w:tc>
        <w:tc>
          <w:tcPr/>
          <w:p>
            <w:pPr>
              <w:pStyle w:val="Compact"/>
              <w:jc w:val="left"/>
            </w:pPr>
            <w:r>
              <w:t xml:space="preserve">1344</w:t>
            </w:r>
          </w:p>
        </w:tc>
      </w:tr>
    </w:tbl>
    <w:p>
      <w:pPr>
        <w:pStyle w:val="BodyText"/>
      </w:pPr>
      <w:r>
        <w:t xml:space="preserve">Uważam, że tych siedemnaście manuskryptów reprezentuje znaczącą podgrupę występującą we wszystkich czterech większych księgach. Zauważ, że rozmieszczenie geograficzne jest ograniczone, brakuje Konstantynopola, Jerozolimy, Patmos, Trikali oraz siedmiu spośród dziesięciu klasztorów na górze Athos (które sprawdziłem) (spośród dwudziestu manuskryptów M Lavras są tu tylko trzy). Prawdopodobieństwo, że grupa ta mogłaby reprezentować archetyp, jest znikome. Dodaję teraz „maruderów”, aby uzupełnić obraz każdego wariantu.</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986</w:t>
            </w:r>
          </w:p>
        </w:tc>
        <w:tc>
          <w:tcPr/>
          <w:p>
            <w:pPr>
              <w:pStyle w:val="Compact"/>
              <w:jc w:val="left"/>
            </w:pPr>
            <w:r>
              <w:t xml:space="preserve">986</w:t>
            </w:r>
          </w:p>
        </w:tc>
        <w:tc>
          <w:tcPr/>
          <w:p>
            <w:pPr>
              <w:pStyle w:val="Compact"/>
              <w:jc w:val="left"/>
            </w:pPr>
            <w:r>
              <w:t xml:space="preserve">986</w:t>
            </w:r>
          </w:p>
        </w:tc>
        <w:tc>
          <w:tcPr/>
          <w:p>
            <w:pPr>
              <w:pStyle w:val="Compact"/>
              <w:jc w:val="left"/>
            </w:pPr>
            <w:r>
              <w:t xml:space="preserve">---</w:t>
            </w:r>
          </w:p>
        </w:tc>
        <w:tc>
          <w:tcPr/>
          <w:p>
            <w:pPr>
              <w:pStyle w:val="Compact"/>
              <w:jc w:val="left"/>
            </w:pPr>
            <w:r>
              <w:t xml:space="preserve">986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Esfigmenu</w:t>
            </w:r>
          </w:p>
        </w:tc>
        <w:tc>
          <w:tcPr/>
          <w:p>
            <w:pPr>
              <w:pStyle w:val="Compact"/>
              <w:jc w:val="left"/>
            </w:pPr>
            <w:r>
              <w:t xml:space="preserve">XIV</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1548</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634</w:t>
            </w:r>
          </w:p>
        </w:tc>
        <w:tc>
          <w:tcPr/>
          <w:p>
            <w:pPr>
              <w:pStyle w:val="Compact"/>
              <w:jc w:val="left"/>
            </w:pPr>
            <w:r>
              <w:t xml:space="preserve">634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634</w:t>
            </w:r>
          </w:p>
        </w:tc>
        <w:tc>
          <w:tcPr/>
          <w:p>
            <w:pPr>
              <w:pStyle w:val="Compact"/>
              <w:jc w:val="left"/>
            </w:pPr>
            <w:r>
              <w:t xml:space="preserve">Watykan</w:t>
            </w:r>
          </w:p>
        </w:tc>
        <w:tc>
          <w:tcPr/>
          <w:p>
            <w:pPr>
              <w:pStyle w:val="Compact"/>
              <w:jc w:val="left"/>
            </w:pPr>
            <w:r>
              <w:t xml:space="preserve">1394</w:t>
            </w:r>
          </w:p>
        </w:tc>
      </w:tr>
      <w:tr>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Patmos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2255</w:t>
            </w:r>
          </w:p>
        </w:tc>
        <w:tc>
          <w:tcPr/>
          <w:p>
            <w:pPr>
              <w:pStyle w:val="Compact"/>
              <w:jc w:val="left"/>
            </w:pPr>
            <w:r>
              <w:t xml:space="preserve">---</w:t>
            </w:r>
          </w:p>
        </w:tc>
        <w:tc>
          <w:tcPr/>
          <w:p>
            <w:pPr>
              <w:pStyle w:val="Compact"/>
              <w:jc w:val="left"/>
            </w:pPr>
            <w:r>
              <w:t xml:space="preserve">2255</w:t>
            </w:r>
          </w:p>
        </w:tc>
        <w:tc>
          <w:tcPr/>
          <w:p>
            <w:pPr>
              <w:pStyle w:val="Compact"/>
              <w:jc w:val="left"/>
            </w:pPr>
            <w:r>
              <w:t xml:space="preserve">2255</w:t>
            </w:r>
          </w:p>
        </w:tc>
        <w:tc>
          <w:tcPr/>
          <w:p>
            <w:pPr>
              <w:pStyle w:val="Compact"/>
              <w:jc w:val="left"/>
            </w:pPr>
            <w:r>
              <w:t xml:space="preserve">Iviron</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2431</w:t>
            </w:r>
          </w:p>
        </w:tc>
        <w:tc>
          <w:tcPr/>
          <w:p>
            <w:pPr>
              <w:pStyle w:val="Compact"/>
              <w:jc w:val="left"/>
            </w:pPr>
            <w:r>
              <w:t xml:space="preserve">---</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w:t>
            </w:r>
          </w:p>
        </w:tc>
        <w:tc>
          <w:tcPr/>
          <w:p>
            <w:pPr>
              <w:pStyle w:val="Compact"/>
              <w:jc w:val="left"/>
            </w:pPr>
            <w:r>
              <w:t xml:space="preserve">Ochryda</w:t>
            </w:r>
          </w:p>
        </w:tc>
        <w:tc>
          <w:tcPr/>
          <w:p>
            <w:pPr>
              <w:pStyle w:val="Compact"/>
              <w:jc w:val="left"/>
            </w:pPr>
            <w:r>
              <w:t xml:space="preserve">XIV</w:t>
            </w:r>
          </w:p>
        </w:tc>
      </w:tr>
    </w:tbl>
    <w:p>
      <w:pPr>
        <w:pStyle w:val="BodyText"/>
      </w:pPr>
      <w:r>
        <w:t xml:space="preserve">Manuskrypty 801, 1250, 1876 i 2626 mogły z powodzeniem podlegać wspólnemu wpływowi.</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w:t>
            </w:r>
          </w:p>
        </w:tc>
        <w:tc>
          <w:tcPr/>
          <w:p>
            <w:pPr>
              <w:pStyle w:val="Compact"/>
              <w:jc w:val="left"/>
            </w:pPr>
            <w:r>
              <w:t xml:space="preserve">386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386</w:t>
            </w:r>
          </w:p>
        </w:tc>
        <w:tc>
          <w:tcPr/>
          <w:p>
            <w:pPr>
              <w:pStyle w:val="Compact"/>
              <w:jc w:val="left"/>
            </w:pPr>
            <w:r>
              <w:t xml:space="preserve">Watykan</w:t>
            </w:r>
          </w:p>
        </w:tc>
        <w:tc>
          <w:tcPr/>
          <w:p>
            <w:pPr>
              <w:pStyle w:val="Compact"/>
              <w:jc w:val="left"/>
            </w:pPr>
            <w:r>
              <w:t xml:space="preserve">XIV</w:t>
            </w:r>
          </w:p>
        </w:tc>
      </w:tr>
      <w:tr>
        <w:tc>
          <w:tcPr/>
          <w:p>
            <w:pPr>
              <w:pStyle w:val="Compact"/>
              <w:jc w:val="left"/>
            </w:pPr>
            <w:r>
              <w:t xml:space="preserve">432</w:t>
            </w:r>
          </w:p>
        </w:tc>
        <w:tc>
          <w:tcPr/>
          <w:p>
            <w:pPr>
              <w:pStyle w:val="Compact"/>
              <w:jc w:val="left"/>
            </w:pPr>
            <w:r>
              <w:t xml:space="preserve">---</w:t>
            </w:r>
          </w:p>
        </w:tc>
        <w:tc>
          <w:tcPr/>
          <w:p>
            <w:pPr>
              <w:pStyle w:val="Compact"/>
              <w:jc w:val="left"/>
            </w:pPr>
            <w:r>
              <w:t xml:space="preserve">432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Watykan</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1704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1704</w:t>
            </w:r>
          </w:p>
        </w:tc>
        <w:tc>
          <w:tcPr/>
          <w:p>
            <w:pPr>
              <w:pStyle w:val="Compact"/>
              <w:jc w:val="left"/>
            </w:pPr>
            <w:r>
              <w:t xml:space="preserve">Kutlumusiu</w:t>
            </w:r>
          </w:p>
        </w:tc>
        <w:tc>
          <w:tcPr/>
          <w:p>
            <w:pPr>
              <w:pStyle w:val="Compact"/>
              <w:jc w:val="left"/>
            </w:pPr>
            <w:r>
              <w:t xml:space="preserve">1541</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2221</w:t>
            </w:r>
          </w:p>
        </w:tc>
        <w:tc>
          <w:tcPr/>
          <w:p>
            <w:pPr>
              <w:pStyle w:val="Compact"/>
              <w:jc w:val="left"/>
            </w:pPr>
            <w:r>
              <w:t xml:space="preserve">2221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Sparta</w:t>
            </w:r>
          </w:p>
        </w:tc>
        <w:tc>
          <w:tcPr/>
          <w:p>
            <w:pPr>
              <w:pStyle w:val="Compact"/>
              <w:jc w:val="left"/>
            </w:pPr>
            <w:r>
              <w:t xml:space="preserve">1432</w:t>
            </w:r>
          </w:p>
        </w:tc>
      </w:tr>
    </w:tbl>
    <w:p>
      <w:pPr>
        <w:pStyle w:val="BodyText"/>
      </w:pPr>
      <w:r>
        <w:t xml:space="preserve">Do nich należy dodać następujące „samotne” przypadki: dla Listu Jakuba 2,13 dodać 1636, 1725, 1897, 2080, dla Listu Jakuba 2,14 dodać 141, 1656, 1746, 2501, dla 1 Listu Piotra 2,24 dodać 1768, dla 1 Listu Piotra 3,6 dodać 1618, 1637, 1732, 2777, dla 1 Listu Piotra 5,8 dodać 1761, dla 2 Listu Piotra 2,14 dodać 1726, 2261, 2378, dla 2 Listu Piotra 3,3 i 1 Listu Jana 4,20 nie ma żadnych.</w:t>
      </w:r>
    </w:p>
    <w:p>
      <w:pPr>
        <w:pStyle w:val="BodyText"/>
      </w:pPr>
      <w:r>
        <w:t xml:space="preserve">Komentarz: εχη w Liście Jakuba 2,14 jest poświadczone przez 36 manuskryptów, ponad 40% Rodziny. Poza tym, że dittografia jest łatwą możliwością, nacisk μη mógł sprawić, że niektórzy kopiści wstawili tryb łączący, być może bez zastanowienia, odwrotna zmiana byłaby przypuszczalnie celowa. W kontekście tryb oznajmujący jest poprawny, Jakub stwierdza fakt, dana osoba nie ma uczynków.</w:t>
      </w:r>
    </w:p>
    <w:bookmarkEnd w:id="508"/>
    <w:bookmarkStart w:id="511" w:name="grupa-2"/>
    <w:p>
      <w:pPr>
        <w:pStyle w:val="Heading4"/>
      </w:pPr>
      <w:r>
        <w:t xml:space="preserve">Grupa 2</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824</w:t>
            </w:r>
          </w:p>
        </w:tc>
        <w:tc>
          <w:tcPr/>
          <w:p>
            <w:pPr>
              <w:pStyle w:val="Compact"/>
              <w:jc w:val="left"/>
            </w:pPr>
            <w:r>
              <w:t xml:space="preserve">824</w:t>
            </w:r>
          </w:p>
        </w:tc>
        <w:tc>
          <w:tcPr/>
          <w:p>
            <w:pPr>
              <w:pStyle w:val="Compact"/>
              <w:jc w:val="left"/>
            </w:pPr>
            <w:r>
              <w:t xml:space="preserve">---</w:t>
            </w:r>
          </w:p>
        </w:tc>
        <w:tc>
          <w:tcPr/>
          <w:p>
            <w:pPr>
              <w:pStyle w:val="Compact"/>
              <w:jc w:val="left"/>
            </w:pPr>
            <w:r>
              <w:t xml:space="preserve">824</w:t>
            </w:r>
          </w:p>
        </w:tc>
        <w:tc>
          <w:tcPr/>
          <w:p>
            <w:pPr>
              <w:pStyle w:val="Compact"/>
              <w:jc w:val="left"/>
            </w:pPr>
            <w:r>
              <w:t xml:space="preserve">824</w:t>
            </w:r>
          </w:p>
        </w:tc>
        <w:tc>
          <w:tcPr/>
          <w:p>
            <w:pPr>
              <w:pStyle w:val="Compact"/>
              <w:jc w:val="left"/>
            </w:pPr>
            <w:r>
              <w:t xml:space="preserve">824</w:t>
            </w:r>
          </w:p>
        </w:tc>
        <w:tc>
          <w:tcPr/>
          <w:p>
            <w:pPr>
              <w:pStyle w:val="Compact"/>
              <w:jc w:val="left"/>
            </w:pPr>
            <w:r>
              <w:t xml:space="preserve">Grottaferrata</w:t>
            </w:r>
          </w:p>
        </w:tc>
        <w:tc>
          <w:tcPr/>
          <w:p>
            <w:pPr>
              <w:pStyle w:val="Compact"/>
              <w:jc w:val="left"/>
            </w:pPr>
            <w:r>
              <w:t xml:space="preserve">XIV</w:t>
            </w:r>
          </w:p>
        </w:tc>
      </w:tr>
      <w:tr>
        <w:tc>
          <w:tcPr/>
          <w:p>
            <w:pPr>
              <w:pStyle w:val="Compact"/>
              <w:jc w:val="left"/>
            </w:pPr>
            <w:r>
              <w:t xml:space="preserve">1248</w:t>
            </w:r>
          </w:p>
        </w:tc>
        <w:tc>
          <w:tcPr/>
          <w:p>
            <w:pPr>
              <w:pStyle w:val="Compact"/>
              <w:jc w:val="left"/>
            </w:pPr>
            <w:r>
              <w:t xml:space="preserve">1248</w:t>
            </w:r>
          </w:p>
        </w:tc>
        <w:tc>
          <w:tcPr/>
          <w:p>
            <w:pPr>
              <w:pStyle w:val="Compact"/>
              <w:jc w:val="left"/>
            </w:pPr>
            <w:r>
              <w:t xml:space="preserve">---</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Synaj</w:t>
            </w:r>
          </w:p>
        </w:tc>
        <w:tc>
          <w:tcPr/>
          <w:p>
            <w:pPr>
              <w:pStyle w:val="Compact"/>
              <w:jc w:val="left"/>
            </w:pPr>
            <w:r>
              <w:t xml:space="preserve">XIV</w:t>
            </w:r>
          </w:p>
        </w:tc>
      </w:tr>
      <w:tr>
        <w:tc>
          <w:tcPr/>
          <w:p>
            <w:pPr>
              <w:pStyle w:val="Compact"/>
              <w:jc w:val="left"/>
            </w:pPr>
            <w:r>
              <w:t xml:space="preserve">1617</w:t>
            </w:r>
          </w:p>
        </w:tc>
        <w:tc>
          <w:tcPr/>
          <w:p>
            <w:pPr>
              <w:pStyle w:val="Compact"/>
              <w:jc w:val="left"/>
            </w:pPr>
            <w:r>
              <w:t xml:space="preserve">1617</w:t>
            </w:r>
          </w:p>
        </w:tc>
        <w:tc>
          <w:tcPr/>
          <w:p>
            <w:pPr>
              <w:pStyle w:val="Compact"/>
              <w:jc w:val="left"/>
            </w:pPr>
            <w:r>
              <w:t xml:space="preserve">---</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2352</w:t>
            </w:r>
          </w:p>
        </w:tc>
        <w:tc>
          <w:tcPr/>
          <w:p>
            <w:pPr>
              <w:pStyle w:val="Compact"/>
              <w:jc w:val="left"/>
            </w:pPr>
            <w:r>
              <w:t xml:space="preserve">2352</w:t>
            </w:r>
          </w:p>
        </w:tc>
        <w:tc>
          <w:tcPr/>
          <w:p>
            <w:pPr>
              <w:pStyle w:val="Compact"/>
              <w:jc w:val="left"/>
            </w:pPr>
            <w:r>
              <w:t xml:space="preserve">---</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Watykan/Londyn</w:t>
            </w:r>
          </w:p>
        </w:tc>
        <w:tc>
          <w:tcPr/>
          <w:p>
            <w:pPr>
              <w:pStyle w:val="Compact"/>
              <w:jc w:val="left"/>
            </w:pPr>
            <w:r>
              <w:t xml:space="preserve">XV/1357</w:t>
            </w:r>
          </w:p>
        </w:tc>
      </w:tr>
      <w:tr>
        <w:tc>
          <w:tcPr/>
          <w:p>
            <w:pPr>
              <w:pStyle w:val="Compact"/>
              <w:jc w:val="left"/>
            </w:pPr>
            <w:r>
              <w:t xml:space="preserve">432-604</w:t>
            </w:r>
          </w:p>
        </w:tc>
        <w:tc>
          <w:tcPr/>
          <w:p>
            <w:pPr>
              <w:pStyle w:val="Compact"/>
              <w:jc w:val="left"/>
            </w:pPr>
            <w:r>
              <w:t xml:space="preserve">---</w:t>
            </w:r>
          </w:p>
        </w:tc>
        <w:tc>
          <w:tcPr/>
          <w:p>
            <w:pPr>
              <w:pStyle w:val="Compact"/>
              <w:jc w:val="left"/>
            </w:pPr>
            <w:r>
              <w:t xml:space="preserve">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Watykan/Paryż</w:t>
            </w:r>
          </w:p>
        </w:tc>
        <w:tc>
          <w:tcPr/>
          <w:p>
            <w:pPr>
              <w:pStyle w:val="Compact"/>
              <w:jc w:val="left"/>
            </w:pPr>
            <w:r>
              <w:t xml:space="preserve">XV/XIV</w:t>
            </w:r>
          </w:p>
        </w:tc>
      </w:tr>
      <w:tr>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XIII</w:t>
            </w:r>
          </w:p>
        </w:tc>
      </w:tr>
      <w:tr>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1892</w:t>
            </w:r>
          </w:p>
        </w:tc>
        <w:tc>
          <w:tcPr/>
          <w:p>
            <w:pPr>
              <w:pStyle w:val="Compact"/>
              <w:jc w:val="left"/>
            </w:pPr>
            <w:r>
              <w:t xml:space="preserve">---</w:t>
            </w:r>
          </w:p>
        </w:tc>
        <w:tc>
          <w:tcPr/>
          <w:p>
            <w:pPr>
              <w:pStyle w:val="Compact"/>
              <w:jc w:val="left"/>
            </w:pPr>
            <w:r>
              <w:t xml:space="preserve">---</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Jerozolima</w:t>
            </w:r>
          </w:p>
        </w:tc>
        <w:tc>
          <w:tcPr/>
          <w:p>
            <w:pPr>
              <w:pStyle w:val="Compact"/>
              <w:jc w:val="left"/>
            </w:pPr>
            <w:r>
              <w:t xml:space="preserve">XIV</w:t>
            </w:r>
          </w:p>
        </w:tc>
      </w:tr>
      <w:tr>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w:t>
            </w:r>
          </w:p>
        </w:tc>
        <w:tc>
          <w:tcPr/>
          <w:p>
            <w:pPr>
              <w:pStyle w:val="Compact"/>
              <w:jc w:val="left"/>
            </w:pPr>
            <w:r>
              <w:t xml:space="preserve">Karditsa</w:t>
            </w:r>
          </w:p>
        </w:tc>
        <w:tc>
          <w:tcPr/>
          <w:p>
            <w:pPr>
              <w:pStyle w:val="Compact"/>
              <w:jc w:val="left"/>
            </w:pPr>
            <w:r>
              <w:t xml:space="preserve">XIV</w:t>
            </w:r>
          </w:p>
        </w:tc>
      </w:tr>
    </w:tbl>
    <w:p>
      <w:pPr>
        <w:pStyle w:val="BodyText"/>
      </w:pPr>
      <w:r>
        <w:t xml:space="preserve">Uważam, że tych trzynaście manuskryptów reprezentuje znaczącą podgrupę, poprzedzoną przez kolejnych dwanaście poniżej, które opuściły „drzewo” w położonym wyżej węźle.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757</w:t>
            </w:r>
          </w:p>
        </w:tc>
        <w:tc>
          <w:tcPr/>
          <w:p>
            <w:pPr>
              <w:pStyle w:val="Compact"/>
              <w:jc w:val="left"/>
            </w:pPr>
            <w:r>
              <w:t xml:space="preserve">---</w:t>
            </w:r>
          </w:p>
        </w:tc>
        <w:tc>
          <w:tcPr/>
          <w:p>
            <w:pPr>
              <w:pStyle w:val="Compact"/>
              <w:jc w:val="left"/>
            </w:pPr>
            <w:r>
              <w:t xml:space="preserve">---</w:t>
            </w:r>
          </w:p>
        </w:tc>
        <w:tc>
          <w:tcPr/>
          <w:p>
            <w:pPr>
              <w:pStyle w:val="Compact"/>
              <w:jc w:val="left"/>
            </w:pPr>
            <w:r>
              <w:t xml:space="preserve">757</w:t>
            </w:r>
          </w:p>
        </w:tc>
        <w:tc>
          <w:tcPr/>
          <w:p>
            <w:pPr>
              <w:pStyle w:val="Compact"/>
              <w:jc w:val="left"/>
            </w:pPr>
            <w:r>
              <w:t xml:space="preserve">757</w:t>
            </w:r>
          </w:p>
        </w:tc>
        <w:tc>
          <w:tcPr/>
          <w:p>
            <w:pPr>
              <w:pStyle w:val="Compact"/>
              <w:jc w:val="left"/>
            </w:pPr>
            <w:r>
              <w:t xml:space="preserve">---</w:t>
            </w:r>
          </w:p>
        </w:tc>
        <w:tc>
          <w:tcPr/>
          <w:p>
            <w:pPr>
              <w:pStyle w:val="Compact"/>
              <w:jc w:val="left"/>
            </w:pPr>
            <w:r>
              <w:t xml:space="preserve">Ateny</w:t>
            </w:r>
          </w:p>
        </w:tc>
        <w:tc>
          <w:tcPr/>
          <w:p>
            <w:pPr>
              <w:pStyle w:val="Compact"/>
              <w:jc w:val="left"/>
            </w:pPr>
            <w:r>
              <w:t xml:space="preserve">XIII</w:t>
            </w:r>
          </w:p>
        </w:tc>
      </w:tr>
      <w:tr>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1075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1503</w:t>
            </w:r>
          </w:p>
        </w:tc>
        <w:tc>
          <w:tcPr/>
          <w:p>
            <w:pPr>
              <w:pStyle w:val="Compact"/>
              <w:jc w:val="left"/>
            </w:pPr>
            <w:r>
              <w:t xml:space="preserve">---</w:t>
            </w:r>
          </w:p>
        </w:tc>
        <w:tc>
          <w:tcPr/>
          <w:p>
            <w:pPr>
              <w:pStyle w:val="Compact"/>
              <w:jc w:val="left"/>
            </w:pPr>
            <w:r>
              <w:t xml:space="preserve">---</w:t>
            </w:r>
          </w:p>
        </w:tc>
        <w:tc>
          <w:tcPr/>
          <w:p>
            <w:pPr>
              <w:pStyle w:val="Compact"/>
              <w:jc w:val="left"/>
            </w:pPr>
            <w:r>
              <w:t xml:space="preserve">1503</w:t>
            </w:r>
          </w:p>
        </w:tc>
        <w:tc>
          <w:tcPr/>
          <w:p>
            <w:pPr>
              <w:pStyle w:val="Compact"/>
              <w:jc w:val="left"/>
            </w:pPr>
            <w:r>
              <w:t xml:space="preserve">1503</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1317</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1619</w:t>
            </w:r>
          </w:p>
        </w:tc>
        <w:tc>
          <w:tcPr/>
          <w:p>
            <w:pPr>
              <w:pStyle w:val="Compact"/>
              <w:jc w:val="left"/>
            </w:pPr>
            <w:r>
              <w:t xml:space="preserve">---</w:t>
            </w:r>
          </w:p>
        </w:tc>
        <w:tc>
          <w:tcPr/>
          <w:p>
            <w:pPr>
              <w:pStyle w:val="Compact"/>
              <w:jc w:val="left"/>
            </w:pPr>
            <w:r>
              <w:t xml:space="preserve">---</w:t>
            </w:r>
          </w:p>
        </w:tc>
        <w:tc>
          <w:tcPr/>
          <w:p>
            <w:pPr>
              <w:pStyle w:val="Compact"/>
              <w:jc w:val="left"/>
            </w:pPr>
            <w:r>
              <w:t xml:space="preserve">1619</w:t>
            </w:r>
          </w:p>
        </w:tc>
        <w:tc>
          <w:tcPr/>
          <w:p>
            <w:pPr>
              <w:pStyle w:val="Compact"/>
              <w:jc w:val="left"/>
            </w:pPr>
            <w:r>
              <w:t xml:space="preserve">1619</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1628</w:t>
            </w:r>
          </w:p>
        </w:tc>
        <w:tc>
          <w:tcPr/>
          <w:p>
            <w:pPr>
              <w:pStyle w:val="Compact"/>
              <w:jc w:val="left"/>
            </w:pPr>
            <w:r>
              <w:t xml:space="preserve">---</w:t>
            </w:r>
          </w:p>
        </w:tc>
        <w:tc>
          <w:tcPr/>
          <w:p>
            <w:pPr>
              <w:pStyle w:val="Compact"/>
              <w:jc w:val="left"/>
            </w:pPr>
            <w:r>
              <w:t xml:space="preserve">---</w:t>
            </w:r>
          </w:p>
        </w:tc>
        <w:tc>
          <w:tcPr/>
          <w:p>
            <w:pPr>
              <w:pStyle w:val="Compact"/>
              <w:jc w:val="left"/>
            </w:pPr>
            <w:r>
              <w:t xml:space="preserve">1628</w:t>
            </w:r>
          </w:p>
        </w:tc>
        <w:tc>
          <w:tcPr/>
          <w:p>
            <w:pPr>
              <w:pStyle w:val="Compact"/>
              <w:jc w:val="left"/>
            </w:pPr>
            <w:r>
              <w:t xml:space="preserve">1628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1400</w:t>
            </w:r>
          </w:p>
        </w:tc>
      </w:tr>
      <w:tr>
        <w:tc>
          <w:tcPr/>
          <w:p>
            <w:pPr>
              <w:pStyle w:val="Compact"/>
              <w:jc w:val="left"/>
            </w:pPr>
            <w:r>
              <w:t xml:space="preserve">1636</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c>
          <w:tcPr/>
          <w:p>
            <w:pPr>
              <w:pStyle w:val="Compact"/>
              <w:jc w:val="left"/>
            </w:pPr>
            <w:r>
              <w:t xml:space="preserve">1636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1637</w:t>
            </w:r>
          </w:p>
        </w:tc>
        <w:tc>
          <w:tcPr/>
          <w:p>
            <w:pPr>
              <w:pStyle w:val="Compact"/>
              <w:jc w:val="left"/>
            </w:pPr>
            <w:r>
              <w:t xml:space="preserve">---</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1328</w:t>
            </w:r>
          </w:p>
        </w:tc>
      </w:tr>
      <w:tr>
        <w:tc>
          <w:tcPr/>
          <w:p>
            <w:pPr>
              <w:pStyle w:val="Compact"/>
              <w:jc w:val="left"/>
            </w:pPr>
            <w:r>
              <w:t xml:space="preserve">1656</w:t>
            </w:r>
          </w:p>
        </w:tc>
        <w:tc>
          <w:tcPr/>
          <w:p>
            <w:pPr>
              <w:pStyle w:val="Compact"/>
              <w:jc w:val="left"/>
            </w:pPr>
            <w:r>
              <w:t xml:space="preserve">---</w:t>
            </w:r>
          </w:p>
        </w:tc>
        <w:tc>
          <w:tcPr/>
          <w:p>
            <w:pPr>
              <w:pStyle w:val="Compact"/>
              <w:jc w:val="left"/>
            </w:pPr>
            <w:r>
              <w:t xml:space="preserve">---</w:t>
            </w:r>
          </w:p>
        </w:tc>
        <w:tc>
          <w:tcPr/>
          <w:p>
            <w:pPr>
              <w:pStyle w:val="Compact"/>
              <w:jc w:val="left"/>
            </w:pPr>
            <w:r>
              <w:t xml:space="preserve">1656</w:t>
            </w:r>
          </w:p>
        </w:tc>
        <w:tc>
          <w:tcPr/>
          <w:p>
            <w:pPr>
              <w:pStyle w:val="Compact"/>
              <w:jc w:val="left"/>
            </w:pPr>
            <w:r>
              <w:t xml:space="preserve">1656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1740</w:t>
            </w:r>
          </w:p>
        </w:tc>
        <w:tc>
          <w:tcPr/>
          <w:p>
            <w:pPr>
              <w:pStyle w:val="Compact"/>
              <w:jc w:val="left"/>
            </w:pPr>
            <w:r>
              <w:t xml:space="preserve">---</w:t>
            </w:r>
          </w:p>
        </w:tc>
        <w:tc>
          <w:tcPr/>
          <w:p>
            <w:pPr>
              <w:pStyle w:val="Compact"/>
              <w:jc w:val="left"/>
            </w:pPr>
            <w:r>
              <w:t xml:space="preserve">---</w:t>
            </w:r>
          </w:p>
        </w:tc>
        <w:tc>
          <w:tcPr/>
          <w:p>
            <w:pPr>
              <w:pStyle w:val="Compact"/>
              <w:jc w:val="left"/>
            </w:pPr>
            <w:r>
              <w:t xml:space="preserve">1740</w:t>
            </w:r>
          </w:p>
        </w:tc>
        <w:tc>
          <w:tcPr/>
          <w:p>
            <w:pPr>
              <w:pStyle w:val="Compact"/>
              <w:jc w:val="left"/>
            </w:pPr>
            <w:r>
              <w:t xml:space="preserve">1740</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1745</w:t>
            </w:r>
          </w:p>
        </w:tc>
        <w:tc>
          <w:tcPr/>
          <w:p>
            <w:pPr>
              <w:pStyle w:val="Compact"/>
              <w:jc w:val="left"/>
            </w:pPr>
            <w:r>
              <w:t xml:space="preserve">---</w:t>
            </w:r>
          </w:p>
        </w:tc>
        <w:tc>
          <w:tcPr/>
          <w:p>
            <w:pPr>
              <w:pStyle w:val="Compact"/>
              <w:jc w:val="left"/>
            </w:pPr>
            <w:r>
              <w:t xml:space="preserve">---</w:t>
            </w:r>
          </w:p>
        </w:tc>
        <w:tc>
          <w:tcPr/>
          <w:p>
            <w:pPr>
              <w:pStyle w:val="Compact"/>
              <w:jc w:val="left"/>
            </w:pPr>
            <w:r>
              <w:t xml:space="preserve">1745</w:t>
            </w:r>
          </w:p>
        </w:tc>
        <w:tc>
          <w:tcPr/>
          <w:p>
            <w:pPr>
              <w:pStyle w:val="Compact"/>
              <w:jc w:val="left"/>
            </w:pPr>
            <w:r>
              <w:t xml:space="preserve">1745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1754</w:t>
            </w:r>
          </w:p>
        </w:tc>
        <w:tc>
          <w:tcPr/>
          <w:p>
            <w:pPr>
              <w:pStyle w:val="Compact"/>
              <w:jc w:val="left"/>
            </w:pPr>
            <w:r>
              <w:t xml:space="preserve">---</w:t>
            </w:r>
          </w:p>
        </w:tc>
        <w:tc>
          <w:tcPr/>
          <w:p>
            <w:pPr>
              <w:pStyle w:val="Compact"/>
              <w:jc w:val="left"/>
            </w:pPr>
            <w:r>
              <w:t xml:space="preserve">---</w:t>
            </w:r>
          </w:p>
        </w:tc>
        <w:tc>
          <w:tcPr/>
          <w:p>
            <w:pPr>
              <w:pStyle w:val="Compact"/>
              <w:jc w:val="left"/>
            </w:pPr>
            <w:r>
              <w:t xml:space="preserve">1754</w:t>
            </w:r>
          </w:p>
        </w:tc>
        <w:tc>
          <w:tcPr/>
          <w:p>
            <w:pPr>
              <w:pStyle w:val="Compact"/>
              <w:jc w:val="left"/>
            </w:pPr>
            <w:r>
              <w:t xml:space="preserve">1754</w:t>
            </w:r>
          </w:p>
        </w:tc>
        <w:tc>
          <w:tcPr/>
          <w:p>
            <w:pPr>
              <w:pStyle w:val="Compact"/>
              <w:jc w:val="left"/>
            </w:pPr>
            <w:r>
              <w:t xml:space="preserve">---</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1768</w:t>
            </w:r>
          </w:p>
        </w:tc>
        <w:tc>
          <w:tcPr/>
          <w:p>
            <w:pPr>
              <w:pStyle w:val="Compact"/>
              <w:jc w:val="left"/>
            </w:pPr>
            <w:r>
              <w:t xml:space="preserve">---</w:t>
            </w:r>
          </w:p>
        </w:tc>
        <w:tc>
          <w:tcPr/>
          <w:p>
            <w:pPr>
              <w:pStyle w:val="Compact"/>
              <w:jc w:val="left"/>
            </w:pPr>
            <w:r>
              <w:t xml:space="preserve">---</w:t>
            </w:r>
          </w:p>
        </w:tc>
        <w:tc>
          <w:tcPr/>
          <w:p>
            <w:pPr>
              <w:pStyle w:val="Compact"/>
              <w:jc w:val="left"/>
            </w:pPr>
            <w:r>
              <w:t xml:space="preserve">1768</w:t>
            </w:r>
          </w:p>
        </w:tc>
        <w:tc>
          <w:tcPr/>
          <w:p>
            <w:pPr>
              <w:pStyle w:val="Compact"/>
              <w:jc w:val="left"/>
            </w:pPr>
            <w:r>
              <w:t xml:space="preserve">---</w:t>
            </w:r>
          </w:p>
        </w:tc>
        <w:tc>
          <w:tcPr/>
          <w:p>
            <w:pPr>
              <w:pStyle w:val="Compact"/>
              <w:jc w:val="left"/>
            </w:pPr>
            <w:r>
              <w:t xml:space="preserve">1768</w:t>
            </w:r>
          </w:p>
        </w:tc>
        <w:tc>
          <w:tcPr/>
          <w:p>
            <w:pPr>
              <w:pStyle w:val="Compact"/>
              <w:jc w:val="left"/>
            </w:pPr>
            <w:r>
              <w:t xml:space="preserve">Iviron</w:t>
            </w:r>
          </w:p>
        </w:tc>
        <w:tc>
          <w:tcPr/>
          <w:p>
            <w:pPr>
              <w:pStyle w:val="Compact"/>
              <w:jc w:val="left"/>
            </w:pPr>
            <w:r>
              <w:t xml:space="preserve">1519</w:t>
            </w:r>
          </w:p>
        </w:tc>
      </w:tr>
      <w:tr>
        <w:tc>
          <w:tcPr/>
          <w:p>
            <w:pPr>
              <w:pStyle w:val="Compact"/>
              <w:jc w:val="left"/>
            </w:pPr>
            <w:r>
              <w:t xml:space="preserve">1864</w:t>
            </w:r>
          </w:p>
        </w:tc>
        <w:tc>
          <w:tcPr/>
          <w:p>
            <w:pPr>
              <w:pStyle w:val="Compact"/>
              <w:jc w:val="left"/>
            </w:pPr>
            <w:r>
              <w:t xml:space="preserve">---</w:t>
            </w:r>
          </w:p>
        </w:tc>
        <w:tc>
          <w:tcPr/>
          <w:p>
            <w:pPr>
              <w:pStyle w:val="Compact"/>
              <w:jc w:val="left"/>
            </w:pPr>
            <w:r>
              <w:t xml:space="preserve">---</w:t>
            </w:r>
          </w:p>
        </w:tc>
        <w:tc>
          <w:tcPr/>
          <w:p>
            <w:pPr>
              <w:pStyle w:val="Compact"/>
              <w:jc w:val="left"/>
            </w:pPr>
            <w:r>
              <w:t xml:space="preserve">1864</w:t>
            </w:r>
          </w:p>
        </w:tc>
        <w:tc>
          <w:tcPr/>
          <w:p>
            <w:pPr>
              <w:pStyle w:val="Compact"/>
              <w:jc w:val="left"/>
            </w:pPr>
            <w:r>
              <w:t xml:space="preserve">1864</w:t>
            </w:r>
          </w:p>
        </w:tc>
        <w:tc>
          <w:tcPr/>
          <w:p>
            <w:pPr>
              <w:pStyle w:val="Compact"/>
              <w:jc w:val="left"/>
            </w:pPr>
            <w:r>
              <w:t xml:space="preserve">---</w:t>
            </w:r>
          </w:p>
        </w:tc>
        <w:tc>
          <w:tcPr/>
          <w:p>
            <w:pPr>
              <w:pStyle w:val="Compact"/>
              <w:jc w:val="left"/>
            </w:pPr>
            <w:r>
              <w:t xml:space="preserve">Stavronikita</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Patmos</w:t>
            </w:r>
          </w:p>
        </w:tc>
        <w:tc>
          <w:tcPr/>
          <w:p>
            <w:pPr>
              <w:pStyle w:val="Compact"/>
              <w:jc w:val="left"/>
            </w:pPr>
            <w:r>
              <w:t xml:space="preserve">XIV</w:t>
            </w:r>
          </w:p>
        </w:tc>
      </w:tr>
    </w:tbl>
    <w:p>
      <w:pPr>
        <w:pStyle w:val="BodyText"/>
      </w:pPr>
      <w:r>
        <w:t xml:space="preserve">Dodaję teraz „maruderów”, aby uzupełnić obraz każdego wariantu. Uważny czytelnik zauważył, że 1 List Piotra 3,6 znajduje się wyżej w nawiasach kwadratowych, uczyniłem tak, ponieważ wariant ten znajduje się już w grupie 1. Ten konkretny wariant ma dziwną „domieszkę” obu grup, ze względu na charakter wariantu podejrzewam, że wykaz jest przypadkowy, a zatem wariant ten tak naprawdę nie należy do żadnej grupy.</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1250</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1737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2218</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2261</w:t>
            </w:r>
          </w:p>
        </w:tc>
        <w:tc>
          <w:tcPr/>
          <w:p>
            <w:pPr>
              <w:pStyle w:val="Compact"/>
              <w:jc w:val="left"/>
            </w:pPr>
            <w:r>
              <w:t xml:space="preserve">---</w:t>
            </w:r>
          </w:p>
        </w:tc>
        <w:tc>
          <w:tcPr/>
          <w:p>
            <w:pPr>
              <w:pStyle w:val="Compact"/>
              <w:jc w:val="left"/>
            </w:pPr>
            <w:r>
              <w:t xml:space="preserve">2261</w:t>
            </w:r>
          </w:p>
        </w:tc>
        <w:tc>
          <w:tcPr/>
          <w:p>
            <w:pPr>
              <w:pStyle w:val="Compact"/>
              <w:jc w:val="left"/>
            </w:pPr>
            <w:r>
              <w:t xml:space="preserve">Kalawrita</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c>
          <w:tcPr/>
          <w:p>
            <w:pPr>
              <w:pStyle w:val="Compact"/>
              <w:jc w:val="left"/>
            </w:pPr>
            <w:r>
              <w:t xml:space="preserve">---</w:t>
            </w:r>
          </w:p>
        </w:tc>
        <w:tc>
          <w:tcPr/>
          <w:p>
            <w:pPr>
              <w:pStyle w:val="Compact"/>
              <w:jc w:val="left"/>
            </w:pPr>
            <w:r>
              <w:t xml:space="preserve">2501</w:t>
            </w:r>
          </w:p>
        </w:tc>
        <w:tc>
          <w:tcPr/>
          <w:p>
            <w:pPr>
              <w:pStyle w:val="Compact"/>
              <w:jc w:val="left"/>
            </w:pPr>
            <w:r>
              <w:t xml:space="preserve">Synaj</w:t>
            </w:r>
          </w:p>
        </w:tc>
        <w:tc>
          <w:tcPr/>
          <w:p>
            <w:pPr>
              <w:pStyle w:val="Compact"/>
              <w:jc w:val="left"/>
            </w:pPr>
            <w:r>
              <w:t xml:space="preserve">XVI</w:t>
            </w:r>
          </w:p>
        </w:tc>
      </w:tr>
    </w:tbl>
    <w:p>
      <w:pPr>
        <w:pStyle w:val="BodyText"/>
      </w:pPr>
      <w:r>
        <w:t xml:space="preserve">Do nich należy dodać następujące „samotne” przypadki: dla 1 Listu Piotra 2,11 dodać 204, 2704, dla 1 Listu Piotra 4,2 dodać 1101, 1761, 1766, dla 1 Listu Piotra 5,7 dodać 141, 801, 986, 1247, 1249, 1726, 1752, 1876, 2626 (obraz ten wynika prawdopodobnie z charakteru wariantu i nie odzwierciedla zależności), dla 1 Listu Piotra 1,23 i 4,11 nie ma żadnych.</w:t>
      </w:r>
    </w:p>
    <w:p>
      <w:pPr>
        <w:pStyle w:val="BodyText"/>
      </w:pPr>
      <w:r>
        <w:t xml:space="preserve">Komentarz: rzucającą się w oczy cechą tej drugiej grupy jest to, że ogranicza się do jednej księgi. Inną rzucającą się w oczy cechą jest dominacja M Lavras, niemal połowa całości (istnieją jednak pewne manuskrypty M Lavras, które nie należą do żadnej grupy). Prawdopodobieństwo, że ta druga grupa mogłaby reprezentować archetyp, również jest znikome.</w:t>
      </w:r>
    </w:p>
    <w:p>
      <w:pPr>
        <w:pStyle w:val="BodyText"/>
      </w:pPr>
      <w:r>
        <w:t xml:space="preserve">Podobnie jak w przypadku εχη w Liście Jakuba 2,14, pominięcie του w 1 Liście Piotra 4,2 jest poświadczone przez 36 manuskryptów, ponad 40% rodziny. Ponieważ nie ma większej wątpliwości, że archetyp miał rodzajnik, jak wyjaśnić wysokie poświadczenie pominięcia? Przypuszczam, że był to nacisk masy bizantyjskiej, wynoszącej tutaj niemal 80%. W kontekście oczekiwalibyśmy rodzajnika, który uważam za poprawny.</w:t>
      </w:r>
    </w:p>
    <w:p>
      <w:pPr>
        <w:pStyle w:val="BodyText"/>
      </w:pPr>
      <w:r>
        <w:t xml:space="preserve">Dochodzimy teraz do jedynego rzeczywistego „problemu” w ustalaniu archetypalnej formy rodziny w Listach Ogólnych — 1 List Jana 1,6 (na początku wspomniałem czternaście podziałów, z których omówiłem tylko trzynaście). Jest to jedyne miejsce w Listach Ogólnych, w którym forma archetypalna zachowała się w mniejszości zachowanych przedstawicieli, przynajmniej według mojego rozumienia. Główna kwestia sporna może być przypadkiem dittografii. Czasownik „mówić” słusznie występuje w trybie łączącym, ponieważ jest rządzony przez εαν, lecz czasowniki „mieć” i „chodzić” są częścią stwierdzenia i słusznie występują w trybie oznajmującym, tylko jeśli faktycznie chodzimy w ciemności, stajemy się kłamcami, twierdząc, że mamy społeczność. Περιπατουμεν jest więc poprawne. Wracając jednak do manuskryptów, zauważamy osobliwą okoliczność: wykaz mający tryb łączący tworzą dokładnie te dwie podgrupy, a 2255 jest jedynym obcym (prawdopodobna dittografia), wszystkie pozostałe manuskrypty, które nie uczestniczą w żadnej z podgrup, mają tryb oznajmujący i bardzo dobre rozmieszczenie geograficzne. Rozważmy:</w:t>
      </w:r>
    </w:p>
    <w:tbl>
      <w:tblPr>
        <w:tblStyle w:val="Table"/>
        <w:tblW w:type="pct" w:w="5000"/>
        <w:tblLook w:firstRow="1" w:lastRow="0" w:firstColumn="0" w:lastColumn="0" w:noHBand="0" w:noVBand="0" w:val="0020"/>
        <w:jc w:val="start"/>
      </w:tblPr>
      <w:tblGrid>
        <w:gridCol w:w="1440"/>
        <w:gridCol w:w="1080"/>
        <w:gridCol w:w="1440"/>
        <w:gridCol w:w="1440"/>
        <w:gridCol w:w="1080"/>
        <w:gridCol w:w="1440"/>
      </w:tblGrid>
      <w:tr>
        <w:trPr>
          <w:tblHeader w:val="true"/>
        </w:trPr>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r>
      <w:tr>
        <w:tc>
          <w:tcPr/>
          <w:p>
            <w:pPr>
              <w:pStyle w:val="Compact"/>
              <w:jc w:val="right"/>
            </w:pPr>
            <w:r>
              <w:t xml:space="preserve">18</w:t>
            </w:r>
          </w:p>
        </w:tc>
        <w:tc>
          <w:tcPr/>
          <w:p>
            <w:pPr>
              <w:pStyle w:val="Compact"/>
              <w:jc w:val="left"/>
            </w:pPr>
            <w:r>
              <w:t xml:space="preserve">Konstantynopol</w:t>
            </w:r>
          </w:p>
        </w:tc>
        <w:tc>
          <w:tcPr/>
          <w:p>
            <w:pPr>
              <w:pStyle w:val="Compact"/>
              <w:jc w:val="right"/>
            </w:pPr>
            <w:r>
              <w:t xml:space="preserve">1364</w:t>
            </w:r>
          </w:p>
        </w:tc>
        <w:tc>
          <w:tcPr/>
          <w:p>
            <w:pPr>
              <w:pStyle w:val="Compact"/>
              <w:jc w:val="right"/>
            </w:pPr>
            <w:r>
              <w:t xml:space="preserve">35</w:t>
            </w:r>
          </w:p>
        </w:tc>
        <w:tc>
          <w:tcPr/>
          <w:p>
            <w:pPr>
              <w:pStyle w:val="Compact"/>
              <w:jc w:val="left"/>
            </w:pPr>
            <w:r>
              <w:t xml:space="preserve">Paryż</w:t>
            </w:r>
          </w:p>
        </w:tc>
        <w:tc>
          <w:tcPr/>
          <w:p>
            <w:pPr>
              <w:pStyle w:val="Compact"/>
              <w:jc w:val="right"/>
            </w:pPr>
            <w:r>
              <w:t xml:space="preserve">XI</w:t>
            </w:r>
          </w:p>
        </w:tc>
      </w:tr>
      <w:tr>
        <w:tc>
          <w:tcPr/>
          <w:p>
            <w:pPr>
              <w:pStyle w:val="Compact"/>
              <w:jc w:val="right"/>
            </w:pPr>
            <w:r>
              <w:t xml:space="preserve">141</w:t>
            </w:r>
          </w:p>
        </w:tc>
        <w:tc>
          <w:tcPr/>
          <w:p>
            <w:pPr>
              <w:pStyle w:val="Compact"/>
              <w:jc w:val="left"/>
            </w:pPr>
            <w:r>
              <w:t xml:space="preserve">Watykan</w:t>
            </w:r>
          </w:p>
        </w:tc>
        <w:tc>
          <w:tcPr/>
          <w:p>
            <w:pPr>
              <w:pStyle w:val="Compact"/>
              <w:jc w:val="right"/>
            </w:pPr>
            <w:r>
              <w:t xml:space="preserve">XIII</w:t>
            </w:r>
          </w:p>
        </w:tc>
        <w:tc>
          <w:tcPr/>
          <w:p>
            <w:pPr>
              <w:pStyle w:val="Compact"/>
              <w:jc w:val="right"/>
            </w:pPr>
            <w:r>
              <w:t xml:space="preserve">204</w:t>
            </w:r>
          </w:p>
        </w:tc>
        <w:tc>
          <w:tcPr/>
          <w:p>
            <w:pPr>
              <w:pStyle w:val="Compact"/>
              <w:jc w:val="left"/>
            </w:pPr>
            <w:r>
              <w:t xml:space="preserve">Bolonia</w:t>
            </w:r>
          </w:p>
        </w:tc>
        <w:tc>
          <w:tcPr/>
          <w:p>
            <w:pPr>
              <w:pStyle w:val="Compact"/>
              <w:jc w:val="right"/>
            </w:pPr>
            <w:r>
              <w:t xml:space="preserve">XIII</w:t>
            </w:r>
          </w:p>
        </w:tc>
      </w:tr>
      <w:tr>
        <w:tc>
          <w:tcPr/>
          <w:p>
            <w:pPr>
              <w:pStyle w:val="Compact"/>
              <w:jc w:val="right"/>
            </w:pPr>
            <w:r>
              <w:t xml:space="preserve">386</w:t>
            </w:r>
          </w:p>
        </w:tc>
        <w:tc>
          <w:tcPr/>
          <w:p>
            <w:pPr>
              <w:pStyle w:val="Compact"/>
              <w:jc w:val="left"/>
            </w:pPr>
            <w:r>
              <w:t xml:space="preserve">Watykan</w:t>
            </w:r>
          </w:p>
        </w:tc>
        <w:tc>
          <w:tcPr/>
          <w:p>
            <w:pPr>
              <w:pStyle w:val="Compact"/>
              <w:jc w:val="right"/>
            </w:pPr>
            <w:r>
              <w:t xml:space="preserve">XIV</w:t>
            </w:r>
          </w:p>
        </w:tc>
        <w:tc>
          <w:tcPr/>
          <w:p>
            <w:pPr>
              <w:pStyle w:val="Compact"/>
              <w:jc w:val="right"/>
            </w:pPr>
            <w:r>
              <w:t xml:space="preserve">801</w:t>
            </w:r>
          </w:p>
        </w:tc>
        <w:tc>
          <w:tcPr/>
          <w:p>
            <w:pPr>
              <w:pStyle w:val="Compact"/>
              <w:jc w:val="left"/>
            </w:pPr>
            <w:r>
              <w:t xml:space="preserve">Ateny</w:t>
            </w:r>
          </w:p>
        </w:tc>
        <w:tc>
          <w:tcPr/>
          <w:p>
            <w:pPr>
              <w:pStyle w:val="Compact"/>
              <w:jc w:val="right"/>
            </w:pPr>
            <w:r>
              <w:t xml:space="preserve">XV</w:t>
            </w:r>
          </w:p>
        </w:tc>
      </w:tr>
      <w:tr>
        <w:tc>
          <w:tcPr/>
          <w:p>
            <w:pPr>
              <w:pStyle w:val="Compact"/>
              <w:jc w:val="right"/>
            </w:pPr>
            <w:r>
              <w:t xml:space="preserve">824</w:t>
            </w:r>
          </w:p>
        </w:tc>
        <w:tc>
          <w:tcPr/>
          <w:p>
            <w:pPr>
              <w:pStyle w:val="Compact"/>
              <w:jc w:val="left"/>
            </w:pPr>
            <w:r>
              <w:t xml:space="preserve">Grottaferrata</w:t>
            </w:r>
          </w:p>
        </w:tc>
        <w:tc>
          <w:tcPr/>
          <w:p>
            <w:pPr>
              <w:pStyle w:val="Compact"/>
              <w:jc w:val="right"/>
            </w:pPr>
            <w:r>
              <w:t xml:space="preserve">XIV</w:t>
            </w:r>
          </w:p>
        </w:tc>
        <w:tc>
          <w:tcPr/>
          <w:p>
            <w:pPr>
              <w:pStyle w:val="Compact"/>
              <w:jc w:val="right"/>
            </w:pPr>
            <w:r>
              <w:t xml:space="preserve">1100</w:t>
            </w:r>
          </w:p>
        </w:tc>
        <w:tc>
          <w:tcPr/>
          <w:p>
            <w:pPr>
              <w:pStyle w:val="Compact"/>
              <w:jc w:val="left"/>
            </w:pPr>
            <w:r>
              <w:t xml:space="preserve">Dionysiu</w:t>
            </w:r>
          </w:p>
        </w:tc>
        <w:tc>
          <w:tcPr/>
          <w:p>
            <w:pPr>
              <w:pStyle w:val="Compact"/>
              <w:jc w:val="right"/>
            </w:pPr>
            <w:r>
              <w:t xml:space="preserve">1376</w:t>
            </w:r>
          </w:p>
        </w:tc>
      </w:tr>
      <w:tr>
        <w:tc>
          <w:tcPr/>
          <w:p>
            <w:pPr>
              <w:pStyle w:val="Compact"/>
              <w:jc w:val="right"/>
            </w:pPr>
            <w:r>
              <w:t xml:space="preserve">1101</w:t>
            </w:r>
          </w:p>
        </w:tc>
        <w:tc>
          <w:tcPr/>
          <w:p>
            <w:pPr>
              <w:pStyle w:val="Compact"/>
              <w:jc w:val="left"/>
            </w:pPr>
            <w:r>
              <w:t xml:space="preserve">Dionysiu</w:t>
            </w:r>
          </w:p>
        </w:tc>
        <w:tc>
          <w:tcPr/>
          <w:p>
            <w:pPr>
              <w:pStyle w:val="Compact"/>
              <w:jc w:val="right"/>
            </w:pPr>
            <w:r>
              <w:t xml:space="preserve">1660</w:t>
            </w:r>
          </w:p>
        </w:tc>
        <w:tc>
          <w:tcPr/>
          <w:p>
            <w:pPr>
              <w:pStyle w:val="Compact"/>
              <w:jc w:val="right"/>
            </w:pPr>
            <w:r>
              <w:t xml:space="preserve">1250</w:t>
            </w:r>
          </w:p>
        </w:tc>
        <w:tc>
          <w:tcPr/>
          <w:p>
            <w:pPr>
              <w:pStyle w:val="Compact"/>
              <w:jc w:val="left"/>
            </w:pPr>
            <w:r>
              <w:t xml:space="preserve">Synaj</w:t>
            </w:r>
          </w:p>
        </w:tc>
        <w:tc>
          <w:tcPr/>
          <w:p>
            <w:pPr>
              <w:pStyle w:val="Compact"/>
              <w:jc w:val="right"/>
            </w:pPr>
            <w:r>
              <w:t xml:space="preserve">XV</w:t>
            </w:r>
          </w:p>
        </w:tc>
      </w:tr>
      <w:tr>
        <w:tc>
          <w:tcPr/>
          <w:p>
            <w:pPr>
              <w:pStyle w:val="Compact"/>
              <w:jc w:val="right"/>
            </w:pPr>
            <w:r>
              <w:t xml:space="preserve">1636</w:t>
            </w:r>
          </w:p>
        </w:tc>
        <w:tc>
          <w:tcPr/>
          <w:p>
            <w:pPr>
              <w:pStyle w:val="Compact"/>
              <w:jc w:val="left"/>
            </w:pPr>
            <w:r>
              <w:t xml:space="preserve">M Lavras</w:t>
            </w:r>
          </w:p>
        </w:tc>
        <w:tc>
          <w:tcPr/>
          <w:p>
            <w:pPr>
              <w:pStyle w:val="Compact"/>
              <w:jc w:val="right"/>
            </w:pPr>
            <w:r>
              <w:t xml:space="preserve">XV</w:t>
            </w:r>
          </w:p>
        </w:tc>
        <w:tc>
          <w:tcPr/>
          <w:p>
            <w:pPr>
              <w:pStyle w:val="Compact"/>
              <w:jc w:val="right"/>
            </w:pPr>
            <w:r>
              <w:t xml:space="preserve">1704</w:t>
            </w:r>
          </w:p>
        </w:tc>
        <w:tc>
          <w:tcPr/>
          <w:p>
            <w:pPr>
              <w:pStyle w:val="Compact"/>
              <w:jc w:val="left"/>
            </w:pPr>
            <w:r>
              <w:t xml:space="preserve">Kutlumusiu</w:t>
            </w:r>
          </w:p>
        </w:tc>
        <w:tc>
          <w:tcPr/>
          <w:p>
            <w:pPr>
              <w:pStyle w:val="Compact"/>
              <w:jc w:val="right"/>
            </w:pPr>
            <w:r>
              <w:t xml:space="preserve">1541</w:t>
            </w:r>
          </w:p>
        </w:tc>
      </w:tr>
      <w:tr>
        <w:tc>
          <w:tcPr/>
          <w:p>
            <w:pPr>
              <w:pStyle w:val="Compact"/>
              <w:jc w:val="right"/>
            </w:pPr>
            <w:r>
              <w:t xml:space="preserve">1725</w:t>
            </w:r>
          </w:p>
        </w:tc>
        <w:tc>
          <w:tcPr/>
          <w:p>
            <w:pPr>
              <w:pStyle w:val="Compact"/>
              <w:jc w:val="left"/>
            </w:pPr>
            <w:r>
              <w:t xml:space="preserve">Vatopediu</w:t>
            </w:r>
          </w:p>
        </w:tc>
        <w:tc>
          <w:tcPr/>
          <w:p>
            <w:pPr>
              <w:pStyle w:val="Compact"/>
              <w:jc w:val="right"/>
            </w:pPr>
            <w:r>
              <w:t xml:space="preserve">1367</w:t>
            </w:r>
          </w:p>
        </w:tc>
        <w:tc>
          <w:tcPr/>
          <w:p>
            <w:pPr>
              <w:pStyle w:val="Compact"/>
              <w:jc w:val="right"/>
            </w:pPr>
            <w:r>
              <w:t xml:space="preserve">1726</w:t>
            </w:r>
          </w:p>
        </w:tc>
        <w:tc>
          <w:tcPr/>
          <w:p>
            <w:pPr>
              <w:pStyle w:val="Compact"/>
              <w:jc w:val="left"/>
            </w:pPr>
            <w:r>
              <w:t xml:space="preserve">Vatopediu</w:t>
            </w:r>
          </w:p>
        </w:tc>
        <w:tc>
          <w:tcPr/>
          <w:p>
            <w:pPr>
              <w:pStyle w:val="Compact"/>
              <w:jc w:val="right"/>
            </w:pPr>
            <w:r>
              <w:t xml:space="preserve">XIV</w:t>
            </w:r>
          </w:p>
        </w:tc>
      </w:tr>
      <w:tr>
        <w:tc>
          <w:tcPr/>
          <w:p>
            <w:pPr>
              <w:pStyle w:val="Compact"/>
              <w:jc w:val="right"/>
            </w:pPr>
            <w:r>
              <w:t xml:space="preserve">1732</w:t>
            </w:r>
          </w:p>
        </w:tc>
        <w:tc>
          <w:tcPr/>
          <w:p>
            <w:pPr>
              <w:pStyle w:val="Compact"/>
              <w:jc w:val="left"/>
            </w:pPr>
            <w:r>
              <w:t xml:space="preserve">M Lavras</w:t>
            </w:r>
          </w:p>
        </w:tc>
        <w:tc>
          <w:tcPr/>
          <w:p>
            <w:pPr>
              <w:pStyle w:val="Compact"/>
              <w:jc w:val="right"/>
            </w:pPr>
            <w:r>
              <w:t xml:space="preserve">1384</w:t>
            </w:r>
          </w:p>
        </w:tc>
        <w:tc>
          <w:tcPr/>
          <w:p>
            <w:pPr>
              <w:pStyle w:val="Compact"/>
              <w:jc w:val="right"/>
            </w:pPr>
            <w:r>
              <w:t xml:space="preserve">1733</w:t>
            </w:r>
          </w:p>
        </w:tc>
        <w:tc>
          <w:tcPr/>
          <w:p>
            <w:pPr>
              <w:pStyle w:val="Compact"/>
              <w:jc w:val="left"/>
            </w:pPr>
            <w:r>
              <w:t xml:space="preserve">M Lavras</w:t>
            </w:r>
          </w:p>
        </w:tc>
        <w:tc>
          <w:tcPr/>
          <w:p>
            <w:pPr>
              <w:pStyle w:val="Compact"/>
              <w:jc w:val="right"/>
            </w:pPr>
            <w:r>
              <w:t xml:space="preserve">XIV</w:t>
            </w:r>
          </w:p>
        </w:tc>
      </w:tr>
      <w:tr>
        <w:tc>
          <w:tcPr/>
          <w:p>
            <w:pPr>
              <w:pStyle w:val="Compact"/>
              <w:jc w:val="right"/>
            </w:pPr>
            <w:r>
              <w:t xml:space="preserve">1754</w:t>
            </w:r>
          </w:p>
        </w:tc>
        <w:tc>
          <w:tcPr/>
          <w:p>
            <w:pPr>
              <w:pStyle w:val="Compact"/>
              <w:jc w:val="left"/>
            </w:pPr>
            <w:r>
              <w:t xml:space="preserve">Panteleimonos</w:t>
            </w:r>
          </w:p>
        </w:tc>
        <w:tc>
          <w:tcPr/>
          <w:p>
            <w:pPr>
              <w:pStyle w:val="Compact"/>
              <w:jc w:val="right"/>
            </w:pPr>
            <w:r>
              <w:t xml:space="preserve">XII</w:t>
            </w:r>
          </w:p>
        </w:tc>
        <w:tc>
          <w:tcPr/>
          <w:p>
            <w:pPr>
              <w:pStyle w:val="Compact"/>
              <w:jc w:val="right"/>
            </w:pPr>
            <w:r>
              <w:t xml:space="preserve">1761</w:t>
            </w:r>
          </w:p>
        </w:tc>
        <w:tc>
          <w:tcPr/>
          <w:p>
            <w:pPr>
              <w:pStyle w:val="Compact"/>
              <w:jc w:val="left"/>
            </w:pPr>
            <w:r>
              <w:t xml:space="preserve">Ateny</w:t>
            </w:r>
          </w:p>
        </w:tc>
        <w:tc>
          <w:tcPr/>
          <w:p>
            <w:pPr>
              <w:pStyle w:val="Compact"/>
              <w:jc w:val="right"/>
            </w:pPr>
            <w:r>
              <w:t xml:space="preserve">XIV</w:t>
            </w:r>
          </w:p>
        </w:tc>
      </w:tr>
      <w:tr>
        <w:tc>
          <w:tcPr/>
          <w:p>
            <w:pPr>
              <w:pStyle w:val="Compact"/>
              <w:jc w:val="right"/>
            </w:pPr>
            <w:r>
              <w:t xml:space="preserve">1858</w:t>
            </w:r>
          </w:p>
        </w:tc>
        <w:tc>
          <w:tcPr/>
          <w:p>
            <w:pPr>
              <w:pStyle w:val="Compact"/>
              <w:jc w:val="left"/>
            </w:pPr>
            <w:r>
              <w:t xml:space="preserve">Konstamonitu</w:t>
            </w:r>
          </w:p>
        </w:tc>
        <w:tc>
          <w:tcPr/>
          <w:p>
            <w:pPr>
              <w:pStyle w:val="Compact"/>
              <w:jc w:val="right"/>
            </w:pPr>
            <w:r>
              <w:t xml:space="preserve">XIII</w:t>
            </w:r>
          </w:p>
        </w:tc>
        <w:tc>
          <w:tcPr/>
          <w:p>
            <w:pPr>
              <w:pStyle w:val="Compact"/>
              <w:jc w:val="right"/>
            </w:pPr>
            <w:r>
              <w:t xml:space="preserve">1865</w:t>
            </w:r>
          </w:p>
        </w:tc>
        <w:tc>
          <w:tcPr/>
          <w:p>
            <w:pPr>
              <w:pStyle w:val="Compact"/>
              <w:jc w:val="left"/>
            </w:pPr>
            <w:r>
              <w:t xml:space="preserve">Filotheu</w:t>
            </w:r>
          </w:p>
        </w:tc>
        <w:tc>
          <w:tcPr/>
          <w:p>
            <w:pPr>
              <w:pStyle w:val="Compact"/>
              <w:jc w:val="right"/>
            </w:pPr>
            <w:r>
              <w:t xml:space="preserve">XIII</w:t>
            </w:r>
          </w:p>
        </w:tc>
      </w:tr>
      <w:tr>
        <w:tc>
          <w:tcPr/>
          <w:p>
            <w:pPr>
              <w:pStyle w:val="Compact"/>
              <w:jc w:val="right"/>
            </w:pPr>
            <w:r>
              <w:t xml:space="preserve">1876</w:t>
            </w:r>
          </w:p>
        </w:tc>
        <w:tc>
          <w:tcPr/>
          <w:p>
            <w:pPr>
              <w:pStyle w:val="Compact"/>
              <w:jc w:val="left"/>
            </w:pPr>
            <w:r>
              <w:t xml:space="preserve">Synaj</w:t>
            </w:r>
          </w:p>
        </w:tc>
        <w:tc>
          <w:tcPr/>
          <w:p>
            <w:pPr>
              <w:pStyle w:val="Compact"/>
              <w:jc w:val="right"/>
            </w:pPr>
            <w:r>
              <w:t xml:space="preserve">XV</w:t>
            </w:r>
          </w:p>
        </w:tc>
        <w:tc>
          <w:tcPr/>
          <w:p>
            <w:pPr>
              <w:pStyle w:val="Compact"/>
              <w:jc w:val="right"/>
            </w:pPr>
            <w:r>
              <w:t xml:space="preserve">1897</w:t>
            </w:r>
          </w:p>
        </w:tc>
        <w:tc>
          <w:tcPr/>
          <w:p>
            <w:pPr>
              <w:pStyle w:val="Compact"/>
              <w:jc w:val="left"/>
            </w:pPr>
            <w:r>
              <w:t xml:space="preserve">Jerozolima</w:t>
            </w:r>
          </w:p>
        </w:tc>
        <w:tc>
          <w:tcPr/>
          <w:p>
            <w:pPr>
              <w:pStyle w:val="Compact"/>
              <w:jc w:val="right"/>
            </w:pPr>
            <w:r>
              <w:t xml:space="preserve">XII</w:t>
            </w:r>
          </w:p>
        </w:tc>
      </w:tr>
      <w:tr>
        <w:tc>
          <w:tcPr/>
          <w:p>
            <w:pPr>
              <w:pStyle w:val="Compact"/>
              <w:jc w:val="right"/>
            </w:pPr>
            <w:r>
              <w:t xml:space="preserve">2080</w:t>
            </w:r>
          </w:p>
        </w:tc>
        <w:tc>
          <w:tcPr/>
          <w:p>
            <w:pPr>
              <w:pStyle w:val="Compact"/>
              <w:jc w:val="left"/>
            </w:pPr>
            <w:r>
              <w:t xml:space="preserve">Patmos</w:t>
            </w:r>
          </w:p>
        </w:tc>
        <w:tc>
          <w:tcPr/>
          <w:p>
            <w:pPr>
              <w:pStyle w:val="Compact"/>
              <w:jc w:val="right"/>
            </w:pPr>
            <w:r>
              <w:t xml:space="preserve">XIV</w:t>
            </w:r>
          </w:p>
        </w:tc>
        <w:tc>
          <w:tcPr/>
          <w:p>
            <w:pPr>
              <w:pStyle w:val="Compact"/>
              <w:jc w:val="right"/>
            </w:pPr>
            <w:r>
              <w:t xml:space="preserve">2221</w:t>
            </w:r>
          </w:p>
        </w:tc>
        <w:tc>
          <w:tcPr/>
          <w:p>
            <w:pPr>
              <w:pStyle w:val="Compact"/>
              <w:jc w:val="left"/>
            </w:pPr>
            <w:r>
              <w:t xml:space="preserve">Sparta</w:t>
            </w:r>
          </w:p>
        </w:tc>
        <w:tc>
          <w:tcPr/>
          <w:p>
            <w:pPr>
              <w:pStyle w:val="Compact"/>
              <w:jc w:val="right"/>
            </w:pPr>
            <w:r>
              <w:t xml:space="preserve">1432</w:t>
            </w:r>
          </w:p>
        </w:tc>
      </w:tr>
      <w:tr>
        <w:tc>
          <w:tcPr/>
          <w:p>
            <w:pPr>
              <w:pStyle w:val="Compact"/>
              <w:jc w:val="right"/>
            </w:pPr>
            <w:r>
              <w:t xml:space="preserve">2261</w:t>
            </w:r>
          </w:p>
        </w:tc>
        <w:tc>
          <w:tcPr/>
          <w:p>
            <w:pPr>
              <w:pStyle w:val="Compact"/>
              <w:jc w:val="left"/>
            </w:pPr>
            <w:r>
              <w:t xml:space="preserve">Kalawrita</w:t>
            </w:r>
          </w:p>
        </w:tc>
        <w:tc>
          <w:tcPr/>
          <w:p>
            <w:pPr>
              <w:pStyle w:val="Compact"/>
              <w:jc w:val="right"/>
            </w:pPr>
            <w:r>
              <w:t xml:space="preserve">XIV</w:t>
            </w:r>
          </w:p>
        </w:tc>
        <w:tc>
          <w:tcPr/>
          <w:p>
            <w:pPr>
              <w:pStyle w:val="Compact"/>
              <w:jc w:val="right"/>
            </w:pPr>
            <w:r>
              <w:t xml:space="preserve">[2378]</w:t>
            </w:r>
          </w:p>
        </w:tc>
        <w:tc>
          <w:tcPr/>
          <w:p>
            <w:pPr>
              <w:pStyle w:val="Compact"/>
              <w:jc w:val="left"/>
            </w:pPr>
            <w:r>
              <w:t xml:space="preserve">Ateny</w:t>
            </w:r>
          </w:p>
        </w:tc>
        <w:tc>
          <w:tcPr/>
          <w:p>
            <w:pPr>
              <w:pStyle w:val="Compact"/>
              <w:jc w:val="right"/>
            </w:pPr>
            <w:r>
              <w:t xml:space="preserve">1511</w:t>
            </w:r>
            <w:r>
              <w:rPr>
                <w:rStyle w:val="FootnoteReference"/>
              </w:rPr>
              <w:footnoteReference w:id="509"/>
            </w:r>
          </w:p>
        </w:tc>
      </w:tr>
      <w:tr>
        <w:tc>
          <w:tcPr/>
          <w:p>
            <w:pPr>
              <w:pStyle w:val="Compact"/>
              <w:jc w:val="right"/>
            </w:pPr>
            <w:r>
              <w:t xml:space="preserve">2466</w:t>
            </w:r>
          </w:p>
        </w:tc>
        <w:tc>
          <w:tcPr/>
          <w:p>
            <w:pPr>
              <w:pStyle w:val="Compact"/>
              <w:jc w:val="left"/>
            </w:pPr>
            <w:r>
              <w:t xml:space="preserve">Patmos</w:t>
            </w:r>
          </w:p>
        </w:tc>
        <w:tc>
          <w:tcPr/>
          <w:p>
            <w:pPr>
              <w:pStyle w:val="Compact"/>
              <w:jc w:val="right"/>
            </w:pPr>
            <w:r>
              <w:t xml:space="preserve">1329</w:t>
            </w:r>
          </w:p>
        </w:tc>
        <w:tc>
          <w:tcPr/>
          <w:p>
            <w:pPr>
              <w:pStyle w:val="Compact"/>
              <w:jc w:val="right"/>
            </w:pPr>
            <w:r>
              <w:t xml:space="preserve">2554</w:t>
            </w:r>
          </w:p>
        </w:tc>
        <w:tc>
          <w:tcPr/>
          <w:p>
            <w:pPr>
              <w:pStyle w:val="Compact"/>
              <w:jc w:val="left"/>
            </w:pPr>
            <w:r>
              <w:t xml:space="preserve">Bukareszt</w:t>
            </w:r>
          </w:p>
        </w:tc>
        <w:tc>
          <w:tcPr/>
          <w:p>
            <w:pPr>
              <w:pStyle w:val="Compact"/>
              <w:jc w:val="right"/>
            </w:pPr>
            <w:r>
              <w:t xml:space="preserve">1434</w:t>
            </w:r>
          </w:p>
        </w:tc>
      </w:tr>
      <w:tr>
        <w:tc>
          <w:tcPr/>
          <w:p>
            <w:pPr>
              <w:pStyle w:val="Compact"/>
              <w:jc w:val="right"/>
            </w:pPr>
            <w:r>
              <w:t xml:space="preserve">2626</w:t>
            </w:r>
          </w:p>
        </w:tc>
        <w:tc>
          <w:tcPr/>
          <w:p>
            <w:pPr>
              <w:pStyle w:val="Compact"/>
              <w:jc w:val="left"/>
            </w:pPr>
            <w:r>
              <w:t xml:space="preserve">Ochryda</w:t>
            </w:r>
          </w:p>
        </w:tc>
        <w:tc>
          <w:tcPr/>
          <w:p>
            <w:pPr>
              <w:pStyle w:val="Compact"/>
              <w:jc w:val="right"/>
            </w:pPr>
            <w:r>
              <w:t xml:space="preserve">XIV</w:t>
            </w:r>
          </w:p>
        </w:tc>
        <w:tc>
          <w:tcPr/>
          <w:p>
            <w:pPr>
              <w:pStyle w:val="Compact"/>
              <w:jc w:val="right"/>
            </w:pPr>
            <w:r>
              <w:t xml:space="preserve">2723</w:t>
            </w:r>
          </w:p>
        </w:tc>
        <w:tc>
          <w:tcPr/>
          <w:p>
            <w:pPr>
              <w:pStyle w:val="Compact"/>
              <w:jc w:val="left"/>
            </w:pPr>
            <w:r>
              <w:t xml:space="preserve">Trikala</w:t>
            </w:r>
          </w:p>
        </w:tc>
        <w:tc>
          <w:tcPr/>
          <w:p>
            <w:pPr>
              <w:pStyle w:val="Compact"/>
              <w:jc w:val="right"/>
            </w:pPr>
            <w:r>
              <w:t xml:space="preserve">XI</w:t>
            </w:r>
          </w:p>
        </w:tc>
      </w:tr>
    </w:tbl>
    <w:p>
      <w:pPr>
        <w:pStyle w:val="BodyText"/>
      </w:pPr>
      <w:r>
        <w:t xml:space="preserve">Tabela pomoże zobrazować rozmieszczenie obu wariantów przy użyciu kategorii „góra Athos” i „gdzie indziej”:</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Tryb oznajmujący</w:t>
            </w:r>
          </w:p>
        </w:tc>
        <w:tc>
          <w:tcPr/>
          <w:p>
            <w:pPr>
              <w:pStyle w:val="Compact"/>
              <w:jc w:val="left"/>
            </w:pPr>
            <w:r>
              <w:t xml:space="preserve">Tryb łączący</w:t>
            </w:r>
          </w:p>
        </w:tc>
        <w:tc>
          <w:tcPr/>
          <w:p>
            <w:pPr>
              <w:pStyle w:val="Compact"/>
              <w:jc w:val="left"/>
            </w:pPr>
            <w:r>
              <w:t xml:space="preserve">Oba</w:t>
            </w:r>
          </w:p>
        </w:tc>
      </w:tr>
      <w:tr>
        <w:tc>
          <w:tcPr/>
          <w:p>
            <w:pPr>
              <w:pStyle w:val="Compact"/>
              <w:jc w:val="left"/>
            </w:pPr>
            <w:r>
              <w:t xml:space="preserve">1) Góra Athos</w:t>
            </w:r>
          </w:p>
        </w:tc>
        <w:tc>
          <w:tcPr/>
          <w:p>
            <w:pPr>
              <w:pStyle w:val="Compact"/>
              <w:jc w:val="left"/>
            </w:pPr>
            <w:r>
              <w:t xml:space="preserve">Konstamonitu</w:t>
            </w:r>
            <w:r>
              <w:t xml:space="preserve">Kutlumusiu</w:t>
            </w:r>
            <w:r>
              <w:t xml:space="preserve">Filotheu</w:t>
            </w:r>
          </w:p>
        </w:tc>
        <w:tc>
          <w:tcPr/>
          <w:p>
            <w:pPr>
              <w:pStyle w:val="Compact"/>
              <w:jc w:val="left"/>
            </w:pPr>
            <w:r>
              <w:t xml:space="preserve">Esfigmenu</w:t>
            </w:r>
            <w:r>
              <w:t xml:space="preserve">Iviron</w:t>
            </w:r>
            <w:r>
              <w:t xml:space="preserve">Kavsokalyvia</w:t>
            </w:r>
            <w:r>
              <w:t xml:space="preserve">Stavronikita</w:t>
            </w:r>
          </w:p>
        </w:tc>
        <w:tc>
          <w:tcPr/>
          <w:p>
            <w:pPr>
              <w:pStyle w:val="Compact"/>
              <w:jc w:val="left"/>
            </w:pPr>
            <w:r>
              <w:t xml:space="preserve">Dionysiu</w:t>
            </w:r>
            <w:r>
              <w:t xml:space="preserve">M Lavras</w:t>
            </w:r>
            <w:r>
              <w:t xml:space="preserve">Panteleimonos</w:t>
            </w:r>
            <w:r>
              <w:t xml:space="preserve">Vatopediu</w:t>
            </w:r>
          </w:p>
        </w:tc>
      </w:tr>
      <w:tr>
        <w:tc>
          <w:tcPr/>
          <w:p>
            <w:pPr>
              <w:pStyle w:val="Compact"/>
              <w:jc w:val="left"/>
            </w:pPr>
            <w:r>
              <w:t xml:space="preserve">2) Gdzie indziej</w:t>
            </w:r>
          </w:p>
        </w:tc>
        <w:tc>
          <w:tcPr/>
          <w:p>
            <w:pPr>
              <w:pStyle w:val="Compact"/>
              <w:jc w:val="left"/>
            </w:pPr>
            <w:r>
              <w:t xml:space="preserve">Bolonia</w:t>
            </w:r>
            <w:r>
              <w:t xml:space="preserve">Bukareszt</w:t>
            </w:r>
            <w:r>
              <w:t xml:space="preserve">Konstantynopol</w:t>
            </w:r>
            <w:r>
              <w:t xml:space="preserve">Grottaferrata</w:t>
            </w:r>
            <w:r>
              <w:t xml:space="preserve">Kalawrita</w:t>
            </w:r>
            <w:r>
              <w:t xml:space="preserve">Ochryda</w:t>
            </w:r>
            <w:r>
              <w:t xml:space="preserve">Patmos</w:t>
            </w:r>
            <w:r>
              <w:t xml:space="preserve">Sparta</w:t>
            </w:r>
            <w:r>
              <w:t xml:space="preserve">Trikala</w:t>
            </w:r>
          </w:p>
        </w:tc>
        <w:tc>
          <w:tcPr/>
          <w:p>
            <w:pPr>
              <w:pStyle w:val="Compact"/>
              <w:jc w:val="left"/>
            </w:pPr>
            <w:r>
              <w:t xml:space="preserve">Karditsa</w:t>
            </w:r>
            <w:r>
              <w:t xml:space="preserve">Lejda</w:t>
            </w:r>
            <w:r>
              <w:t xml:space="preserve">Londyn</w:t>
            </w:r>
            <w:r>
              <w:t xml:space="preserve">Meteora</w:t>
            </w:r>
            <w:r>
              <w:t xml:space="preserve">Sofia</w:t>
            </w:r>
            <w:r>
              <w:t xml:space="preserve">Vallicelliana (Rzym)</w:t>
            </w:r>
            <w:r>
              <w:t xml:space="preserve">Zittau</w:t>
            </w:r>
          </w:p>
        </w:tc>
        <w:tc>
          <w:tcPr/>
          <w:p>
            <w:pPr>
              <w:pStyle w:val="Compact"/>
              <w:jc w:val="left"/>
            </w:pPr>
            <w:r>
              <w:t xml:space="preserve">Ateny</w:t>
            </w:r>
            <w:r>
              <w:t xml:space="preserve">Jerozolima</w:t>
            </w:r>
            <w:r>
              <w:t xml:space="preserve">Paryż</w:t>
            </w:r>
            <w:r>
              <w:t xml:space="preserve">Synaj</w:t>
            </w:r>
            <w:r>
              <w:t xml:space="preserve">Watykan</w:t>
            </w:r>
          </w:p>
        </w:tc>
      </w:tr>
    </w:tbl>
    <w:p>
      <w:pPr>
        <w:pStyle w:val="BodyText"/>
      </w:pPr>
      <w:r>
        <w:t xml:space="preserve">Synaj, Jerozolima, góra Athos i Watykan znajdują się po obu stronach, lecz tryb oznajmujący ma lepsze rozmieszczenie gdzie indziej, znacząco lepsze.</w:t>
      </w:r>
    </w:p>
    <w:p>
      <w:pPr>
        <w:pStyle w:val="BodyText"/>
      </w:pPr>
      <w:r>
        <w:t xml:space="preserve">W „Adjudicating Family Splits”,</w:t>
      </w:r>
      <w:r>
        <w:rPr>
          <w:rStyle w:val="FootnoteReference"/>
        </w:rPr>
        <w:footnoteReference w:id="510"/>
      </w:r>
      <w:r>
        <w:t xml:space="preserve"> </w:t>
      </w:r>
      <w:r>
        <w:t xml:space="preserve">na podstawie 24 manuskryptów, tryb łączący był poświadczony przez 59% tego wyboru, lecz moje narzędzie ważące zmniejszyło wartość do 43%. Niniejsze opracowanie opiera się na 77 manuskryptach (spośród 84 znanych członków rodziny), a tryb łączący jest obecnie poświadczony przez 61% spośród 77, obraz się nie zmienił. Z pogodą ducha jestem przekonany, że archetyp miał tryb oznajmujący.</w:t>
      </w:r>
    </w:p>
    <w:p>
      <w:pPr>
        <w:pStyle w:val="BodyText"/>
      </w:pPr>
      <w:r>
        <w:t xml:space="preserve">Wracając do wykazu czternastu podziałów na pierwszej stronie, można zauważyć, że niemal wszystkie obejmują jedną literę albo podobnie brzmiący dyftong. Większość z nich stanowi ledwie jakąkolwiek różnicę znaczenia. W całej Rodzinie 35, we wszystkich siedmiu Listach Ogólnych, po prostu nie istnieje żadne znaczące zróżnicowanie. Bóg zachował swój Tekst.</w:t>
      </w:r>
    </w:p>
    <w:bookmarkEnd w:id="511"/>
    <w:bookmarkEnd w:id="512"/>
    <w:bookmarkEnd w:id="513"/>
    <w:bookmarkStart w:id="516" w:name="Xda2d2575d30d2c42a65100ab334631998aae85b"/>
    <w:p>
      <w:pPr>
        <w:pStyle w:val="Heading2"/>
      </w:pPr>
      <w:r>
        <w:t xml:space="preserve">Ranking wariantowy manuskryptów zawierających List Judy (według Wassermana)</w:t>
      </w:r>
      <w:r>
        <w:rPr>
          <w:rStyle w:val="FootnoteReference"/>
        </w:rPr>
        <w:footnoteReference w:id="514"/>
      </w:r>
    </w:p>
    <w:p>
      <w:pPr>
        <w:pStyle w:val="BodyText"/>
      </w:pPr>
      <w:r>
        <w:t xml:space="preserve">Uwagi wstępne: niniejsze badanie nie rości sobie pretensji do ścisłej dokładności. Po prostu podążyłem za Wassermanem, nie sprawdzając żadnych manuskryptów, z wyjątkiem tego, co zaznaczono w komentarzu 4 poniżej. Nie liczyłem żadnego wariantu odczytywanego przez ponad 5% manuskryptów, nawet gdy zarówno Wasserman, jak i ja go odrzuciliśmy,</w:t>
      </w:r>
      <w:r>
        <w:rPr>
          <w:rStyle w:val="FootnoteReference"/>
        </w:rPr>
        <w:footnoteReference w:id="515"/>
      </w:r>
      <w:r>
        <w:t xml:space="preserve"> </w:t>
      </w:r>
      <w:r>
        <w:t xml:space="preserve">gdybym to zrobił, liczba wariantów wielu manuskryptów wzrosłaby. Wasserman nie odnotował około sześciu rodzajów dittografii, które z pewnością bym uwzględnił — liczba wariantów manuskryptów takich jak 01 i 03 gwałtownie by wzrosła. To, co następuje, należy więc traktować jedynie jako przybliżenie, jest ono jednak ważne i wystarczające dla mojego obecnego celu:</w:t>
      </w:r>
      <w:r>
        <w:t xml:space="preserve"> </w:t>
      </w:r>
      <w:r>
        <w:rPr>
          <w:bCs/>
          <w:b/>
        </w:rPr>
        <w:t xml:space="preserve">przedstawienia statystycznego obrazu mentalności kopistów</w:t>
      </w:r>
      <w:r>
        <w:t xml:space="preserve">.</w:t>
      </w:r>
    </w:p>
    <w:p>
      <w:pPr>
        <w:pStyle w:val="BodyText"/>
      </w:pPr>
      <w:r>
        <w:t xml:space="preserve">Jest zupełnie oczywiste, że niektórzy kopiści nie traktowali swojego zadania poważnie (zupełnie niezależnie od celowych zmian), podczas gdy inni traktowali je bardzo poważnie. List Judy jest krótką księgą, zawierającą tylko 25 wersetów. Zauważ, że</w:t>
      </w:r>
      <w:r>
        <w:t xml:space="preserve"> </w:t>
      </w:r>
      <w:r>
        <w:rPr>
          <w:bCs/>
          <w:b/>
        </w:rPr>
        <w:t xml:space="preserve">P</w:t>
      </w:r>
      <w:r>
        <w:rPr>
          <w:vertAlign w:val="superscript"/>
          <w:bCs/>
          <w:b/>
        </w:rPr>
        <w:t xml:space="preserve">72</w:t>
      </w:r>
      <w:r>
        <w:t xml:space="preserve">, nasz najstarszy zachowany manuskrypt, jest zdecydowanie najgorszy, ma dwa warianty na werset! Pierwszych 19 manuskryptów wymienionych poniżej jest naprawdę bardzo kiepskich, kopiści wyraźnie nie mieli szacunku dla tego, co kopiowali. Kopiści następnych 95 manuskryptów nie traktowali swojej pracy poważnie. Jakość ich pracy ostro kontrastuje z jakością pracy znacznej większości kopistów Rodziny 35, najwyraźniej rozumieli oni, że kopiują Święty Tekst (manuskrypty</w:t>
      </w:r>
      <w:r>
        <w:t xml:space="preserve"> </w:t>
      </w:r>
      <w:r>
        <w:rPr>
          <w:bCs/>
          <w:b/>
        </w:rPr>
        <w:t xml:space="preserve">f</w:t>
      </w:r>
      <w:r>
        <w:rPr>
          <w:vertAlign w:val="superscript"/>
          <w:bCs/>
          <w:b/>
        </w:rPr>
        <w:t xml:space="preserve">35</w:t>
      </w:r>
      <w:r>
        <w:t xml:space="preserve"> </w:t>
      </w:r>
      <w:r>
        <w:t xml:space="preserve">są podkreślone).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Liczba wariantów</w:t>
            </w:r>
          </w:p>
        </w:tc>
        <w:tc>
          <w:tcPr/>
          <w:p>
            <w:pPr>
              <w:pStyle w:val="Compact"/>
              <w:jc w:val="left"/>
            </w:pPr>
            <w:r>
              <w:t xml:space="preserve">Manuskrypty</w:t>
            </w:r>
          </w:p>
        </w:tc>
        <w:tc>
          <w:tcPr/>
          <w:p>
            <w:pPr>
              <w:pStyle w:val="Compact"/>
              <w:jc w:val="left"/>
            </w:pPr>
            <w:r>
              <w:t xml:space="preserve">Uwagi</w:t>
            </w:r>
          </w:p>
        </w:tc>
      </w:tr>
      <w:tr>
        <w:tc>
          <w:tcPr/>
          <w:p>
            <w:pPr>
              <w:pStyle w:val="Compact"/>
              <w:jc w:val="right"/>
            </w:pPr>
            <w:r>
              <w:t xml:space="preserve">51</w:t>
            </w:r>
          </w:p>
        </w:tc>
        <w:tc>
          <w:tcPr/>
          <w:p>
            <w:pPr>
              <w:pStyle w:val="Compact"/>
              <w:jc w:val="left"/>
            </w:pPr>
            <w:r>
              <w:rPr>
                <w:bCs/>
                <w:b/>
              </w:rPr>
              <w:t xml:space="preserve">P</w:t>
            </w:r>
            <w:r>
              <w:rPr>
                <w:vertAlign w:val="superscript"/>
                <w:bCs/>
                <w:b/>
              </w:rPr>
              <w:t xml:space="preserve">72</w:t>
            </w:r>
          </w:p>
        </w:tc>
        <w:tc>
          <w:tcPr/>
          <w:p>
            <w:pPr>
              <w:pStyle w:val="Compact"/>
              <w:jc w:val="left"/>
            </w:pPr>
            <w:r>
              <w:rPr>
                <w:bCs/>
                <w:b/>
              </w:rPr>
              <w:t xml:space="preserve">nasz najstarszy zachowany manuskrypt jest zdecydowanie najgorszy!</w:t>
            </w:r>
          </w:p>
        </w:tc>
      </w:tr>
      <w:tr>
        <w:tc>
          <w:tcPr/>
          <w:p>
            <w:pPr>
              <w:pStyle w:val="Compact"/>
              <w:jc w:val="right"/>
            </w:pPr>
            <w:r>
              <w:t xml:space="preserve">34</w:t>
            </w:r>
          </w:p>
        </w:tc>
        <w:tc>
          <w:tcPr/>
          <w:p>
            <w:pPr>
              <w:pStyle w:val="Compact"/>
              <w:jc w:val="left"/>
            </w:pPr>
            <w:r>
              <w:t xml:space="preserve">1241</w:t>
            </w:r>
          </w:p>
        </w:tc>
        <w:tc>
          <w:tcPr/>
          <w:p>
            <w:pPr>
              <w:pStyle w:val="Compact"/>
            </w:pPr>
          </w:p>
        </w:tc>
      </w:tr>
      <w:tr>
        <w:tc>
          <w:tcPr/>
          <w:p>
            <w:pPr>
              <w:pStyle w:val="Compact"/>
              <w:jc w:val="right"/>
            </w:pPr>
            <w:r>
              <w:t xml:space="preserve">32</w:t>
            </w:r>
          </w:p>
        </w:tc>
        <w:tc>
          <w:tcPr/>
          <w:p>
            <w:pPr>
              <w:pStyle w:val="Compact"/>
              <w:jc w:val="left"/>
            </w:pPr>
            <w:r>
              <w:t xml:space="preserve">378, 631, 1838</w:t>
            </w:r>
          </w:p>
        </w:tc>
        <w:tc>
          <w:tcPr/>
          <w:p>
            <w:pPr>
              <w:pStyle w:val="Compact"/>
            </w:pPr>
          </w:p>
        </w:tc>
      </w:tr>
      <w:tr>
        <w:tc>
          <w:tcPr/>
          <w:p>
            <w:pPr>
              <w:pStyle w:val="Compact"/>
              <w:jc w:val="right"/>
            </w:pPr>
            <w:r>
              <w:t xml:space="preserve">30</w:t>
            </w:r>
          </w:p>
        </w:tc>
        <w:tc>
          <w:tcPr/>
          <w:p>
            <w:pPr>
              <w:pStyle w:val="Compact"/>
              <w:jc w:val="left"/>
            </w:pPr>
            <w:r>
              <w:t xml:space="preserve">1646</w:t>
            </w:r>
          </w:p>
        </w:tc>
        <w:tc>
          <w:tcPr/>
          <w:p>
            <w:pPr>
              <w:pStyle w:val="Compact"/>
            </w:pPr>
          </w:p>
        </w:tc>
      </w:tr>
      <w:tr>
        <w:tc>
          <w:tcPr/>
          <w:p>
            <w:pPr>
              <w:pStyle w:val="Compact"/>
              <w:jc w:val="right"/>
            </w:pPr>
            <w:r>
              <w:t xml:space="preserve">29</w:t>
            </w:r>
          </w:p>
        </w:tc>
        <w:tc>
          <w:tcPr/>
          <w:p>
            <w:pPr>
              <w:pStyle w:val="Compact"/>
              <w:jc w:val="left"/>
            </w:pPr>
            <w:r>
              <w:t xml:space="preserve">1847</w:t>
            </w:r>
          </w:p>
        </w:tc>
        <w:tc>
          <w:tcPr/>
          <w:p>
            <w:pPr>
              <w:pStyle w:val="Compact"/>
            </w:pPr>
          </w:p>
        </w:tc>
      </w:tr>
      <w:tr>
        <w:tc>
          <w:tcPr/>
          <w:p>
            <w:pPr>
              <w:pStyle w:val="Compact"/>
              <w:jc w:val="right"/>
            </w:pPr>
            <w:r>
              <w:t xml:space="preserve">28</w:t>
            </w:r>
          </w:p>
        </w:tc>
        <w:tc>
          <w:tcPr/>
          <w:p>
            <w:pPr>
              <w:pStyle w:val="Compact"/>
              <w:jc w:val="left"/>
            </w:pPr>
            <w:r>
              <w:t xml:space="preserve">1751</w:t>
            </w:r>
          </w:p>
        </w:tc>
        <w:tc>
          <w:tcPr/>
          <w:p>
            <w:pPr>
              <w:pStyle w:val="Compact"/>
            </w:pPr>
          </w:p>
        </w:tc>
      </w:tr>
      <w:tr>
        <w:tc>
          <w:tcPr/>
          <w:p>
            <w:pPr>
              <w:pStyle w:val="Compact"/>
              <w:jc w:val="right"/>
            </w:pPr>
            <w:r>
              <w:t xml:space="preserve">25</w:t>
            </w:r>
          </w:p>
        </w:tc>
        <w:tc>
          <w:tcPr/>
          <w:p>
            <w:pPr>
              <w:pStyle w:val="Compact"/>
              <w:jc w:val="left"/>
            </w:pPr>
            <w:r>
              <w:t xml:space="preserve">044</w:t>
            </w:r>
          </w:p>
        </w:tc>
        <w:tc>
          <w:tcPr/>
          <w:p>
            <w:pPr>
              <w:pStyle w:val="Compact"/>
            </w:pPr>
          </w:p>
        </w:tc>
      </w:tr>
      <w:tr>
        <w:tc>
          <w:tcPr/>
          <w:p>
            <w:pPr>
              <w:pStyle w:val="Compact"/>
              <w:jc w:val="right"/>
            </w:pPr>
            <w:r>
              <w:t xml:space="preserve">24</w:t>
            </w:r>
          </w:p>
        </w:tc>
        <w:tc>
          <w:tcPr/>
          <w:p>
            <w:pPr>
              <w:pStyle w:val="Compact"/>
              <w:jc w:val="left"/>
            </w:pPr>
            <w:r>
              <w:t xml:space="preserve">01, 90</w:t>
            </w:r>
          </w:p>
        </w:tc>
        <w:tc>
          <w:tcPr/>
          <w:p>
            <w:pPr>
              <w:pStyle w:val="Compact"/>
            </w:pPr>
          </w:p>
        </w:tc>
      </w:tr>
      <w:tr>
        <w:tc>
          <w:tcPr/>
          <w:p>
            <w:pPr>
              <w:pStyle w:val="Compact"/>
              <w:jc w:val="right"/>
            </w:pPr>
            <w:r>
              <w:t xml:space="preserve">23</w:t>
            </w:r>
          </w:p>
        </w:tc>
        <w:tc>
          <w:tcPr/>
          <w:p>
            <w:pPr>
              <w:pStyle w:val="Compact"/>
              <w:jc w:val="left"/>
            </w:pPr>
            <w:r>
              <w:t xml:space="preserve">1243, 1881</w:t>
            </w:r>
          </w:p>
        </w:tc>
        <w:tc>
          <w:tcPr/>
          <w:p>
            <w:pPr>
              <w:pStyle w:val="Compact"/>
            </w:pPr>
          </w:p>
        </w:tc>
      </w:tr>
      <w:tr>
        <w:tc>
          <w:tcPr/>
          <w:p>
            <w:pPr>
              <w:pStyle w:val="Compact"/>
              <w:jc w:val="right"/>
            </w:pPr>
            <w:r>
              <w:t xml:space="preserve">21</w:t>
            </w:r>
          </w:p>
        </w:tc>
        <w:tc>
          <w:tcPr/>
          <w:p>
            <w:pPr>
              <w:pStyle w:val="Compact"/>
              <w:jc w:val="left"/>
            </w:pPr>
            <w:r>
              <w:t xml:space="preserve">1066, 2147</w:t>
            </w:r>
          </w:p>
        </w:tc>
        <w:tc>
          <w:tcPr/>
          <w:p>
            <w:pPr>
              <w:pStyle w:val="Compact"/>
            </w:pPr>
          </w:p>
        </w:tc>
      </w:tr>
      <w:tr>
        <w:tc>
          <w:tcPr/>
          <w:p>
            <w:pPr>
              <w:pStyle w:val="Compact"/>
              <w:jc w:val="right"/>
            </w:pPr>
            <w:r>
              <w:t xml:space="preserve">20</w:t>
            </w:r>
          </w:p>
        </w:tc>
        <w:tc>
          <w:tcPr/>
          <w:p>
            <w:pPr>
              <w:pStyle w:val="Compact"/>
              <w:jc w:val="left"/>
            </w:pPr>
            <w:r>
              <w:t xml:space="preserve">6, 61, 915, 1505</w:t>
            </w:r>
          </w:p>
        </w:tc>
        <w:tc>
          <w:tcPr/>
          <w:p>
            <w:pPr>
              <w:pStyle w:val="Compact"/>
              <w:jc w:val="left"/>
            </w:pPr>
            <w:r>
              <w:t xml:space="preserve">dotąd 19 manuskryptów</w:t>
            </w:r>
          </w:p>
        </w:tc>
      </w:tr>
      <w:tr>
        <w:tc>
          <w:tcPr/>
          <w:p>
            <w:pPr>
              <w:pStyle w:val="Compact"/>
              <w:jc w:val="right"/>
            </w:pPr>
            <w:r>
              <w:t xml:space="preserve">19</w:t>
            </w:r>
          </w:p>
        </w:tc>
        <w:tc>
          <w:tcPr/>
          <w:p>
            <w:pPr>
              <w:pStyle w:val="Compact"/>
              <w:jc w:val="left"/>
            </w:pPr>
            <w:r>
              <w:t xml:space="preserve">38, 629, 1852, 1875, 1886</w:t>
            </w:r>
          </w:p>
        </w:tc>
        <w:tc>
          <w:tcPr/>
          <w:p>
            <w:pPr>
              <w:pStyle w:val="Compact"/>
            </w:pPr>
          </w:p>
        </w:tc>
      </w:tr>
      <w:tr>
        <w:tc>
          <w:tcPr/>
          <w:p>
            <w:pPr>
              <w:pStyle w:val="Compact"/>
              <w:jc w:val="right"/>
            </w:pPr>
            <w:r>
              <w:t xml:space="preserve">18</w:t>
            </w:r>
          </w:p>
        </w:tc>
        <w:tc>
          <w:tcPr/>
          <w:p>
            <w:pPr>
              <w:pStyle w:val="Compact"/>
              <w:jc w:val="left"/>
            </w:pPr>
            <w:r>
              <w:t xml:space="preserve">621, 1729, 2675</w:t>
            </w:r>
          </w:p>
        </w:tc>
        <w:tc>
          <w:tcPr/>
          <w:p>
            <w:pPr>
              <w:pStyle w:val="Compact"/>
            </w:pPr>
          </w:p>
        </w:tc>
      </w:tr>
      <w:tr>
        <w:tc>
          <w:tcPr/>
          <w:p>
            <w:pPr>
              <w:pStyle w:val="Compact"/>
              <w:jc w:val="right"/>
            </w:pPr>
            <w:r>
              <w:t xml:space="preserve">17</w:t>
            </w:r>
          </w:p>
        </w:tc>
        <w:tc>
          <w:tcPr/>
          <w:p>
            <w:pPr>
              <w:pStyle w:val="Compact"/>
              <w:jc w:val="left"/>
            </w:pPr>
            <w:r>
              <w:t xml:space="preserve">88, 322, 323, 1311, 1735, 2495</w:t>
            </w:r>
          </w:p>
        </w:tc>
        <w:tc>
          <w:tcPr/>
          <w:p>
            <w:pPr>
              <w:pStyle w:val="Compact"/>
            </w:pPr>
          </w:p>
        </w:tc>
      </w:tr>
      <w:tr>
        <w:tc>
          <w:tcPr/>
          <w:p>
            <w:pPr>
              <w:pStyle w:val="Compact"/>
              <w:jc w:val="right"/>
            </w:pPr>
            <w:r>
              <w:t xml:space="preserve">16</w:t>
            </w:r>
          </w:p>
        </w:tc>
        <w:tc>
          <w:tcPr/>
          <w:p>
            <w:pPr>
              <w:pStyle w:val="Compact"/>
              <w:jc w:val="left"/>
            </w:pPr>
            <w:r>
              <w:t xml:space="preserve">522, 1611</w:t>
            </w:r>
          </w:p>
        </w:tc>
        <w:tc>
          <w:tcPr/>
          <w:p>
            <w:pPr>
              <w:pStyle w:val="Compact"/>
            </w:pPr>
          </w:p>
        </w:tc>
      </w:tr>
      <w:tr>
        <w:tc>
          <w:tcPr/>
          <w:p>
            <w:pPr>
              <w:pStyle w:val="Compact"/>
              <w:jc w:val="right"/>
            </w:pPr>
            <w:r>
              <w:t xml:space="preserve">15</w:t>
            </w:r>
          </w:p>
        </w:tc>
        <w:tc>
          <w:tcPr/>
          <w:p>
            <w:pPr>
              <w:pStyle w:val="Compact"/>
              <w:jc w:val="left"/>
            </w:pPr>
            <w:r>
              <w:t xml:space="preserve">43, 459, 460, 616, 618, 918, 1739, 1834, 1844, 2242, 2298, 2344, 2412, 2674</w:t>
            </w:r>
          </w:p>
        </w:tc>
        <w:tc>
          <w:tcPr/>
          <w:p>
            <w:pPr>
              <w:pStyle w:val="Compact"/>
            </w:pPr>
          </w:p>
        </w:tc>
      </w:tr>
      <w:tr>
        <w:tc>
          <w:tcPr/>
          <w:p>
            <w:pPr>
              <w:pStyle w:val="Compact"/>
              <w:jc w:val="right"/>
            </w:pPr>
            <w:r>
              <w:t xml:space="preserve">14</w:t>
            </w:r>
          </w:p>
        </w:tc>
        <w:tc>
          <w:tcPr/>
          <w:p>
            <w:pPr>
              <w:pStyle w:val="Compact"/>
              <w:jc w:val="left"/>
            </w:pPr>
            <w:r>
              <w:t xml:space="preserve">03, 93, 104, 181, 321, 633, 680, 1292, 1845, 2652</w:t>
            </w:r>
          </w:p>
        </w:tc>
        <w:tc>
          <w:tcPr/>
          <w:p>
            <w:pPr>
              <w:pStyle w:val="Compact"/>
            </w:pPr>
          </w:p>
        </w:tc>
      </w:tr>
      <w:tr>
        <w:tc>
          <w:tcPr/>
          <w:p>
            <w:pPr>
              <w:pStyle w:val="Compact"/>
              <w:jc w:val="right"/>
            </w:pPr>
            <w:r>
              <w:t xml:space="preserve">13</w:t>
            </w:r>
          </w:p>
        </w:tc>
        <w:tc>
          <w:tcPr/>
          <w:p>
            <w:pPr>
              <w:pStyle w:val="Compact"/>
              <w:jc w:val="left"/>
            </w:pPr>
            <w:r>
              <w:t xml:space="preserve">04, 0142, 442, 630, 1104, 1523, 2200, 2818</w:t>
            </w:r>
          </w:p>
        </w:tc>
        <w:tc>
          <w:tcPr/>
          <w:p>
            <w:pPr>
              <w:pStyle w:val="Compact"/>
            </w:pPr>
          </w:p>
        </w:tc>
      </w:tr>
      <w:tr>
        <w:tc>
          <w:tcPr/>
          <w:p>
            <w:pPr>
              <w:pStyle w:val="Compact"/>
              <w:jc w:val="right"/>
            </w:pPr>
            <w:r>
              <w:t xml:space="preserve">12</w:t>
            </w:r>
          </w:p>
        </w:tc>
        <w:tc>
          <w:tcPr/>
          <w:p>
            <w:pPr>
              <w:pStyle w:val="Compact"/>
              <w:jc w:val="left"/>
            </w:pPr>
            <w:r>
              <w:t xml:space="preserve">02, 33, 180, 431, 1240, 1405, 1837, 1877, 2138, 2186</w:t>
            </w:r>
          </w:p>
        </w:tc>
        <w:tc>
          <w:tcPr/>
          <w:p>
            <w:pPr>
              <w:pStyle w:val="Compact"/>
            </w:pPr>
          </w:p>
        </w:tc>
      </w:tr>
      <w:tr>
        <w:tc>
          <w:tcPr/>
          <w:p>
            <w:pPr>
              <w:pStyle w:val="Compact"/>
              <w:jc w:val="right"/>
            </w:pPr>
            <w:r>
              <w:t xml:space="preserve">11</w:t>
            </w:r>
          </w:p>
        </w:tc>
        <w:tc>
          <w:tcPr/>
          <w:p>
            <w:pPr>
              <w:pStyle w:val="Compact"/>
              <w:jc w:val="left"/>
            </w:pPr>
            <w:r>
              <w:t xml:space="preserve">94, 131, 177, 307, 337, 496, 506, 636, 665, 876, 1501, 1661, 1827, 1828, 1869, 2544, 2691, 2805</w:t>
            </w:r>
          </w:p>
        </w:tc>
        <w:tc>
          <w:tcPr/>
          <w:p>
            <w:pPr>
              <w:pStyle w:val="Compact"/>
            </w:pPr>
          </w:p>
        </w:tc>
      </w:tr>
      <w:tr>
        <w:tc>
          <w:tcPr/>
          <w:p>
            <w:pPr>
              <w:pStyle w:val="Compact"/>
              <w:jc w:val="right"/>
            </w:pPr>
            <w:r>
              <w:t xml:space="preserve">10</w:t>
            </w:r>
          </w:p>
        </w:tc>
        <w:tc>
          <w:tcPr/>
          <w:p>
            <w:pPr>
              <w:pStyle w:val="Compact"/>
              <w:jc w:val="left"/>
            </w:pPr>
            <w:r>
              <w:t xml:space="preserve">056, 326, 489, 625, 1067, 1315, 1409, 1595, 1610, 1642, 1719, 1832, 1836, 1842, 1874, 1893, 2404, 2494, 2696</w:t>
            </w:r>
          </w:p>
        </w:tc>
        <w:tc>
          <w:tcPr/>
          <w:p>
            <w:pPr>
              <w:pStyle w:val="Compact"/>
              <w:jc w:val="left"/>
            </w:pPr>
            <w:r>
              <w:t xml:space="preserve">+ 95 manuskryptów, dotąd łącznie 114</w:t>
            </w:r>
          </w:p>
        </w:tc>
      </w:tr>
      <w:tr>
        <w:tc>
          <w:tcPr/>
          <w:p>
            <w:pPr>
              <w:pStyle w:val="Compact"/>
              <w:jc w:val="right"/>
            </w:pPr>
            <w:r>
              <w:t xml:space="preserve">9</w:t>
            </w:r>
          </w:p>
        </w:tc>
        <w:tc>
          <w:tcPr/>
          <w:p>
            <w:pPr>
              <w:pStyle w:val="Compact"/>
              <w:jc w:val="left"/>
            </w:pPr>
            <w:r>
              <w:t xml:space="preserve">218, 254, 263, 309, 458, 467, 1107, 1270, 1319, 1367, 1424, 1524, 1598, 1678, 1765, 1840, 2197, 2473, 2816</w:t>
            </w:r>
          </w:p>
        </w:tc>
        <w:tc>
          <w:tcPr/>
          <w:p>
            <w:pPr>
              <w:pStyle w:val="Compact"/>
            </w:pPr>
          </w:p>
        </w:tc>
      </w:tr>
      <w:tr>
        <w:tc>
          <w:tcPr/>
          <w:p>
            <w:pPr>
              <w:pStyle w:val="Compact"/>
              <w:jc w:val="right"/>
            </w:pPr>
            <w:r>
              <w:t xml:space="preserve">8</w:t>
            </w:r>
          </w:p>
        </w:tc>
        <w:tc>
          <w:tcPr/>
          <w:p>
            <w:pPr>
              <w:pStyle w:val="Compact"/>
              <w:jc w:val="left"/>
            </w:pPr>
            <w:r>
              <w:t xml:space="preserve">102, 436, 453, 582, 608, 615, 927, 996,</w:t>
            </w:r>
            <w:r>
              <w:t xml:space="preserve"> </w:t>
            </w:r>
            <w:r>
              <w:rPr>
                <w:u w:val="single"/>
              </w:rPr>
              <w:t xml:space="preserve">1247</w:t>
            </w:r>
            <w:r>
              <w:t xml:space="preserve">, 1297, 1390, 1425, 1448, 1509, 1649, 1702, 1724, 1762, 1839, 1890, 2194, 2400, 2502, 2516, 2718</w:t>
            </w:r>
          </w:p>
        </w:tc>
        <w:tc>
          <w:tcPr/>
          <w:p>
            <w:pPr>
              <w:pStyle w:val="Compact"/>
            </w:pPr>
          </w:p>
        </w:tc>
      </w:tr>
      <w:tr>
        <w:tc>
          <w:tcPr/>
          <w:p>
            <w:pPr>
              <w:pStyle w:val="Compact"/>
              <w:jc w:val="right"/>
            </w:pPr>
            <w:r>
              <w:t xml:space="preserve">7</w:t>
            </w:r>
          </w:p>
        </w:tc>
        <w:tc>
          <w:tcPr/>
          <w:p>
            <w:pPr>
              <w:pStyle w:val="Compact"/>
              <w:jc w:val="left"/>
            </w:pPr>
            <w:r>
              <w:t xml:space="preserve">3, 203, 312, 421, 469, 628, 639, 914, 941, 999, 1003, 1175, 1245, 1573, 1718, 1741, 1744, 1753, 1780, 1799, 1829, 1872, 1882, 2127, 2243, 2318, 2401, 2513, 2865</w:t>
            </w:r>
          </w:p>
        </w:tc>
        <w:tc>
          <w:tcPr/>
          <w:p>
            <w:pPr>
              <w:pStyle w:val="Compact"/>
            </w:pPr>
          </w:p>
        </w:tc>
      </w:tr>
      <w:tr>
        <w:tc>
          <w:tcPr/>
          <w:p>
            <w:pPr>
              <w:pStyle w:val="Compact"/>
              <w:jc w:val="right"/>
            </w:pPr>
            <w:r>
              <w:t xml:space="preserve">6</w:t>
            </w:r>
          </w:p>
        </w:tc>
        <w:tc>
          <w:tcPr/>
          <w:p>
            <w:pPr>
              <w:pStyle w:val="Compact"/>
              <w:jc w:val="left"/>
            </w:pPr>
            <w:r>
              <w:rPr>
                <w:bCs/>
                <w:b/>
              </w:rPr>
              <w:t xml:space="preserve">P</w:t>
            </w:r>
            <w:r>
              <w:rPr>
                <w:vertAlign w:val="superscript"/>
                <w:bCs/>
                <w:b/>
              </w:rPr>
              <w:t xml:space="preserve">78</w:t>
            </w:r>
            <w:r>
              <w:t xml:space="preserve">, 5, 42, 62, 234, 383, 393, 607, 623, 632, 641, 917, 921, 922, 1563, 1736, 1830, 1850, 1853, 1857, 1868, 1896, 2086, 2125, 2180, 2279, 2492, 2508, 2625, 2705</w:t>
            </w:r>
          </w:p>
        </w:tc>
        <w:tc>
          <w:tcPr/>
          <w:p>
            <w:pPr>
              <w:pStyle w:val="Compact"/>
            </w:pPr>
          </w:p>
        </w:tc>
      </w:tr>
      <w:tr>
        <w:tc>
          <w:tcPr/>
          <w:p>
            <w:pPr>
              <w:pStyle w:val="Compact"/>
              <w:jc w:val="right"/>
            </w:pPr>
            <w:r>
              <w:t xml:space="preserve">5</w:t>
            </w:r>
          </w:p>
        </w:tc>
        <w:tc>
          <w:tcPr/>
          <w:p>
            <w:pPr>
              <w:pStyle w:val="Compact"/>
              <w:jc w:val="left"/>
            </w:pPr>
            <w:r>
              <w:t xml:space="preserve">018, 0316, 51, 81, 103, 206, 327, 384, 385, 390, 452, 454, 606, 637, 945, 1070, 1099, 1127, 1359, 1360, 1594, 1626, 1727, 1731, 1831, 1843, 1873, 1880, 1888, 1891, 1902, 2085, 2288,</w:t>
            </w:r>
            <w:r>
              <w:t xml:space="preserve"> </w:t>
            </w:r>
            <w:r>
              <w:rPr>
                <w:u w:val="single"/>
              </w:rPr>
              <w:t xml:space="preserve">2501</w:t>
            </w:r>
            <w:r>
              <w:t xml:space="preserve">, 2527, 2716</w:t>
            </w:r>
          </w:p>
        </w:tc>
        <w:tc>
          <w:tcPr/>
          <w:p>
            <w:pPr>
              <w:pStyle w:val="Compact"/>
              <w:jc w:val="left"/>
            </w:pPr>
            <w:r>
              <w:t xml:space="preserve">+ 139 manuskryptów, dotąd łącznie 253</w:t>
            </w:r>
          </w:p>
        </w:tc>
      </w:tr>
      <w:tr>
        <w:tc>
          <w:tcPr/>
          <w:p>
            <w:pPr>
              <w:pStyle w:val="Compact"/>
              <w:jc w:val="right"/>
            </w:pPr>
            <w:r>
              <w:t xml:space="preserve">4</w:t>
            </w:r>
          </w:p>
        </w:tc>
        <w:tc>
          <w:tcPr/>
          <w:p>
            <w:pPr>
              <w:pStyle w:val="Compact"/>
              <w:jc w:val="left"/>
            </w:pPr>
            <w:r>
              <w:t xml:space="preserve">049, 1, 76, 205, 223, 241, 252, 296, 363, 424, 429, 466, 592, 620, 642, 656, 901, 912, 913, 1069, 1103, 1106, 1149, 1162, 1244,</w:t>
            </w:r>
            <w:r>
              <w:t xml:space="preserve"> </w:t>
            </w:r>
            <w:r>
              <w:rPr>
                <w:u w:val="single"/>
              </w:rPr>
              <w:t xml:space="preserve">1248</w:t>
            </w:r>
            <w:r>
              <w:t xml:space="preserve">, 1352, 1495, 1521, 1717, 1734, 1757, 1760,</w:t>
            </w:r>
            <w:r>
              <w:t xml:space="preserve"> </w:t>
            </w:r>
            <w:r>
              <w:rPr>
                <w:u w:val="single"/>
              </w:rPr>
              <w:t xml:space="preserve">1767</w:t>
            </w:r>
            <w:r>
              <w:t xml:space="preserve">, 1847, 1851, 1860, 1861, 1863, 1889, 1894, 1895, 2131, 2378, 2423, 2558, 2712, 2736, 2746, 2774</w:t>
            </w:r>
          </w:p>
        </w:tc>
        <w:tc>
          <w:tcPr/>
          <w:p>
            <w:pPr>
              <w:pStyle w:val="Compact"/>
            </w:pPr>
          </w:p>
        </w:tc>
      </w:tr>
      <w:tr>
        <w:tc>
          <w:tcPr/>
          <w:p>
            <w:pPr>
              <w:pStyle w:val="Compact"/>
              <w:jc w:val="right"/>
            </w:pPr>
            <w:r>
              <w:t xml:space="preserve">3</w:t>
            </w:r>
          </w:p>
        </w:tc>
        <w:tc>
          <w:tcPr/>
          <w:p>
            <w:pPr>
              <w:pStyle w:val="Compact"/>
              <w:jc w:val="left"/>
            </w:pPr>
            <w:r>
              <w:t xml:space="preserve">020, 57, 82, 110, 205</w:t>
            </w:r>
            <w:r>
              <w:rPr>
                <w:vertAlign w:val="superscript"/>
              </w:rPr>
              <w:t xml:space="preserve">abs</w:t>
            </w:r>
            <w:r>
              <w:t xml:space="preserve">, 221, 250, 314, 330, 400,</w:t>
            </w:r>
            <w:r>
              <w:t xml:space="preserve"> </w:t>
            </w:r>
            <w:r>
              <w:rPr>
                <w:u w:val="single"/>
              </w:rPr>
              <w:t xml:space="preserve">432</w:t>
            </w:r>
            <w:r>
              <w:t xml:space="preserve">, 451, 456, 462, 465, 491, 613, 614, 617, 619,</w:t>
            </w:r>
            <w:r>
              <w:t xml:space="preserve"> </w:t>
            </w:r>
            <w:r>
              <w:rPr>
                <w:u w:val="single"/>
              </w:rPr>
              <w:t xml:space="preserve">634</w:t>
            </w:r>
            <w:r>
              <w:t xml:space="preserve">, 635,</w:t>
            </w:r>
            <w:r>
              <w:t xml:space="preserve"> </w:t>
            </w:r>
            <w:r>
              <w:rPr>
                <w:u w:val="single"/>
              </w:rPr>
              <w:t xml:space="preserve">664</w:t>
            </w:r>
            <w:r>
              <w:t xml:space="preserve">, 796,</w:t>
            </w:r>
            <w:r>
              <w:t xml:space="preserve"> </w:t>
            </w:r>
            <w:r>
              <w:rPr>
                <w:u w:val="single"/>
              </w:rPr>
              <w:t xml:space="preserve">801</w:t>
            </w:r>
            <w:r>
              <w:t xml:space="preserve">, 832, 1022,</w:t>
            </w:r>
            <w:r>
              <w:t xml:space="preserve"> </w:t>
            </w:r>
            <w:r>
              <w:rPr>
                <w:u w:val="single"/>
              </w:rPr>
              <w:t xml:space="preserve">1250</w:t>
            </w:r>
            <w:r>
              <w:t xml:space="preserve">,</w:t>
            </w:r>
            <w:r>
              <w:t xml:space="preserve"> </w:t>
            </w:r>
            <w:r>
              <w:rPr>
                <w:u w:val="single"/>
              </w:rPr>
              <w:t xml:space="preserve">1251</w:t>
            </w:r>
            <w:r>
              <w:t xml:space="preserve">, 1277, 1384, 1398, 1599, 1622, 1673,</w:t>
            </w:r>
            <w:r>
              <w:t xml:space="preserve"> </w:t>
            </w:r>
            <w:r>
              <w:rPr>
                <w:u w:val="single"/>
              </w:rPr>
              <w:t xml:space="preserve">1721</w:t>
            </w:r>
            <w:r>
              <w:t xml:space="preserve">, 1742, 1747, 1769, 1841, 1849, 1856, 1859, 1862, 1867,</w:t>
            </w:r>
            <w:r>
              <w:t xml:space="preserve"> </w:t>
            </w:r>
            <w:r>
              <w:rPr>
                <w:u w:val="single"/>
              </w:rPr>
              <w:t xml:space="preserve">1876</w:t>
            </w:r>
            <w:r>
              <w:t xml:space="preserve">, 2191, 2201,</w:t>
            </w:r>
            <w:r>
              <w:t xml:space="preserve"> </w:t>
            </w:r>
            <w:r>
              <w:rPr>
                <w:u w:val="single"/>
              </w:rPr>
              <w:t xml:space="preserve">2218</w:t>
            </w:r>
            <w:r>
              <w:t xml:space="preserve">, 2374, 2475, 2484, 2627,</w:t>
            </w:r>
            <w:r>
              <w:t xml:space="preserve"> </w:t>
            </w:r>
            <w:r>
              <w:rPr>
                <w:u w:val="single"/>
              </w:rPr>
              <w:t xml:space="preserve">2704</w:t>
            </w:r>
            <w:r>
              <w:t xml:space="preserve">, 2776</w:t>
            </w:r>
          </w:p>
        </w:tc>
        <w:tc>
          <w:tcPr/>
          <w:p>
            <w:pPr>
              <w:pStyle w:val="Compact"/>
            </w:pPr>
          </w:p>
        </w:tc>
      </w:tr>
      <w:tr>
        <w:tc>
          <w:tcPr/>
          <w:p>
            <w:pPr>
              <w:pStyle w:val="Compact"/>
              <w:jc w:val="right"/>
            </w:pPr>
            <w:r>
              <w:t xml:space="preserve">2</w:t>
            </w:r>
          </w:p>
        </w:tc>
        <w:tc>
          <w:tcPr/>
          <w:p>
            <w:pPr>
              <w:pStyle w:val="Compact"/>
              <w:jc w:val="left"/>
            </w:pPr>
            <w:r>
              <w:rPr>
                <w:u w:val="single"/>
              </w:rPr>
              <w:t xml:space="preserve">35</w:t>
            </w:r>
            <w:r>
              <w:t xml:space="preserve">, 97, 105, 142,</w:t>
            </w:r>
            <w:r>
              <w:t xml:space="preserve"> </w:t>
            </w:r>
            <w:r>
              <w:rPr>
                <w:u w:val="single"/>
              </w:rPr>
              <w:t xml:space="preserve">149</w:t>
            </w:r>
            <w:r>
              <w:t xml:space="preserve">,</w:t>
            </w:r>
            <w:r>
              <w:t xml:space="preserve"> </w:t>
            </w:r>
            <w:r>
              <w:rPr>
                <w:u w:val="single"/>
              </w:rPr>
              <w:t xml:space="preserve">328</w:t>
            </w:r>
            <w:r>
              <w:t xml:space="preserve">, 367, 398, 404, 425, 450, 468, 610, 622, 676, 720, 808, 910, 920,</w:t>
            </w:r>
            <w:r>
              <w:t xml:space="preserve"> </w:t>
            </w:r>
            <w:r>
              <w:rPr>
                <w:u w:val="single"/>
              </w:rPr>
              <w:t xml:space="preserve">986</w:t>
            </w:r>
            <w:r>
              <w:t xml:space="preserve">, 1105, 1115, 1242,</w:t>
            </w:r>
            <w:r>
              <w:t xml:space="preserve"> </w:t>
            </w:r>
            <w:r>
              <w:rPr>
                <w:u w:val="single"/>
              </w:rPr>
              <w:t xml:space="preserve">1354</w:t>
            </w:r>
            <w:r>
              <w:t xml:space="preserve">, 1490, 1609,</w:t>
            </w:r>
            <w:r>
              <w:t xml:space="preserve"> </w:t>
            </w:r>
            <w:r>
              <w:rPr>
                <w:u w:val="single"/>
              </w:rPr>
              <w:t xml:space="preserve">1617</w:t>
            </w:r>
            <w:r>
              <w:t xml:space="preserve">, 1720, 1730,</w:t>
            </w:r>
            <w:r>
              <w:t xml:space="preserve"> </w:t>
            </w:r>
            <w:r>
              <w:rPr>
                <w:u w:val="single"/>
              </w:rPr>
              <w:t xml:space="preserve">1732</w:t>
            </w:r>
            <w:r>
              <w:t xml:space="preserve">, 1743, 1750,</w:t>
            </w:r>
            <w:r>
              <w:t xml:space="preserve"> </w:t>
            </w:r>
            <w:r>
              <w:rPr>
                <w:u w:val="single"/>
              </w:rPr>
              <w:t xml:space="preserve">1754</w:t>
            </w:r>
            <w:r>
              <w:t xml:space="preserve">, 1871, 1885,</w:t>
            </w:r>
            <w:r>
              <w:t xml:space="preserve"> </w:t>
            </w:r>
            <w:r>
              <w:rPr>
                <w:u w:val="single"/>
              </w:rPr>
              <w:t xml:space="preserve">1892</w:t>
            </w:r>
            <w:r>
              <w:t xml:space="preserve">, 1903, 2143, 2289,</w:t>
            </w:r>
            <w:r>
              <w:t xml:space="preserve"> </w:t>
            </w:r>
            <w:r>
              <w:rPr>
                <w:u w:val="single"/>
              </w:rPr>
              <w:t xml:space="preserve">2466</w:t>
            </w:r>
            <w:r>
              <w:t xml:space="preserve">, 2483,</w:t>
            </w:r>
            <w:r>
              <w:t xml:space="preserve"> </w:t>
            </w:r>
            <w:r>
              <w:rPr>
                <w:u w:val="single"/>
              </w:rPr>
              <w:t xml:space="preserve">2626</w:t>
            </w:r>
            <w:r>
              <w:t xml:space="preserve">,</w:t>
            </w:r>
            <w:r>
              <w:t xml:space="preserve"> </w:t>
            </w:r>
            <w:r>
              <w:rPr>
                <w:u w:val="single"/>
              </w:rPr>
              <w:t xml:space="preserve">2653</w:t>
            </w:r>
            <w:r>
              <w:t xml:space="preserve">, 2815</w:t>
            </w:r>
          </w:p>
        </w:tc>
        <w:tc>
          <w:tcPr/>
          <w:p>
            <w:pPr>
              <w:pStyle w:val="Compact"/>
            </w:pPr>
          </w:p>
        </w:tc>
      </w:tr>
      <w:tr>
        <w:tc>
          <w:tcPr/>
          <w:p>
            <w:pPr>
              <w:pStyle w:val="Compact"/>
              <w:jc w:val="right"/>
            </w:pPr>
            <w:r>
              <w:t xml:space="preserve">1</w:t>
            </w:r>
          </w:p>
        </w:tc>
        <w:tc>
          <w:tcPr/>
          <w:p>
            <w:pPr>
              <w:pStyle w:val="Compact"/>
              <w:jc w:val="left"/>
            </w:pPr>
            <w:r>
              <w:t xml:space="preserve">025, 69, 101, 133, 172, 175, 189,</w:t>
            </w:r>
            <w:r>
              <w:t xml:space="preserve"> </w:t>
            </w:r>
            <w:r>
              <w:rPr>
                <w:u w:val="single"/>
              </w:rPr>
              <w:t xml:space="preserve">201</w:t>
            </w:r>
            <w:r>
              <w:t xml:space="preserve">, 209, 242, 256, 440,</w:t>
            </w:r>
            <w:r>
              <w:t xml:space="preserve"> </w:t>
            </w:r>
            <w:r>
              <w:rPr>
                <w:u w:val="single"/>
              </w:rPr>
              <w:t xml:space="preserve">444</w:t>
            </w:r>
            <w:r>
              <w:t xml:space="preserve">, 479, 483, 517, 547, 601, 602, 605, 638, 699, 712, 997,</w:t>
            </w:r>
            <w:r>
              <w:t xml:space="preserve"> </w:t>
            </w:r>
            <w:r>
              <w:rPr>
                <w:u w:val="single"/>
              </w:rPr>
              <w:t xml:space="preserve">1058</w:t>
            </w:r>
            <w:r>
              <w:t xml:space="preserve">, 1102, 1161,</w:t>
            </w:r>
            <w:r>
              <w:t xml:space="preserve"> </w:t>
            </w:r>
            <w:r>
              <w:rPr>
                <w:u w:val="single"/>
              </w:rPr>
              <w:t xml:space="preserve">1249</w:t>
            </w:r>
            <w:r>
              <w:t xml:space="preserve">, 1404,</w:t>
            </w:r>
            <w:r>
              <w:t xml:space="preserve"> </w:t>
            </w:r>
            <w:r>
              <w:rPr>
                <w:u w:val="single"/>
              </w:rPr>
              <w:t xml:space="preserve">1548</w:t>
            </w:r>
            <w:r>
              <w:t xml:space="preserve">, 1597,</w:t>
            </w:r>
            <w:r>
              <w:t xml:space="preserve"> </w:t>
            </w:r>
            <w:r>
              <w:rPr>
                <w:u w:val="single"/>
              </w:rPr>
              <w:t xml:space="preserve">1628</w:t>
            </w:r>
            <w:r>
              <w:t xml:space="preserve">, 1643, 1722,</w:t>
            </w:r>
            <w:r>
              <w:t xml:space="preserve"> </w:t>
            </w:r>
            <w:r>
              <w:rPr>
                <w:u w:val="single"/>
              </w:rPr>
              <w:t xml:space="preserve">1725</w:t>
            </w:r>
            <w:r>
              <w:t xml:space="preserve">,</w:t>
            </w:r>
            <w:r>
              <w:t xml:space="preserve"> </w:t>
            </w:r>
            <w:r>
              <w:rPr>
                <w:u w:val="single"/>
              </w:rPr>
              <w:t xml:space="preserve">1726</w:t>
            </w:r>
            <w:r>
              <w:t xml:space="preserve">, 1728,</w:t>
            </w:r>
            <w:r>
              <w:t xml:space="preserve"> </w:t>
            </w:r>
            <w:r>
              <w:rPr>
                <w:u w:val="single"/>
              </w:rPr>
              <w:t xml:space="preserve">1733</w:t>
            </w:r>
            <w:r>
              <w:t xml:space="preserve">,</w:t>
            </w:r>
            <w:r>
              <w:t xml:space="preserve"> </w:t>
            </w:r>
            <w:r>
              <w:rPr>
                <w:u w:val="single"/>
              </w:rPr>
              <w:t xml:space="preserve">1746</w:t>
            </w:r>
            <w:r>
              <w:t xml:space="preserve">,</w:t>
            </w:r>
            <w:r>
              <w:t xml:space="preserve"> </w:t>
            </w:r>
            <w:r>
              <w:rPr>
                <w:u w:val="single"/>
              </w:rPr>
              <w:t xml:space="preserve">1748</w:t>
            </w:r>
            <w:r>
              <w:t xml:space="preserve">,</w:t>
            </w:r>
            <w:r>
              <w:t xml:space="preserve"> </w:t>
            </w:r>
            <w:r>
              <w:rPr>
                <w:u w:val="single"/>
              </w:rPr>
              <w:t xml:space="preserve">1749</w:t>
            </w:r>
            <w:r>
              <w:t xml:space="preserve">,</w:t>
            </w:r>
            <w:r>
              <w:t xml:space="preserve"> </w:t>
            </w:r>
            <w:r>
              <w:rPr>
                <w:u w:val="single"/>
              </w:rPr>
              <w:t xml:space="preserve">1766</w:t>
            </w:r>
            <w:r>
              <w:t xml:space="preserve">,</w:t>
            </w:r>
            <w:r>
              <w:t xml:space="preserve"> </w:t>
            </w:r>
            <w:r>
              <w:rPr>
                <w:u w:val="single"/>
              </w:rPr>
              <w:t xml:space="preserve">1768</w:t>
            </w:r>
            <w:r>
              <w:t xml:space="preserve">, 1795, 1854, 1870,</w:t>
            </w:r>
            <w:r>
              <w:t xml:space="preserve"> </w:t>
            </w:r>
            <w:r>
              <w:rPr>
                <w:u w:val="single"/>
              </w:rPr>
              <w:t xml:space="preserve">1897</w:t>
            </w:r>
            <w:r>
              <w:t xml:space="preserve">,</w:t>
            </w:r>
            <w:r>
              <w:t xml:space="preserve"> </w:t>
            </w:r>
            <w:r>
              <w:rPr>
                <w:u w:val="single"/>
              </w:rPr>
              <w:t xml:space="preserve">2255</w:t>
            </w:r>
            <w:r>
              <w:t xml:space="preserve">,</w:t>
            </w:r>
            <w:r>
              <w:t xml:space="preserve"> </w:t>
            </w:r>
            <w:r>
              <w:rPr>
                <w:u w:val="single"/>
              </w:rPr>
              <w:t xml:space="preserve">2431</w:t>
            </w:r>
            <w:r>
              <w:t xml:space="preserve">,</w:t>
            </w:r>
            <w:r>
              <w:t xml:space="preserve"> </w:t>
            </w:r>
            <w:r>
              <w:rPr>
                <w:u w:val="single"/>
              </w:rPr>
              <w:t xml:space="preserve">2587</w:t>
            </w:r>
            <w:r>
              <w:t xml:space="preserve">,</w:t>
            </w:r>
            <w:r>
              <w:t xml:space="preserve"> </w:t>
            </w:r>
            <w:r>
              <w:rPr>
                <w:u w:val="single"/>
              </w:rPr>
              <w:t xml:space="preserve">2777</w:t>
            </w:r>
          </w:p>
        </w:tc>
        <w:tc>
          <w:tcPr/>
          <w:p>
            <w:pPr>
              <w:pStyle w:val="Compact"/>
            </w:pPr>
          </w:p>
        </w:tc>
      </w:tr>
      <w:tr>
        <w:tc>
          <w:tcPr/>
          <w:p>
            <w:pPr>
              <w:pStyle w:val="Compact"/>
              <w:jc w:val="right"/>
            </w:pPr>
            <w:r>
              <w:t xml:space="preserve">0</w:t>
            </w:r>
          </w:p>
        </w:tc>
        <w:tc>
          <w:tcPr/>
          <w:p>
            <w:pPr>
              <w:pStyle w:val="Compact"/>
              <w:jc w:val="left"/>
            </w:pPr>
            <w:r>
              <w:rPr>
                <w:bCs/>
                <w:b/>
              </w:rPr>
              <w:t xml:space="preserve">P</w:t>
            </w:r>
            <w:r>
              <w:rPr>
                <w:vertAlign w:val="superscript"/>
                <w:bCs/>
                <w:b/>
              </w:rPr>
              <w:t xml:space="preserve">74</w:t>
            </w:r>
            <w:r>
              <w:t xml:space="preserve">,</w:t>
            </w:r>
            <w:r>
              <w:t xml:space="preserve"> </w:t>
            </w:r>
            <w:r>
              <w:rPr>
                <w:u w:val="single"/>
              </w:rPr>
              <w:t xml:space="preserve">18</w:t>
            </w:r>
            <w:r>
              <w:t xml:space="preserve">,</w:t>
            </w:r>
            <w:r>
              <w:t xml:space="preserve"> </w:t>
            </w:r>
            <w:r>
              <w:rPr>
                <w:u w:val="single"/>
              </w:rPr>
              <w:t xml:space="preserve">141</w:t>
            </w:r>
            <w:r>
              <w:t xml:space="preserve">,</w:t>
            </w:r>
            <w:r>
              <w:t xml:space="preserve"> </w:t>
            </w:r>
            <w:r>
              <w:rPr>
                <w:u w:val="single"/>
              </w:rPr>
              <w:t xml:space="preserve">204</w:t>
            </w:r>
            <w:r>
              <w:t xml:space="preserve">, 216, 226, 302, 308, 319, 325,</w:t>
            </w:r>
            <w:r>
              <w:t xml:space="preserve"> </w:t>
            </w:r>
            <w:r>
              <w:rPr>
                <w:u w:val="single"/>
              </w:rPr>
              <w:t xml:space="preserve">386</w:t>
            </w:r>
            <w:r>
              <w:t xml:space="preserve">,</w:t>
            </w:r>
            <w:r>
              <w:t xml:space="preserve"> </w:t>
            </w:r>
            <w:r>
              <w:rPr>
                <w:u w:val="single"/>
              </w:rPr>
              <w:t xml:space="preserve">394</w:t>
            </w:r>
            <w:r>
              <w:t xml:space="preserve">, 457, 603,</w:t>
            </w:r>
            <w:r>
              <w:t xml:space="preserve"> </w:t>
            </w:r>
            <w:r>
              <w:rPr>
                <w:u w:val="single"/>
              </w:rPr>
              <w:t xml:space="preserve">604</w:t>
            </w:r>
            <w:r>
              <w:t xml:space="preserve">, 627,</w:t>
            </w:r>
            <w:r>
              <w:t xml:space="preserve"> </w:t>
            </w:r>
            <w:r>
              <w:rPr>
                <w:u w:val="single"/>
              </w:rPr>
              <w:t xml:space="preserve">757</w:t>
            </w:r>
            <w:r>
              <w:t xml:space="preserve">,</w:t>
            </w:r>
            <w:r>
              <w:t xml:space="preserve"> </w:t>
            </w:r>
            <w:r>
              <w:rPr>
                <w:u w:val="single"/>
              </w:rPr>
              <w:t xml:space="preserve">824</w:t>
            </w:r>
            <w:r>
              <w:t xml:space="preserve">,</w:t>
            </w:r>
            <w:r>
              <w:t xml:space="preserve"> </w:t>
            </w:r>
            <w:r>
              <w:rPr>
                <w:u w:val="single"/>
              </w:rPr>
              <w:t xml:space="preserve">928</w:t>
            </w:r>
            <w:r>
              <w:t xml:space="preserve">, 935, 959,</w:t>
            </w:r>
            <w:r>
              <w:t xml:space="preserve"> </w:t>
            </w:r>
            <w:r>
              <w:rPr>
                <w:u w:val="single"/>
              </w:rPr>
              <w:t xml:space="preserve">1040</w:t>
            </w:r>
            <w:r>
              <w:t xml:space="preserve">,</w:t>
            </w:r>
            <w:r>
              <w:t xml:space="preserve"> </w:t>
            </w:r>
            <w:r>
              <w:rPr>
                <w:u w:val="single"/>
              </w:rPr>
              <w:t xml:space="preserve">1072</w:t>
            </w:r>
            <w:r>
              <w:t xml:space="preserve">,</w:t>
            </w:r>
            <w:r>
              <w:t xml:space="preserve"> </w:t>
            </w:r>
            <w:r>
              <w:rPr>
                <w:u w:val="single"/>
              </w:rPr>
              <w:t xml:space="preserve">1075</w:t>
            </w:r>
            <w:r>
              <w:t xml:space="preserve">, 1094,</w:t>
            </w:r>
            <w:r>
              <w:t xml:space="preserve"> </w:t>
            </w:r>
            <w:r>
              <w:rPr>
                <w:u w:val="single"/>
              </w:rPr>
              <w:t xml:space="preserve">1100</w:t>
            </w:r>
            <w:r>
              <w:t xml:space="preserve">,</w:t>
            </w:r>
            <w:r>
              <w:t xml:space="preserve"> </w:t>
            </w:r>
            <w:r>
              <w:rPr>
                <w:u w:val="single"/>
              </w:rPr>
              <w:t xml:space="preserve">1101</w:t>
            </w:r>
            <w:r>
              <w:t xml:space="preserve">,</w:t>
            </w:r>
            <w:r>
              <w:t xml:space="preserve"> </w:t>
            </w:r>
            <w:r>
              <w:rPr>
                <w:u w:val="single"/>
              </w:rPr>
              <w:t xml:space="preserve">1400</w:t>
            </w:r>
            <w:r>
              <w:t xml:space="preserve">,</w:t>
            </w:r>
            <w:r>
              <w:t xml:space="preserve"> </w:t>
            </w:r>
            <w:r>
              <w:rPr>
                <w:u w:val="single"/>
              </w:rPr>
              <w:t xml:space="preserve">1482</w:t>
            </w:r>
            <w:r>
              <w:t xml:space="preserve">,</w:t>
            </w:r>
            <w:r>
              <w:t xml:space="preserve"> </w:t>
            </w:r>
            <w:r>
              <w:rPr>
                <w:u w:val="single"/>
              </w:rPr>
              <w:t xml:space="preserve">1503</w:t>
            </w:r>
            <w:r>
              <w:t xml:space="preserve">,</w:t>
            </w:r>
            <w:r>
              <w:t xml:space="preserve"> </w:t>
            </w:r>
            <w:r>
              <w:rPr>
                <w:u w:val="single"/>
              </w:rPr>
              <w:t xml:space="preserve">1508</w:t>
            </w:r>
            <w:r>
              <w:t xml:space="preserve">,</w:t>
            </w:r>
            <w:r>
              <w:t xml:space="preserve"> </w:t>
            </w:r>
            <w:r>
              <w:rPr>
                <w:u w:val="single"/>
              </w:rPr>
              <w:t xml:space="preserve">1618</w:t>
            </w:r>
            <w:r>
              <w:t xml:space="preserve">,</w:t>
            </w:r>
            <w:r>
              <w:t xml:space="preserve"> </w:t>
            </w:r>
            <w:r>
              <w:rPr>
                <w:u w:val="single"/>
              </w:rPr>
              <w:t xml:space="preserve">1619</w:t>
            </w:r>
            <w:r>
              <w:t xml:space="preserve">,</w:t>
            </w:r>
            <w:r>
              <w:t xml:space="preserve"> </w:t>
            </w:r>
            <w:r>
              <w:rPr>
                <w:u w:val="single"/>
              </w:rPr>
              <w:t xml:space="preserve">1636</w:t>
            </w:r>
            <w:r>
              <w:t xml:space="preserve">,</w:t>
            </w:r>
            <w:r>
              <w:t xml:space="preserve"> </w:t>
            </w:r>
            <w:r>
              <w:rPr>
                <w:u w:val="single"/>
              </w:rPr>
              <w:t xml:space="preserve">1637</w:t>
            </w:r>
            <w:r>
              <w:t xml:space="preserve">,</w:t>
            </w:r>
            <w:r>
              <w:t xml:space="preserve"> </w:t>
            </w:r>
            <w:r>
              <w:rPr>
                <w:u w:val="single"/>
              </w:rPr>
              <w:t xml:space="preserve">1652</w:t>
            </w:r>
            <w:r>
              <w:t xml:space="preserve">,</w:t>
            </w:r>
            <w:r>
              <w:t xml:space="preserve"> </w:t>
            </w:r>
            <w:r>
              <w:rPr>
                <w:u w:val="single"/>
              </w:rPr>
              <w:t xml:space="preserve">1656</w:t>
            </w:r>
            <w:r>
              <w:t xml:space="preserve">, 1668,</w:t>
            </w:r>
            <w:r>
              <w:t xml:space="preserve"> </w:t>
            </w:r>
            <w:r>
              <w:rPr>
                <w:u w:val="single"/>
              </w:rPr>
              <w:t xml:space="preserve">1704</w:t>
            </w:r>
            <w:r>
              <w:t xml:space="preserve">,</w:t>
            </w:r>
            <w:r>
              <w:t xml:space="preserve"> </w:t>
            </w:r>
            <w:r>
              <w:rPr>
                <w:u w:val="single"/>
              </w:rPr>
              <w:t xml:space="preserve">1723</w:t>
            </w:r>
            <w:r>
              <w:t xml:space="preserve">,</w:t>
            </w:r>
            <w:r>
              <w:t xml:space="preserve"> </w:t>
            </w:r>
            <w:r>
              <w:rPr>
                <w:u w:val="single"/>
              </w:rPr>
              <w:t xml:space="preserve">1737</w:t>
            </w:r>
            <w:r>
              <w:t xml:space="preserve">,</w:t>
            </w:r>
            <w:r>
              <w:t xml:space="preserve"> </w:t>
            </w:r>
            <w:r>
              <w:rPr>
                <w:u w:val="single"/>
              </w:rPr>
              <w:t xml:space="preserve">1740</w:t>
            </w:r>
            <w:r>
              <w:t xml:space="preserve">,</w:t>
            </w:r>
            <w:r>
              <w:t xml:space="preserve"> </w:t>
            </w:r>
            <w:r>
              <w:rPr>
                <w:u w:val="single"/>
              </w:rPr>
              <w:t xml:space="preserve">1745</w:t>
            </w:r>
            <w:r>
              <w:t xml:space="preserve">,</w:t>
            </w:r>
            <w:r>
              <w:t xml:space="preserve"> </w:t>
            </w:r>
            <w:r>
              <w:rPr>
                <w:u w:val="single"/>
              </w:rPr>
              <w:t xml:space="preserve">1752</w:t>
            </w:r>
            <w:r>
              <w:t xml:space="preserve">,</w:t>
            </w:r>
            <w:r>
              <w:t xml:space="preserve"> </w:t>
            </w:r>
            <w:r>
              <w:rPr>
                <w:u w:val="single"/>
              </w:rPr>
              <w:t xml:space="preserve">1761</w:t>
            </w:r>
            <w:r>
              <w:t xml:space="preserve">,</w:t>
            </w:r>
            <w:r>
              <w:t xml:space="preserve"> </w:t>
            </w:r>
            <w:r>
              <w:rPr>
                <w:u w:val="single"/>
              </w:rPr>
              <w:t xml:space="preserve">1763</w:t>
            </w:r>
            <w:r>
              <w:t xml:space="preserve">, 1835,</w:t>
            </w:r>
            <w:r>
              <w:t xml:space="preserve"> </w:t>
            </w:r>
            <w:r>
              <w:rPr>
                <w:u w:val="single"/>
              </w:rPr>
              <w:t xml:space="preserve">1855</w:t>
            </w:r>
            <w:r>
              <w:t xml:space="preserve">,</w:t>
            </w:r>
            <w:r>
              <w:t xml:space="preserve"> </w:t>
            </w:r>
            <w:r>
              <w:rPr>
                <w:u w:val="single"/>
              </w:rPr>
              <w:t xml:space="preserve">1858</w:t>
            </w:r>
            <w:r>
              <w:t xml:space="preserve">,</w:t>
            </w:r>
            <w:r>
              <w:t xml:space="preserve"> </w:t>
            </w:r>
            <w:r>
              <w:rPr>
                <w:u w:val="single"/>
              </w:rPr>
              <w:t xml:space="preserve">1864</w:t>
            </w:r>
            <w:r>
              <w:t xml:space="preserve">,</w:t>
            </w:r>
            <w:r>
              <w:t xml:space="preserve"> </w:t>
            </w:r>
            <w:r>
              <w:rPr>
                <w:u w:val="single"/>
              </w:rPr>
              <w:t xml:space="preserve">1865</w:t>
            </w:r>
            <w:r>
              <w:t xml:space="preserve">,</w:t>
            </w:r>
            <w:r>
              <w:t xml:space="preserve"> </w:t>
            </w:r>
            <w:r>
              <w:rPr>
                <w:u w:val="single"/>
              </w:rPr>
              <w:t xml:space="preserve">1899</w:t>
            </w:r>
            <w:r>
              <w:t xml:space="preserve">,</w:t>
            </w:r>
            <w:r>
              <w:t xml:space="preserve"> </w:t>
            </w:r>
            <w:r>
              <w:rPr>
                <w:u w:val="single"/>
              </w:rPr>
              <w:t xml:space="preserve">2080</w:t>
            </w:r>
            <w:r>
              <w:t xml:space="preserve">,</w:t>
            </w:r>
            <w:r>
              <w:t xml:space="preserve"> </w:t>
            </w:r>
            <w:r>
              <w:rPr>
                <w:u w:val="single"/>
              </w:rPr>
              <w:t xml:space="preserve">2221</w:t>
            </w:r>
            <w:r>
              <w:t xml:space="preserve">,</w:t>
            </w:r>
            <w:r>
              <w:t xml:space="preserve"> </w:t>
            </w:r>
            <w:r>
              <w:rPr>
                <w:u w:val="single"/>
              </w:rPr>
              <w:t xml:space="preserve">2261</w:t>
            </w:r>
            <w:r>
              <w:t xml:space="preserve">,</w:t>
            </w:r>
            <w:r>
              <w:t xml:space="preserve"> </w:t>
            </w:r>
            <w:r>
              <w:rPr>
                <w:u w:val="single"/>
              </w:rPr>
              <w:t xml:space="preserve">2352</w:t>
            </w:r>
            <w:r>
              <w:t xml:space="preserve">, 2356, 2511, 2541,</w:t>
            </w:r>
            <w:r>
              <w:t xml:space="preserve"> </w:t>
            </w:r>
            <w:r>
              <w:rPr>
                <w:u w:val="single"/>
              </w:rPr>
              <w:t xml:space="preserve">2554</w:t>
            </w:r>
            <w:r>
              <w:t xml:space="preserve">,</w:t>
            </w:r>
            <w:r>
              <w:t xml:space="preserve"> </w:t>
            </w:r>
            <w:r>
              <w:rPr>
                <w:u w:val="single"/>
              </w:rPr>
              <w:t xml:space="preserve">2723</w:t>
            </w:r>
          </w:p>
        </w:tc>
        <w:tc>
          <w:tcPr/>
          <w:p>
            <w:pPr>
              <w:pStyle w:val="Compact"/>
            </w:pPr>
          </w:p>
        </w:tc>
      </w:tr>
    </w:tbl>
    <w:p>
      <w:pPr>
        <w:pStyle w:val="BodyText"/>
      </w:pPr>
      <w:r>
        <w:t xml:space="preserve">Komentarze:</w:t>
      </w:r>
    </w:p>
    <w:p>
      <w:pPr>
        <w:numPr>
          <w:ilvl w:val="0"/>
          <w:numId w:val="1111"/>
        </w:numPr>
      </w:pPr>
      <w:r>
        <w:t xml:space="preserve">Łączna liczba wymienionych wyżej manuskryptów wynosi 514, z powodu luk w dowolnym miejscu liczba ta będzie wynosić około 500. Wasserman uwzględnił również lekcjonarze, ja jednak tego nie zrobiłem.</w:t>
      </w:r>
    </w:p>
    <w:p>
      <w:pPr>
        <w:numPr>
          <w:ilvl w:val="0"/>
          <w:numId w:val="1111"/>
        </w:numPr>
      </w:pPr>
      <w:r>
        <w:rPr>
          <w:bCs/>
          <w:b/>
        </w:rPr>
        <w:t xml:space="preserve">P</w:t>
      </w:r>
      <w:r>
        <w:rPr>
          <w:vertAlign w:val="superscript"/>
          <w:bCs/>
          <w:b/>
        </w:rPr>
        <w:t xml:space="preserve">74</w:t>
      </w:r>
      <w:r>
        <w:t xml:space="preserve">, 319, 325, 603, 2356 i 2511 są najwyraźniej fragmentaryczne albo mają niewiele czytelnego tekstu, dlatego ich wynik wynosi zero.</w:t>
      </w:r>
    </w:p>
    <w:p>
      <w:pPr>
        <w:numPr>
          <w:ilvl w:val="0"/>
          <w:numId w:val="1111"/>
        </w:numPr>
      </w:pPr>
      <w:r>
        <w:t xml:space="preserve">216, 226, 302, 308, 457, 935, 959, 1094, 1668, 1835 i 2541 zwykle nie należą do</w:t>
      </w:r>
      <w:r>
        <w:t xml:space="preserve"> </w:t>
      </w:r>
      <w:r>
        <w:rPr>
          <w:bCs/>
          <w:b/>
        </w:rPr>
        <w:t xml:space="preserve">f</w:t>
      </w:r>
      <w:r>
        <w:rPr>
          <w:vertAlign w:val="superscript"/>
          <w:bCs/>
          <w:b/>
        </w:rPr>
        <w:t xml:space="preserve">35</w:t>
      </w:r>
      <w:r>
        <w:t xml:space="preserve">, lecz zachowały jego tekst w tej krótkiej księdze (jeśli zarówno Wasserman, jak i ja poprawnie odnotowaliśmy fakty).</w:t>
      </w:r>
    </w:p>
    <w:p>
      <w:pPr>
        <w:numPr>
          <w:ilvl w:val="0"/>
          <w:numId w:val="1111"/>
        </w:numPr>
      </w:pPr>
      <w:r>
        <w:t xml:space="preserve">Tam, gdzie sam przeprowadziłem pełne kolacjonowanie manuskryptu</w:t>
      </w:r>
      <w:r>
        <w:t xml:space="preserve"> </w:t>
      </w:r>
      <w:r>
        <w:rPr>
          <w:bCs/>
          <w:b/>
        </w:rPr>
        <w:t xml:space="preserve">f</w:t>
      </w:r>
      <w:r>
        <w:rPr>
          <w:vertAlign w:val="superscript"/>
          <w:bCs/>
          <w:b/>
        </w:rPr>
        <w:t xml:space="preserve">35</w:t>
      </w:r>
      <w:r>
        <w:t xml:space="preserve"> </w:t>
      </w:r>
      <w:r>
        <w:t xml:space="preserve">dla Listu Judy, użyłem własnych danych, gdy nie zgadzam się z Wassermanem — zmieniłem pozycję dwudziestu trzech manuskryptów</w:t>
      </w:r>
      <w:r>
        <w:t xml:space="preserve"> </w:t>
      </w:r>
      <w:r>
        <w:rPr>
          <w:bCs/>
          <w:b/>
        </w:rPr>
        <w:t xml:space="preserve">f</w:t>
      </w:r>
      <w:r>
        <w:rPr>
          <w:vertAlign w:val="superscript"/>
          <w:bCs/>
          <w:b/>
        </w:rPr>
        <w:t xml:space="preserve">35</w:t>
      </w:r>
      <w:r>
        <w:t xml:space="preserve"> </w:t>
      </w:r>
      <w:r>
        <w:t xml:space="preserve">(jednej czwartej ogółu).</w:t>
      </w:r>
    </w:p>
    <w:p>
      <w:pPr>
        <w:numPr>
          <w:ilvl w:val="0"/>
          <w:numId w:val="1111"/>
        </w:numPr>
      </w:pPr>
      <w:r>
        <w:t xml:space="preserve">Spośród 88 manuskryptów, które podkreśliłem jako należące do</w:t>
      </w:r>
      <w:r>
        <w:t xml:space="preserve"> </w:t>
      </w:r>
      <w:r>
        <w:rPr>
          <w:bCs/>
          <w:b/>
        </w:rPr>
        <w:t xml:space="preserve">f</w:t>
      </w:r>
      <w:r>
        <w:rPr>
          <w:vertAlign w:val="superscript"/>
          <w:bCs/>
          <w:b/>
        </w:rPr>
        <w:t xml:space="preserve">35</w:t>
      </w:r>
      <w:r>
        <w:t xml:space="preserve">, niemal połowa jest doskonała. 1247 jest raczej niestaranny, lecz należy do rodziny.</w:t>
      </w:r>
    </w:p>
    <w:p>
      <w:pPr>
        <w:numPr>
          <w:ilvl w:val="0"/>
          <w:numId w:val="1111"/>
        </w:numPr>
      </w:pPr>
      <w:r>
        <w:t xml:space="preserve">Każdy, kto kolacjonował pewną liczbę manuskryptów, zauważył, że mniej więcej na trzeciej albo czwartej stronie kopista zaczyna się męczyć albo nudzić, w następstwie czego liczba błędów zauważalnie wzrasta. Gdyby była to dłuższa księga, „pozycja” większości manuskryptów wzrosłaby. Rdzeń przedstawicieli</w:t>
      </w:r>
      <w:r>
        <w:t xml:space="preserve"> </w:t>
      </w:r>
      <w:r>
        <w:rPr>
          <w:bCs/>
          <w:b/>
        </w:rPr>
        <w:t xml:space="preserve">f</w:t>
      </w:r>
      <w:r>
        <w:rPr>
          <w:vertAlign w:val="superscript"/>
          <w:bCs/>
          <w:b/>
        </w:rPr>
        <w:t xml:space="preserve">35</w:t>
      </w:r>
      <w:r>
        <w:t xml:space="preserve"> </w:t>
      </w:r>
      <w:r>
        <w:t xml:space="preserve">pozostałby mniej więcej taki sam.</w:t>
      </w:r>
    </w:p>
    <w:p>
      <w:pPr>
        <w:numPr>
          <w:ilvl w:val="0"/>
          <w:numId w:val="1111"/>
        </w:numPr>
      </w:pPr>
      <w:r>
        <w:t xml:space="preserve">W przypadku tak krótkiej księgi uważam pięć wariantów za niedopuszczalne, tak więc praktycznie połowa manuskryptów znajduje się poniżej mojej granicy przyzwoitości.</w:t>
      </w:r>
    </w:p>
    <w:bookmarkEnd w:id="516"/>
    <w:bookmarkStart w:id="522" w:name="precz-z-fałszerstwem"/>
    <w:p>
      <w:pPr>
        <w:pStyle w:val="Heading2"/>
      </w:pPr>
      <w:r>
        <w:t xml:space="preserve">Precz z fałszerstwem!</w:t>
      </w:r>
    </w:p>
    <w:p>
      <w:pPr>
        <w:pStyle w:val="FirstParagraph"/>
      </w:pPr>
      <w:r>
        <w:t xml:space="preserve">Co jakiś czas otrzymuję pytanie, które początkowo mnie irytuje, lecz kiedy już się uspokoję, dostrzegam, że Bóg pobudza mnie do wyjaśnienia kwestii, która tego wymaga. Zdarzyło się tak jakiś czas temu z „perełką” przypisywaną Hieronimowi, według której w jego czasach „większość” albo „niemal wszystkie” greckie manuskrypty nie zawierały ostatnich dwunastu wersetów Ewangelii Marka. Skoro spośród około 1700 znanych nam greckich manuskryptów, które zawierają ostatni rozdział Ewangelii Marka, tylko trzy ich nie mają (przy czym jeden z nich jest w tym miejscu falsyfikatem), jak ogromna większość w V wieku mogła później zmniejszyć się do drobnego ułamka jednego procenta? Z punktu widzenia nauki o prawdopodobieństwie statystycznym takie odwrócenie jest po prostu niemożliwe. Jedynie ogólnoświatowa kampania, która odniosłaby niemal stuprocentowy sukces, mogłaby spowodować taką zmianę, a nie istnieje ani strzęp dowodu na taką kampanię. Przypomnijmy, że kampania Dioklecjana mająca na celu zniszczenie manuskryptów Nowego Testamentu (prowadzona nierównomiernie na różnych obszarach) już od stulecia należała do przeszłości (nie wspominając o „nawróceniu” Konstantyna i jego następstwach). Kenneth Scott Latourette (</w:t>
      </w:r>
      <w:r>
        <w:rPr>
          <w:iCs/>
          <w:i/>
        </w:rPr>
        <w:t xml:space="preserve">A History of Christianity</w:t>
      </w:r>
      <w:r>
        <w:t xml:space="preserve"> </w:t>
      </w:r>
      <w:r>
        <w:t xml:space="preserve">(New York: Harper, 1953), s. 231) opisuje Eusebiusa Hieronimusa Sophroniusa (znanego jako Hieronim) jako „utalentowanego i pilnego uczonego, niezwykle erudycyjnego, mistrza języków, miłośnika książek, władającego łatwym, energicznym i często zjadliwym piórem”, który „był wymownym rzecznikiem życia monastycznego”. Niewątpliwie miał swoje wady (czyż nie mamy ich wszyscy), lecz nie był absurdalnie głupi, a musiałby taki być, aby wypowiedzieć przypisywane mu stwierdzenie. Nasza wiedza o tej „perełce” pochodzi z X wieku (odstęp pięciu stuleci nie budzi zaufania), niemal na pewno jest to fałszerstwo (ktoś „zapożyczył” sławne nazwisko, aby uwiarygodnić jakieś stwierdzenie). Ponieważ „święte krowy” nie lubią umierać, należy dokonać przeglądu części istotnej historii.</w:t>
      </w:r>
    </w:p>
    <w:bookmarkStart w:id="517" w:name="k.-aland-o-egipcie"/>
    <w:p>
      <w:pPr>
        <w:pStyle w:val="Heading3"/>
      </w:pPr>
      <w:r>
        <w:t xml:space="preserve">K. Aland o Egipcie</w:t>
      </w:r>
    </w:p>
    <w:p>
      <w:pPr>
        <w:pStyle w:val="FirstParagraph"/>
      </w:pPr>
      <w:r>
        <w:t xml:space="preserve">Nawet ten wielki orędownik tekstu egipskiego, Kurt Aland, uznawał, że w pierwszych stuleciach, włącznie z IV, Azja Mniejsza (zwłaszcza obszar Morza Egejskiego) była „sercem Kościoła”. (Stała się również sercem Cesarstwa Bizantyjskiego i Kościołów prawosławnych). Zapotrzebowanie na kopie Nowego Testamentu miało bezpośredni wpływ na ich podaż oraz na obszary, na których kopie były skupione. Na temat Egiptu Aland powiedział jednak co następuje:</w:t>
      </w:r>
    </w:p>
    <w:p>
      <w:pPr>
        <w:pStyle w:val="BlockText"/>
      </w:pPr>
      <w:r>
        <w:t xml:space="preserve">Nasza wiedza o Kościele w Egipcie zaczyna się u schyłku II wieku od biskupa Demetriusza, który zreorganizował zdominowany przez gnostyków Kościół egipski, zakładając nowe wspólnoty, wyświęcając biskupów, a przede wszystkim ustanawiając stosunki z innymi prowincjami wspólnoty kościelnej.</w:t>
      </w:r>
    </w:p>
    <w:p>
      <w:pPr>
        <w:pStyle w:val="BlockText"/>
      </w:pPr>
      <w:r>
        <w:t xml:space="preserve">Każdy kościół potrzebował manuskryptów Nowego Testamentu — jak Demetriusz miał je zapewnić? Nawet gdyby w jego własnej stolicy biskupiej istniało skryptorium, musiałby zdobyć „ortodoksyjne” egzemplarze dla skrybów. Kopii istniejących we wspólnotach gnostyckich nie można było użyć, ponieważ podejrzewano je o skażenie. Nie da się ustalić, skąd biskup wziął egzemplarze dla skrybów albo dużą liczbę manuskryptów papirusowych, które mógł przekazać bezpośrednio swoim wspólnotom. („The Text of the Church?”, Kurt Aland,</w:t>
      </w:r>
      <w:r>
        <w:t xml:space="preserve"> </w:t>
      </w:r>
      <w:r>
        <w:rPr>
          <w:iCs/>
          <w:i/>
        </w:rPr>
        <w:t xml:space="preserve">Trinity Journal</w:t>
      </w:r>
      <w:r>
        <w:t xml:space="preserve">, t. 8, nr 2, jesień 1987, s. 138 (faktycznie rozesłany wiosną 1989 roku)).</w:t>
      </w:r>
    </w:p>
    <w:p>
      <w:pPr>
        <w:pStyle w:val="FirstParagraph"/>
      </w:pPr>
      <w:r>
        <w:t xml:space="preserve">Ale chwileczkę. Kto w Egipcie nadal mówił po grecku w roku Pańskim 200? (A właściwie kto spośród zwykłych ludzi kiedykolwiek mówił tam po grecku?) Jakim greckojęzycznym wspólnotom mógł służyć zacny Demetriusz? Czy uczeni związani z biblioteką w Aleksandrii byliby skłonni podporządkować się Demetriuszowi? O ile wiemy, żaden apostoł nigdy nie usługiwał w Egipcie i nie przechowywano tam żadnego Autografu księgi Nowego Testamentu. Dominacja gnostycka prawdopodobnie nie powinna nas dziwić. Sytuacja w Aleksandrii ma jednak znaczenie dla rozpatrywanej kwestii ze względu na Klemensa, a zwłaszcza Orygenesa, który był mentorem Pamfila, ten zaś był mentorem Euzebiusza z Cezarei.</w:t>
      </w:r>
    </w:p>
    <w:bookmarkEnd w:id="517"/>
    <w:bookmarkStart w:id="518" w:name="euzebiusz-cezarea"/>
    <w:p>
      <w:pPr>
        <w:pStyle w:val="Heading3"/>
      </w:pPr>
      <w:r>
        <w:t xml:space="preserve">Euzebiusz (Cezarea)</w:t>
      </w:r>
    </w:p>
    <w:p>
      <w:pPr>
        <w:pStyle w:val="FirstParagraph"/>
      </w:pPr>
      <w:r>
        <w:t xml:space="preserve">Można podejrzewać, że fałszerz, który „zapożyczył” Hieronima, w rzeczywistości zaczął od „zapożyczenia” Euzebiusza (z Cezarei). Każe Euzebiuszowi odpowiedzieć pewnemu „Marynowi”: „Można by powiedzieć, że fragment ten nie znajduje się we wszystkich kopiach Ewangelii Marka…”. „Nie wszystkie” tu i ówdzie stało się „niektórymi”, a nawet „wieloma”. Jeśli Euzebiusz rzeczywiście napisał coś takiego, czego nie jesteśmy pewni (odstęp sześciu stuleci również tutaj nie budzi zaufania), jakie miał kwalifikacje, aby to zrobić? Po zniszczeniu dokonanym przez Rzymian w 70 roku po Chrystusie Palestyna stała się zaściankiem w nurcie chrześcijańskiej rzeki. Przekaz prawdziwego Tekstu Nowego Testamentu niczego nie zawdzięcza Cezarei. W IV wieku na całym świecie byłyby w użyciu dosłownie tysiące manuskryptów Nowego Testamentu, z których Euzebiusz (zm. 339, ur. około 265) prawdopodobnie nie widział więcej niż tuzina (większość z Aleksandrii, a nie z Azji Mniejszej). Jeśli Kodeks B powstał w Aleksandrii dostatecznie wcześnie, aby Euzebiusz mógł go zobaczyć, rzeczywiście pozwoliłoby mu to powiedzieć, że „nie wszystkie” kopie, lecz dlaczego miałby tak mówić? I dlaczego mielibyśmy zwracać na niego jakąkolwiek uwagę, gdyby to uczynił? Także tutaj, kto w Palestynie nadal mówił po grecku w IV wieku? Jaki użytek miałby Euzebiusz z greckich manuskryptów? Jeszcze jedna kwestia: gdyby Euzebiusz napisał coś takiego, stałoby się to przypuszczalnie po kampanii Dioklecjana, lecz nadal miałby ją świeżo w pamięci i powinien był o niej wspomnieć. Jak przypuszczam, ośmielony powodzeniem fałszerz postanowił „podbić stawkę”, przypisując tę samą wymianę zdań Hieronimowi odpowiadającemu pewnej „Hebidii”, tyle że tym razem jest to „większość” albo „niemal wszystkie”.</w:t>
      </w:r>
    </w:p>
    <w:bookmarkEnd w:id="518"/>
    <w:bookmarkStart w:id="519" w:name="hieronim-betlejem"/>
    <w:p>
      <w:pPr>
        <w:pStyle w:val="Heading3"/>
      </w:pPr>
      <w:r>
        <w:t xml:space="preserve">Hieronim (Betlejem)</w:t>
      </w:r>
    </w:p>
    <w:p>
      <w:pPr>
        <w:pStyle w:val="FirstParagraph"/>
      </w:pPr>
      <w:r>
        <w:t xml:space="preserve">Hieronim urodził się około 342 roku i zmarł w roku 420 (mniej więcej). W latach 382–384 był sekretarzem papieża Damazego w Rzymie i rozpoczął pracę nad łacińską Wulgatą. Niedługo po śmierci Damazego (384) przeniósł się do Betlejem, a kilka miesięcy później podążyła za nim zamożna Paula, która pomogła mu zbudować klasztor i tak dalej. Hieronim spędził ostatnie ponad 30 lat życia w Betlejem, będącym jeszcze większym „zaściankiem” niż Cezarea, i stulecie po Euzebiuszu. Wszystkie negatywne uwagi poczynione o Cezarei mają tutaj zastosowanie z jeszcze większą mocą. Co więcej, kto w otoczeniu papieża w Rzymie mówił po grecku w 380 roku po Chrystusie? Z Rzymu Hieronim przeniósł się do Betlejem. Ile rzeczywistych greckich manuskryptów Nowego Testamentu mógł zobaczyć? Z pewnością mniej niż 1% ogółu będącego w użyciu (w tamtym czasie w Italii i Palestynie byłoby niewiele greckich manuskryptów — kto miałby ich używać?). W wykazach wczesnych „ojców” Kościoła Hieronim jest zazwyczaj wymieniany wśród tych, którzy pisali po łacinie, a nie po grecku. Przypisywane mu stwierdzenie jest jawnie fałszywe, naukowo niemożliwe, on zaś miałby absurdalnie niewystarczające kwalifikacje, aby je wypowiedzieć. Ponieważ nie był głupi ani nieuczciwy, nie zrobił tego!</w:t>
      </w:r>
    </w:p>
    <w:bookmarkEnd w:id="519"/>
    <w:bookmarkStart w:id="521" w:name="uzupełnienie"/>
    <w:p>
      <w:pPr>
        <w:pStyle w:val="Heading3"/>
      </w:pPr>
      <w:r>
        <w:t xml:space="preserve">Uzupełnienie</w:t>
      </w:r>
    </w:p>
    <w:p>
      <w:pPr>
        <w:pStyle w:val="FirstParagraph"/>
      </w:pPr>
      <w:r>
        <w:t xml:space="preserve">Po tym, jak rozesłałem powyższy tekst jako moją „przesyłkę 75”, mój kanadyjski przyjaciel Charles Holm zwrócił moją uwagę na badania historyczne Timothy’ego Davida Barnesa, które mają znaczenie dla wiarygodności Hieronima (</w:t>
      </w:r>
      <w:r>
        <w:rPr>
          <w:iCs/>
          <w:i/>
        </w:rPr>
        <w:t xml:space="preserve">Tertullian: A Historical and Literary Study</w:t>
      </w:r>
      <w:r>
        <w:t xml:space="preserve">, Oxford: Clarendon Press, 1971). W dodatku poświęconym konkretnie Hieronimowi znajduje się część zatytułowana „Jerome and Eusebius”, w której Barnes przedstawia następujące uwagi (strony 236–238).</w:t>
      </w:r>
    </w:p>
    <w:p>
      <w:pPr>
        <w:pStyle w:val="BlockText"/>
      </w:pPr>
      <w:r>
        <w:t xml:space="preserve">Po pierwsze, Hieronim nigdy nie kwestionuje wiarygodności Euzebiusza. Przyjmuje zatem interpretację tego, co mówi dany pisarz, dokonaną przez Euzebiusza, nie pytając, czy jest ona poprawna.</w:t>
      </w:r>
    </w:p>
    <w:p>
      <w:pPr>
        <w:pStyle w:val="BlockText"/>
      </w:pPr>
      <w:r>
        <w:t xml:space="preserve">……………………………………………………</w:t>
      </w:r>
    </w:p>
    <w:p>
      <w:pPr>
        <w:pStyle w:val="BlockText"/>
      </w:pPr>
      <w:r>
        <w:t xml:space="preserve">Po drugie, Hieronim znacznie przewyższa Euzebiusza łatwowiernością. To, co u Euzebiusza przedstawiono jako przypuszczenie lub zwykłą pogłoskę, dla Hieronima jest ustalonym i niewątpliwym faktem.</w:t>
      </w:r>
    </w:p>
    <w:p>
      <w:pPr>
        <w:pStyle w:val="BlockText"/>
      </w:pPr>
      <w:r>
        <w:t xml:space="preserve">……………………………………………………</w:t>
      </w:r>
    </w:p>
    <w:p>
      <w:pPr>
        <w:pStyle w:val="BlockText"/>
      </w:pPr>
      <w:r>
        <w:t xml:space="preserve">Po trzecie, Hieronim błędnie tłumaczy i błędnie rozumie.</w:t>
      </w:r>
    </w:p>
    <w:p>
      <w:pPr>
        <w:pStyle w:val="BlockText"/>
      </w:pPr>
      <w:r>
        <w:t xml:space="preserve">……………………………………………………</w:t>
      </w:r>
    </w:p>
    <w:p>
      <w:pPr>
        <w:pStyle w:val="BlockText"/>
      </w:pPr>
      <w:r>
        <w:t xml:space="preserve">Po czwarte, Hieronim nieuczciwie ukrywa zarówno swoją niewiedzę, jak i dług wobec Euzebiusza.</w:t>
      </w:r>
    </w:p>
    <w:p>
      <w:pPr>
        <w:pStyle w:val="FirstParagraph"/>
      </w:pPr>
      <w:r>
        <w:t xml:space="preserve">No proszę, wygląda na to, że czytając Hieronima, należałoby mieć pod ręką pełną solniczkę. Być może moje końcowe zdanie powyżej powinno brzmieć: Ponieważ nie był głupi, nie zrobił tego! Nadal jednak obstaję przy tym, że Hieronim nie mógł być aż tak rażąco głupi lub nieuczciwy, aby wypowiedzieć przypisywane mu absurdalne stwierdzenie. Precz z</w:t>
      </w:r>
      <w:r>
        <w:t xml:space="preserve"> </w:t>
      </w:r>
      <w:r>
        <w:rPr>
          <w:bCs/>
          <w:b/>
        </w:rPr>
        <w:t xml:space="preserve">fałszerstwem</w:t>
      </w:r>
      <w:r>
        <w:t xml:space="preserve">!</w:t>
      </w:r>
      <w:r>
        <w:rPr>
          <w:rStyle w:val="FootnoteReference"/>
        </w:rPr>
        <w:footnoteReference w:id="520"/>
      </w:r>
    </w:p>
    <w:bookmarkEnd w:id="521"/>
    <w:bookmarkEnd w:id="522"/>
    <w:bookmarkStart w:id="523" w:name="definiowanie-zachowania"/>
    <w:p>
      <w:pPr>
        <w:pStyle w:val="Heading2"/>
      </w:pPr>
      <w:r>
        <w:t xml:space="preserve">Definiowanie „zachowania”</w:t>
      </w:r>
    </w:p>
    <w:p>
      <w:pPr>
        <w:pStyle w:val="FirstParagraph"/>
      </w:pPr>
      <w:r>
        <w:t xml:space="preserve">Rozumiemy, że ludzcy autorzy Pisma pisali pod natchnieniem, przez co rozumiemy, że Duch Święty nadzorował ten proces, w wyniku czego napisali dokładnie to, co chciał, aby napisali (z poszanowaniem norm rządzących użyciem języka). Natchnieni byli autorzy, chronieni przed błędem, lecz nie kopiści na przestrzeni lat. Nic tak jak rzeczywiste kolacjonowanie pewnej liczby manuskryptów nie pozwala docenić Boskiego zachowania Tekstu, procesu bardziej skomplikowanego niż natchnienie. (Szatanowi nie pozwolono ingerować w natchnienie, lecz pozwolono mu ingerować w zachowanie).</w:t>
      </w:r>
    </w:p>
    <w:p>
      <w:pPr>
        <w:pStyle w:val="BodyText"/>
      </w:pPr>
      <w:r>
        <w:t xml:space="preserve">Celem tej notatki jest nieco „przeżuć” kwestię tego, jak dokładnie oceniać reprezentowanie przez kopię jej archetypalnej formy, a tym samym jej zachowanie. Uważam, że następujących rzeczy nie należy traktować jako „wariantów” ani odchyleń od archetypu:</w:t>
      </w:r>
    </w:p>
    <w:p>
      <w:pPr>
        <w:numPr>
          <w:ilvl w:val="0"/>
          <w:numId w:val="1112"/>
        </w:numPr>
      </w:pPr>
      <w:r>
        <w:t xml:space="preserve">Czy liczba jest zapisana słownie, czy oznaczona literami.</w:t>
      </w:r>
    </w:p>
    <w:p>
      <w:pPr>
        <w:numPr>
          <w:ilvl w:val="0"/>
          <w:numId w:val="1112"/>
        </w:numPr>
      </w:pPr>
      <w:r>
        <w:t xml:space="preserve">Czy nazwa litery (</w:t>
      </w:r>
      <w:r>
        <w:rPr>
          <w:iCs/>
          <w:i/>
        </w:rPr>
        <w:t xml:space="preserve">alfa</w:t>
      </w:r>
      <w:r>
        <w:t xml:space="preserve">) jest zapisana słownie, czy podana jako litera.</w:t>
      </w:r>
    </w:p>
    <w:p>
      <w:pPr>
        <w:numPr>
          <w:ilvl w:val="0"/>
          <w:numId w:val="1112"/>
        </w:numPr>
      </w:pPr>
      <w:r>
        <w:t xml:space="preserve">Skróty albo formy „stenograficzne” (są one szczególnie częste na końcu wiersza), gdy tożsamość słowa i jego znaczenie pozostają nietknięte, tak zwane</w:t>
      </w:r>
      <w:r>
        <w:t xml:space="preserve"> </w:t>
      </w:r>
      <w:r>
        <w:rPr>
          <w:iCs/>
          <w:i/>
        </w:rPr>
        <w:t xml:space="preserve">nomina sacra</w:t>
      </w:r>
      <w:r>
        <w:t xml:space="preserve"> </w:t>
      </w:r>
      <w:r>
        <w:t xml:space="preserve">są prawdopodobnie najbardziej znanymi przykładami.</w:t>
      </w:r>
    </w:p>
    <w:p>
      <w:pPr>
        <w:pStyle w:val="FirstParagraph"/>
      </w:pPr>
      <w:r>
        <w:t xml:space="preserve">Zarówno pergamin, jak i atrament przygotowywano ręcznie i trudno było je zdobyć, dlatego każdy zgodny z prawem sposób oszczędzania tych materiałów uznawano za całkowicie właściwy. Postawę tę odzwierciedlają pierwsze trzy punkty.</w:t>
      </w:r>
    </w:p>
    <w:p>
      <w:pPr>
        <w:numPr>
          <w:ilvl w:val="0"/>
          <w:numId w:val="1113"/>
        </w:numPr>
      </w:pPr>
      <w:r>
        <w:t xml:space="preserve">Kopiści często dawali wyraz skłonnościom artystycznym w górnym wierszu strony i na końcach wierszy, używając ozdobników, zawijasów, przesadnych form, linii wybiegających poza stronę i tym podobnych — należy je ignorować.</w:t>
      </w:r>
    </w:p>
    <w:p>
      <w:pPr>
        <w:numPr>
          <w:ilvl w:val="0"/>
          <w:numId w:val="1113"/>
        </w:numPr>
      </w:pPr>
      <w:r>
        <w:t xml:space="preserve">Alternatywne pisownie tego samego słowa, gdy tożsamość słowa i jego znaczenie pozostają nietknięte. Ten punkt jest nieco bardziej kłopotliwy niż pozostałe, lecz uważam, że powinien znaleźć się na liście. Takie różnice mogą jednak być użyteczne w rozpoznawaniu podgrup. Zaliczam tutaj alternatywne pisownie transliterowanego słowa obcego, jak w Ewangelii Marka 5,41 (tym bardziej w tym przypadku, ponieważ zostało ono przetłumaczone).</w:t>
      </w:r>
    </w:p>
    <w:p>
      <w:pPr>
        <w:numPr>
          <w:ilvl w:val="0"/>
          <w:numId w:val="1113"/>
        </w:numPr>
      </w:pPr>
      <w:r>
        <w:t xml:space="preserve">Gdy szyk słów zostaje zmieniony, lecz zmiana ta (jak się wydaje) w żaden sposób nie wpływa na znaczenie, są to dwa sposoby powiedzenia tego samego. Nie są to „właściwe” warianty, choć mogą być użyteczne w rozpoznawaniu podgrup. Niektóre zmiany szyku słów wpływają na odcień znaczeniowy, dlatego każdy przypadek trzeba oceniać indywidualnie. Na przykład, czy w Ewangelii Łukasza 10,41 jest ο Ιησους ειπεν αυτη, czy ειπεν αυτη ο Ιησους? Oba znaczą po prostu „Jezus powiedział jej”.</w:t>
      </w:r>
    </w:p>
    <w:p>
      <w:pPr>
        <w:pStyle w:val="FirstParagraph"/>
      </w:pPr>
      <w:r>
        <w:t xml:space="preserve">Zmieniam sposób, w jaki opisuję wyniki manuskryptów w odniesieniu do ich archetypu. Manuskrypt, który odtwarza formę archetypalną bez żadnych wariantów, jest kopią, która reprezentuje archetyp</w:t>
      </w:r>
      <w:r>
        <w:t xml:space="preserve"> </w:t>
      </w:r>
      <w:r>
        <w:rPr>
          <w:iCs/>
          <w:i/>
        </w:rPr>
        <w:t xml:space="preserve">doskonale</w:t>
      </w:r>
      <w:r>
        <w:t xml:space="preserve">. Manuskrypt, który ma jedynie różne sposoby powiedzenia tego samego, jest kopią, która reprezentuje archetyp</w:t>
      </w:r>
      <w:r>
        <w:t xml:space="preserve"> </w:t>
      </w:r>
      <w:r>
        <w:rPr>
          <w:iCs/>
          <w:i/>
        </w:rPr>
        <w:t xml:space="preserve">kompletnie</w:t>
      </w:r>
      <w:r>
        <w:t xml:space="preserve">. Do tej drugiej kategorii zaliczam manuskrypty mające jedynie formy alternatywne lub poprawki prowadzące do formy archetypalnej — w każdym przypadku zachowany jest prawdziwy odczyt. Zaliczam tutaj również powtórzenie litery albo sylaby przy przejściu z jednego wiersza do następnego (w każdym razie nie jest to „właściwy” wariant).</w:t>
      </w:r>
    </w:p>
    <w:p>
      <w:pPr>
        <w:pStyle w:val="BodyText"/>
      </w:pPr>
      <w:r>
        <w:t xml:space="preserve">Oczywiście przy drukowaniu tekstu trzeba dokonać wyboru między konkurującymi formami (jestem gotów wyjaśnić mój wybór w każdym przypadku), ponieważ jednak znaczenie pozostaje nietknięte, wybory takie będą interesować głównie kogoś, kto chce zastosować do tekstu kod liczbowy.</w:t>
      </w:r>
      <w:r>
        <w:t xml:space="preserve"> </w:t>
      </w:r>
      <w:r>
        <w:rPr>
          <w:bCs/>
          <w:b/>
        </w:rPr>
        <w:t xml:space="preserve">Rodzaju zmian wymienionych powyżej nie można w sposób uprawniony wykorzystywać do argumentowania przeciwko doktrynie nieomylności</w:t>
      </w:r>
      <w:r>
        <w:t xml:space="preserve">.</w:t>
      </w:r>
    </w:p>
    <w:bookmarkEnd w:id="523"/>
    <w:bookmarkStart w:id="528" w:name="Xe7fa3c451fd1feaed7107269b77aa1218452e36"/>
    <w:p>
      <w:pPr>
        <w:pStyle w:val="Heading2"/>
      </w:pPr>
      <w:r>
        <w:t xml:space="preserve">Skolacjonowane manuskrypty</w:t>
      </w:r>
      <w:r>
        <w:t xml:space="preserve"> </w:t>
      </w:r>
      <w:r>
        <w:rPr>
          <w:bCs/>
          <w:b/>
        </w:rPr>
        <w:t xml:space="preserve">f</w:t>
      </w:r>
      <w:r>
        <w:rPr>
          <w:vertAlign w:val="superscript"/>
          <w:bCs/>
          <w:b/>
        </w:rPr>
        <w:t xml:space="preserve">35</w:t>
      </w:r>
      <w:r>
        <w:rPr>
          <w:rStyle w:val="FootnoteReference"/>
        </w:rPr>
        <w:footnoteReference w:id="524"/>
      </w:r>
    </w:p>
    <w:p>
      <w:pPr>
        <w:pStyle w:val="BodyText"/>
      </w:pPr>
      <w:r>
        <w:t xml:space="preserve">Gdy mówię, że manuskrypt miał doskonały egzemplarz (doskonałą kopię archetypu rodziny), nie obciążam jego egzemplarza tym, co wydaje się prywatnymi błędami kopii — obejmuje to poprawki prowadzące do archetypu. Oczywiście z konieczności opieram się na mojej ocenie, ponieważ nie mam sposobu dowiedzieć się, co rzeczywiście się wydarzyło, prawdopodobnie jednak niewiele się mylę. Gdy mówię, że sama kopia jest doskonała, odnoszę się do pierwszej ręki. Użyłem numerów GA, z wyjątkiem Iviron 2110, który nie ma numeru GA. Ci, którzy znają moją pracę, wiedzą, że archetypalna forma rodziny została ustalona empirycznie jako konsensus skolacjonowanych manuskryptów.</w:t>
      </w:r>
    </w:p>
    <w:p>
      <w:pPr>
        <w:pStyle w:val="BodyText"/>
      </w:pPr>
      <w:r>
        <w:rPr>
          <w:bCs/>
          <w:b/>
        </w:rPr>
        <w:t xml:space="preserve">Ewangelia Mateusza</w:t>
      </w:r>
      <w:r>
        <w:t xml:space="preserve"> </w:t>
      </w:r>
      <w:r>
        <w:t xml:space="preserve">— skolacjonowałem 51 manuskryptów</w:t>
      </w:r>
      <w:r>
        <w:t xml:space="preserve"> </w:t>
      </w:r>
      <w:r>
        <w:rPr>
          <w:bCs/>
          <w:b/>
        </w:rPr>
        <w:t xml:space="preserve">f</w:t>
      </w:r>
      <w:r>
        <w:rPr>
          <w:vertAlign w:val="superscript"/>
          <w:bCs/>
          <w:b/>
        </w:rPr>
        <w:t xml:space="preserve">35</w:t>
      </w:r>
      <w:r>
        <w:t xml:space="preserve">, 2554 jest doskonały, 1072, 1117, 1461, 1496, 1652, 1713 i Iviron 2110 miały doskonały egzemplarz (jak przypuszczam).</w:t>
      </w:r>
    </w:p>
    <w:p>
      <w:pPr>
        <w:pStyle w:val="BodyText"/>
      </w:pPr>
      <w:r>
        <w:rPr>
          <w:bCs/>
          <w:b/>
        </w:rPr>
        <w:t xml:space="preserve">Ewangelia Marka</w:t>
      </w:r>
      <w:r>
        <w:t xml:space="preserve"> </w:t>
      </w:r>
      <w:r>
        <w:t xml:space="preserve">— skolacjonowałem 53 manuskrypty</w:t>
      </w:r>
      <w:r>
        <w:t xml:space="preserve"> </w:t>
      </w:r>
      <w:r>
        <w:rPr>
          <w:bCs/>
          <w:b/>
        </w:rPr>
        <w:t xml:space="preserve">f</w:t>
      </w:r>
      <w:r>
        <w:rPr>
          <w:vertAlign w:val="superscript"/>
          <w:bCs/>
          <w:b/>
        </w:rPr>
        <w:t xml:space="preserve">35</w:t>
      </w:r>
      <w:r>
        <w:t xml:space="preserve">, żaden nie jest doskonały, GA 35 jest kompletny,</w:t>
      </w:r>
      <w:r>
        <w:rPr>
          <w:rStyle w:val="FootnoteReference"/>
        </w:rPr>
        <w:footnoteReference w:id="525"/>
      </w:r>
      <w:r>
        <w:t xml:space="preserve"> </w:t>
      </w:r>
      <w:r>
        <w:t xml:space="preserve">586 i 2382 miały doskonały egzemplarz.</w:t>
      </w:r>
    </w:p>
    <w:p>
      <w:pPr>
        <w:pStyle w:val="BodyText"/>
      </w:pPr>
      <w:r>
        <w:rPr>
          <w:bCs/>
          <w:b/>
        </w:rPr>
        <w:t xml:space="preserve">Ewangelia Łukasza</w:t>
      </w:r>
      <w:r>
        <w:t xml:space="preserve"> </w:t>
      </w:r>
      <w:r>
        <w:t xml:space="preserve">— skolacjonowałem 51 manuskryptów</w:t>
      </w:r>
      <w:r>
        <w:t xml:space="preserve"> </w:t>
      </w:r>
      <w:r>
        <w:rPr>
          <w:bCs/>
          <w:b/>
        </w:rPr>
        <w:t xml:space="preserve">f</w:t>
      </w:r>
      <w:r>
        <w:rPr>
          <w:vertAlign w:val="superscript"/>
          <w:bCs/>
          <w:b/>
        </w:rPr>
        <w:t xml:space="preserve">35</w:t>
      </w:r>
      <w:r>
        <w:t xml:space="preserve">, żaden nie jest doskonały, 2382 jest praktycznie kompletny,</w:t>
      </w:r>
      <w:r>
        <w:rPr>
          <w:rStyle w:val="FootnoteReference"/>
        </w:rPr>
        <w:footnoteReference w:id="526"/>
      </w:r>
      <w:r>
        <w:t xml:space="preserve"> </w:t>
      </w:r>
      <w:r>
        <w:t xml:space="preserve">789 i 897 miały doskonały egzemplarz.</w:t>
      </w:r>
    </w:p>
    <w:p>
      <w:pPr>
        <w:pStyle w:val="BodyText"/>
      </w:pPr>
      <w:r>
        <w:rPr>
          <w:bCs/>
          <w:b/>
        </w:rPr>
        <w:t xml:space="preserve">Ewangelia Jana</w:t>
      </w:r>
      <w:r>
        <w:t xml:space="preserve"> </w:t>
      </w:r>
      <w:r>
        <w:t xml:space="preserve">— skolacjonowałem 57 manuskryptów</w:t>
      </w:r>
      <w:r>
        <w:t xml:space="preserve"> </w:t>
      </w:r>
      <w:r>
        <w:rPr>
          <w:bCs/>
          <w:b/>
        </w:rPr>
        <w:t xml:space="preserve">f</w:t>
      </w:r>
      <w:r>
        <w:rPr>
          <w:vertAlign w:val="superscript"/>
          <w:bCs/>
          <w:b/>
        </w:rPr>
        <w:t xml:space="preserve">35</w:t>
      </w:r>
      <w:r>
        <w:t xml:space="preserve">, żaden nie jest doskonały, 2382 jest kompletny, 1072 miał doskonały egzemplarz.</w:t>
      </w:r>
    </w:p>
    <w:p>
      <w:pPr>
        <w:pStyle w:val="BodyText"/>
      </w:pPr>
      <w:r>
        <w:rPr>
          <w:bCs/>
          <w:b/>
        </w:rPr>
        <w:t xml:space="preserve">Dzieje Apostolskie</w:t>
      </w:r>
      <w:r>
        <w:t xml:space="preserve"> </w:t>
      </w:r>
      <w:r>
        <w:t xml:space="preserve">— skolacjonowałem 35 manuskryptów</w:t>
      </w:r>
      <w:r>
        <w:t xml:space="preserve"> </w:t>
      </w:r>
      <w:r>
        <w:rPr>
          <w:bCs/>
          <w:b/>
        </w:rPr>
        <w:t xml:space="preserve">f</w:t>
      </w:r>
      <w:r>
        <w:rPr>
          <w:vertAlign w:val="superscript"/>
          <w:bCs/>
          <w:b/>
        </w:rPr>
        <w:t xml:space="preserve">35</w:t>
      </w:r>
      <w:r>
        <w:t xml:space="preserve">, żaden nie jest doskonały, 35 jest niemal kompletny,</w:t>
      </w:r>
      <w:r>
        <w:rPr>
          <w:rStyle w:val="FootnoteReference"/>
        </w:rPr>
        <w:footnoteReference w:id="527"/>
      </w:r>
      <w:r>
        <w:t xml:space="preserve"> </w:t>
      </w:r>
      <w:r>
        <w:t xml:space="preserve">nie ma doskonałych egzemplarzy.</w:t>
      </w:r>
    </w:p>
    <w:p>
      <w:pPr>
        <w:pStyle w:val="BodyText"/>
      </w:pPr>
      <w:r>
        <w:rPr>
          <w:bCs/>
          <w:b/>
        </w:rPr>
        <w:t xml:space="preserve">List do Rzymian</w:t>
      </w:r>
      <w:r>
        <w:t xml:space="preserve"> </w:t>
      </w:r>
      <w:r>
        <w:t xml:space="preserve">— skolacjonowałem 37 manuskryptów</w:t>
      </w:r>
      <w:r>
        <w:t xml:space="preserve"> </w:t>
      </w:r>
      <w:r>
        <w:rPr>
          <w:bCs/>
          <w:b/>
        </w:rPr>
        <w:t xml:space="preserve">f</w:t>
      </w:r>
      <w:r>
        <w:rPr>
          <w:vertAlign w:val="superscript"/>
          <w:bCs/>
          <w:b/>
        </w:rPr>
        <w:t xml:space="preserve">35</w:t>
      </w:r>
      <w:r>
        <w:t xml:space="preserve">, 1482, 2554 i 2723 są doskonałe, 35 jest kompletny, 1249, 1855, 1865 i 2466 miały doskonały egzemplarz.</w:t>
      </w:r>
    </w:p>
    <w:p>
      <w:pPr>
        <w:pStyle w:val="BodyText"/>
      </w:pPr>
      <w:r>
        <w:rPr>
          <w:bCs/>
          <w:b/>
        </w:rPr>
        <w:t xml:space="preserve">1 List do Koryntian</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nie ma doskonałych egzemplarzy.</w:t>
      </w:r>
    </w:p>
    <w:p>
      <w:pPr>
        <w:pStyle w:val="BodyText"/>
      </w:pPr>
      <w:r>
        <w:rPr>
          <w:bCs/>
          <w:b/>
        </w:rPr>
        <w:t xml:space="preserve">2 List do Koryntian</w:t>
      </w:r>
      <w:r>
        <w:t xml:space="preserve"> </w:t>
      </w:r>
      <w:r>
        <w:t xml:space="preserve">— skolacjonowałem 36 manuskryptów</w:t>
      </w:r>
      <w:r>
        <w:t xml:space="preserve"> </w:t>
      </w:r>
      <w:r>
        <w:rPr>
          <w:bCs/>
          <w:b/>
        </w:rPr>
        <w:t xml:space="preserve">f</w:t>
      </w:r>
      <w:r>
        <w:rPr>
          <w:vertAlign w:val="superscript"/>
          <w:bCs/>
          <w:b/>
        </w:rPr>
        <w:t xml:space="preserve">35</w:t>
      </w:r>
      <w:r>
        <w:t xml:space="preserve">, 2554 jest doskonały, 35 jest kompletny, 1865 miał doskonały egzemplarz.</w:t>
      </w:r>
    </w:p>
    <w:p>
      <w:pPr>
        <w:pStyle w:val="BodyText"/>
      </w:pPr>
      <w:r>
        <w:rPr>
          <w:bCs/>
          <w:b/>
        </w:rPr>
        <w:t xml:space="preserve">List do Galacjan</w:t>
      </w:r>
      <w:r>
        <w:t xml:space="preserve"> </w:t>
      </w:r>
      <w:r>
        <w:t xml:space="preserve">— skolacjonowałem 37 manuskryptów</w:t>
      </w:r>
      <w:r>
        <w:t xml:space="preserve"> </w:t>
      </w:r>
      <w:r>
        <w:rPr>
          <w:bCs/>
          <w:b/>
        </w:rPr>
        <w:t xml:space="preserve">f</w:t>
      </w:r>
      <w:r>
        <w:rPr>
          <w:vertAlign w:val="superscript"/>
          <w:bCs/>
          <w:b/>
        </w:rPr>
        <w:t xml:space="preserve">35</w:t>
      </w:r>
      <w:r>
        <w:t xml:space="preserve">, 204, 1100, 1637, 1865, 2554 i 2587 są doskonałe, 35 jest kompletny, 386, 444, 1075 i 2723 miały doskonały egzemplarz.</w:t>
      </w:r>
    </w:p>
    <w:p>
      <w:pPr>
        <w:pStyle w:val="BodyText"/>
      </w:pPr>
      <w:r>
        <w:rPr>
          <w:bCs/>
          <w:b/>
        </w:rPr>
        <w:t xml:space="preserve">List do Efezjan</w:t>
      </w:r>
      <w:r>
        <w:t xml:space="preserve"> </w:t>
      </w:r>
      <w:r>
        <w:t xml:space="preserve">— skolacjonowałem 37 manuskryptów</w:t>
      </w:r>
      <w:r>
        <w:t xml:space="preserve"> </w:t>
      </w:r>
      <w:r>
        <w:rPr>
          <w:bCs/>
          <w:b/>
        </w:rPr>
        <w:t xml:space="preserve">f</w:t>
      </w:r>
      <w:r>
        <w:rPr>
          <w:vertAlign w:val="superscript"/>
          <w:bCs/>
          <w:b/>
        </w:rPr>
        <w:t xml:space="preserve">35</w:t>
      </w:r>
      <w:r>
        <w:t xml:space="preserve">, 928, 1864, 2554 i 2723 są doskonałe, 204, 757, 986, 1248, 1503, 1548, 1725, 1732, 1865 i 2352 miały doskonały egzemplarz.</w:t>
      </w:r>
    </w:p>
    <w:p>
      <w:pPr>
        <w:pStyle w:val="BodyText"/>
      </w:pPr>
      <w:r>
        <w:rPr>
          <w:bCs/>
          <w:b/>
        </w:rPr>
        <w:t xml:space="preserve">List do Filipian</w:t>
      </w:r>
      <w:r>
        <w:t xml:space="preserve"> </w:t>
      </w:r>
      <w:r>
        <w:t xml:space="preserve">— skolacjonowałem 37 manuskryptów</w:t>
      </w:r>
      <w:r>
        <w:t xml:space="preserve"> </w:t>
      </w:r>
      <w:r>
        <w:rPr>
          <w:bCs/>
          <w:b/>
        </w:rPr>
        <w:t xml:space="preserve">f</w:t>
      </w:r>
      <w:r>
        <w:rPr>
          <w:vertAlign w:val="superscript"/>
          <w:bCs/>
          <w:b/>
        </w:rPr>
        <w:t xml:space="preserve">35</w:t>
      </w:r>
      <w:r>
        <w:t xml:space="preserve">, 35, 1072, 1864, 1865 i 2554 są doskonałe, 204, 394, 757, 824, 1249, 1503, 1548, 1732, 1855, 2352, 2466 i 2723 miały doskonały egzemplarz.</w:t>
      </w:r>
    </w:p>
    <w:p>
      <w:pPr>
        <w:pStyle w:val="BodyText"/>
      </w:pPr>
      <w:r>
        <w:rPr>
          <w:bCs/>
          <w:b/>
        </w:rPr>
        <w:t xml:space="preserve">List do Kolosan</w:t>
      </w:r>
      <w:r>
        <w:t xml:space="preserve"> </w:t>
      </w:r>
      <w:r>
        <w:t xml:space="preserve">— skolacjonowałem 37 manuskryptów</w:t>
      </w:r>
      <w:r>
        <w:t xml:space="preserve"> </w:t>
      </w:r>
      <w:r>
        <w:rPr>
          <w:bCs/>
          <w:b/>
        </w:rPr>
        <w:t xml:space="preserve">f</w:t>
      </w:r>
      <w:r>
        <w:rPr>
          <w:vertAlign w:val="superscript"/>
          <w:bCs/>
          <w:b/>
        </w:rPr>
        <w:t xml:space="preserve">35</w:t>
      </w:r>
      <w:r>
        <w:t xml:space="preserve">, 18, 444, 1732, 1864, 2554 i 2723 są doskonałe, 35, 1075, 1503 i 1725 są kompletne, 824, 1637, 1865, 1892, 2352 i 2466 miały doskonały egzemplarz.</w:t>
      </w:r>
    </w:p>
    <w:p>
      <w:pPr>
        <w:pStyle w:val="BodyText"/>
      </w:pPr>
      <w:r>
        <w:rPr>
          <w:bCs/>
          <w:b/>
        </w:rPr>
        <w:t xml:space="preserve">1 List do Tesaloniczan</w:t>
      </w:r>
      <w:r>
        <w:t xml:space="preserve"> </w:t>
      </w:r>
      <w:r>
        <w:t xml:space="preserve">— skolacjonowałem 39 manuskryptów</w:t>
      </w:r>
      <w:r>
        <w:t xml:space="preserve"> </w:t>
      </w:r>
      <w:r>
        <w:rPr>
          <w:bCs/>
          <w:b/>
        </w:rPr>
        <w:t xml:space="preserve">f</w:t>
      </w:r>
      <w:r>
        <w:rPr>
          <w:vertAlign w:val="superscript"/>
          <w:bCs/>
          <w:b/>
        </w:rPr>
        <w:t xml:space="preserve">35</w:t>
      </w:r>
      <w:r>
        <w:t xml:space="preserve">, 18, 824, 928, 1855, 1864 i 2723 są doskonałe, 35, 1865 i 2554 są kompletne, 394, 444, 757, 986, 1072, 1503, 1892 i 2587 miały doskonały egzemplarz.</w:t>
      </w:r>
    </w:p>
    <w:p>
      <w:pPr>
        <w:pStyle w:val="BodyText"/>
      </w:pPr>
      <w:r>
        <w:rPr>
          <w:bCs/>
          <w:b/>
        </w:rPr>
        <w:t xml:space="preserve">2 List do Tesaloniczan</w:t>
      </w:r>
      <w:r>
        <w:t xml:space="preserve"> </w:t>
      </w:r>
      <w:r>
        <w:t xml:space="preserve">— skolacjonowałem 38 manuskryptów</w:t>
      </w:r>
      <w:r>
        <w:t xml:space="preserve"> </w:t>
      </w:r>
      <w:r>
        <w:rPr>
          <w:bCs/>
          <w:b/>
        </w:rPr>
        <w:t xml:space="preserve">f</w:t>
      </w:r>
      <w:r>
        <w:rPr>
          <w:vertAlign w:val="superscript"/>
          <w:bCs/>
          <w:b/>
        </w:rPr>
        <w:t xml:space="preserve">35</w:t>
      </w:r>
      <w:r>
        <w:t xml:space="preserve">, 18, 35, 204, 394, 928, 1072, 1075, 1249, 1503, 1637, 1768, 1864, 1865, 2554 i 2723 są doskonałe, 328, 386, 444, 604, 824, 986, 1248, 1548, 1725, 1732, 1761, 1855, 1892, 1897, 2466 i 2587 miały doskonały egzemplarz.</w:t>
      </w:r>
    </w:p>
    <w:p>
      <w:pPr>
        <w:pStyle w:val="BodyText"/>
      </w:pPr>
      <w:r>
        <w:rPr>
          <w:bCs/>
          <w:b/>
        </w:rPr>
        <w:t xml:space="preserve">1 List do Tymoteusza</w:t>
      </w:r>
      <w:r>
        <w:t xml:space="preserve"> </w:t>
      </w:r>
      <w:r>
        <w:t xml:space="preserve">— skolacjonowałem 37 manuskryptów</w:t>
      </w:r>
      <w:r>
        <w:t xml:space="preserve"> </w:t>
      </w:r>
      <w:r>
        <w:rPr>
          <w:bCs/>
          <w:b/>
        </w:rPr>
        <w:t xml:space="preserve">f</w:t>
      </w:r>
      <w:r>
        <w:rPr>
          <w:vertAlign w:val="superscript"/>
          <w:bCs/>
          <w:b/>
        </w:rPr>
        <w:t xml:space="preserve">35</w:t>
      </w:r>
      <w:r>
        <w:t xml:space="preserve">, 1761 i 2554 są doskonałe, 35 jest kompletny, 444 i 2466 miały doskonały egzemplarz.</w:t>
      </w:r>
    </w:p>
    <w:p>
      <w:pPr>
        <w:pStyle w:val="BodyText"/>
      </w:pPr>
      <w:r>
        <w:rPr>
          <w:bCs/>
          <w:b/>
        </w:rPr>
        <w:t xml:space="preserve">2 List do Tymoteusza</w:t>
      </w:r>
      <w:r>
        <w:t xml:space="preserve"> </w:t>
      </w:r>
      <w:r>
        <w:t xml:space="preserve">— skolacjonowałem 36 manuskryptów</w:t>
      </w:r>
      <w:r>
        <w:t xml:space="preserve"> </w:t>
      </w:r>
      <w:r>
        <w:rPr>
          <w:bCs/>
          <w:b/>
        </w:rPr>
        <w:t xml:space="preserve">f</w:t>
      </w:r>
      <w:r>
        <w:rPr>
          <w:vertAlign w:val="superscript"/>
          <w:bCs/>
          <w:b/>
        </w:rPr>
        <w:t xml:space="preserve">35</w:t>
      </w:r>
      <w:r>
        <w:t xml:space="preserve">, 824, 1072, 1075 i 1864 są doskonałe, 1865 i 2723 są kompletne, 1503 miał doskonały egzemplarz.</w:t>
      </w:r>
    </w:p>
    <w:p>
      <w:pPr>
        <w:pStyle w:val="BodyText"/>
      </w:pPr>
      <w:r>
        <w:rPr>
          <w:bCs/>
          <w:b/>
        </w:rPr>
        <w:t xml:space="preserve">List do Tytusa</w:t>
      </w:r>
      <w:r>
        <w:t xml:space="preserve"> </w:t>
      </w:r>
      <w:r>
        <w:t xml:space="preserve">— skolacjonowałem 36 manuskryptów</w:t>
      </w:r>
      <w:r>
        <w:t xml:space="preserve"> </w:t>
      </w:r>
      <w:r>
        <w:rPr>
          <w:bCs/>
          <w:b/>
        </w:rPr>
        <w:t xml:space="preserve">f</w:t>
      </w:r>
      <w:r>
        <w:rPr>
          <w:vertAlign w:val="superscript"/>
          <w:bCs/>
          <w:b/>
        </w:rPr>
        <w:t xml:space="preserve">35</w:t>
      </w:r>
      <w:r>
        <w:t xml:space="preserve">, 35, 1072, 1503, 1855, 1864, 1892, 2080, 2587 i 2723 są doskonałe, 18, 328, 1637 i 1761 miały doskonały egzemplarz.</w:t>
      </w:r>
    </w:p>
    <w:p>
      <w:pPr>
        <w:pStyle w:val="BodyText"/>
      </w:pPr>
      <w:r>
        <w:rPr>
          <w:bCs/>
          <w:b/>
        </w:rPr>
        <w:t xml:space="preserve">List do Filemona</w:t>
      </w:r>
      <w:r>
        <w:t xml:space="preserve"> </w:t>
      </w:r>
      <w:r>
        <w:t xml:space="preserve">— skolacjonowałem 36 manuskryptów</w:t>
      </w:r>
      <w:r>
        <w:t xml:space="preserve"> </w:t>
      </w:r>
      <w:r>
        <w:rPr>
          <w:bCs/>
          <w:b/>
        </w:rPr>
        <w:t xml:space="preserve">f</w:t>
      </w:r>
      <w:r>
        <w:rPr>
          <w:vertAlign w:val="superscript"/>
          <w:bCs/>
          <w:b/>
        </w:rPr>
        <w:t xml:space="preserve">35</w:t>
      </w:r>
      <w:r>
        <w:t xml:space="preserve">, tylko siedem nie jest doskonałych, a pięć spośród nich miało doskonały egzemplarz.</w:t>
      </w:r>
    </w:p>
    <w:p>
      <w:pPr>
        <w:pStyle w:val="BodyText"/>
      </w:pPr>
      <w:r>
        <w:rPr>
          <w:bCs/>
          <w:b/>
        </w:rPr>
        <w:t xml:space="preserve">List do Hebrajczyków</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35, 1637 i 2723 są kompletne.</w:t>
      </w:r>
    </w:p>
    <w:p>
      <w:pPr>
        <w:pStyle w:val="BodyText"/>
      </w:pPr>
      <w:r>
        <w:rPr>
          <w:bCs/>
          <w:b/>
        </w:rPr>
        <w:t xml:space="preserve">List Jakuba</w:t>
      </w:r>
      <w:r>
        <w:t xml:space="preserve"> </w:t>
      </w:r>
      <w:r>
        <w:t xml:space="preserve">— skolacjonowałem 43 manuskrypty</w:t>
      </w:r>
      <w:r>
        <w:t xml:space="preserve"> </w:t>
      </w:r>
      <w:r>
        <w:rPr>
          <w:bCs/>
          <w:b/>
        </w:rPr>
        <w:t xml:space="preserve">f</w:t>
      </w:r>
      <w:r>
        <w:rPr>
          <w:vertAlign w:val="superscript"/>
          <w:bCs/>
          <w:b/>
        </w:rPr>
        <w:t xml:space="preserve">35</w:t>
      </w:r>
      <w:r>
        <w:t xml:space="preserve">, 18, 1864, 2554 i 2723 są doskonałe, 35 i 2221 są kompletne, 1503, 1732, 1865 i 2303 miały doskonały egzemplarz.</w:t>
      </w:r>
    </w:p>
    <w:p>
      <w:pPr>
        <w:pStyle w:val="BodyText"/>
      </w:pPr>
      <w:r>
        <w:rPr>
          <w:bCs/>
          <w:b/>
        </w:rPr>
        <w:t xml:space="preserve">1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1865, 2554 i 2723 są doskonałe, 35 jest kompletny, 824 miał doskonały egzemplarz.</w:t>
      </w:r>
    </w:p>
    <w:p>
      <w:pPr>
        <w:pStyle w:val="BodyText"/>
      </w:pPr>
      <w:r>
        <w:rPr>
          <w:bCs/>
          <w:b/>
        </w:rPr>
        <w:t xml:space="preserve">2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35, 1725, 1864, 2554 i 2723 są doskonałe, 18, 141, 824, 1072, 1075, 1503, 1865 i 1897 miały doskonały egzemplarz.</w:t>
      </w:r>
    </w:p>
    <w:p>
      <w:pPr>
        <w:pStyle w:val="BodyText"/>
      </w:pPr>
      <w:r>
        <w:rPr>
          <w:bCs/>
          <w:b/>
        </w:rPr>
        <w:t xml:space="preserve">1 List Jana</w:t>
      </w:r>
      <w:r>
        <w:t xml:space="preserve"> </w:t>
      </w:r>
      <w:r>
        <w:t xml:space="preserve">— skolacjonowałem 42 manuskrypty</w:t>
      </w:r>
      <w:r>
        <w:t xml:space="preserve"> </w:t>
      </w:r>
      <w:r>
        <w:rPr>
          <w:bCs/>
          <w:b/>
        </w:rPr>
        <w:t xml:space="preserve">f</w:t>
      </w:r>
      <w:r>
        <w:rPr>
          <w:vertAlign w:val="superscript"/>
          <w:bCs/>
          <w:b/>
        </w:rPr>
        <w:t xml:space="preserve">35</w:t>
      </w:r>
      <w:r>
        <w:t xml:space="preserve">, 204, 824, 1100 i 2554 są doskonałe, 35, 1637 i 1865 są kompletne, 1248, 1503, 1725, 1732, 1864, 1897 i 2723 miały doskonały egzemplarz.</w:t>
      </w:r>
    </w:p>
    <w:p>
      <w:pPr>
        <w:pStyle w:val="BodyText"/>
      </w:pPr>
      <w:r>
        <w:rPr>
          <w:bCs/>
          <w:b/>
        </w:rPr>
        <w:t xml:space="preserve">2 i 3 List Jana oraz List Judy</w:t>
      </w:r>
      <w:r>
        <w:t xml:space="preserve"> </w:t>
      </w:r>
      <w:r>
        <w:t xml:space="preserve">— skolacjonowałem 46 manuskryptów</w:t>
      </w:r>
      <w:r>
        <w:t xml:space="preserve"> </w:t>
      </w:r>
      <w:r>
        <w:rPr>
          <w:bCs/>
          <w:b/>
        </w:rPr>
        <w:t xml:space="preserve">f</w:t>
      </w:r>
      <w:r>
        <w:rPr>
          <w:vertAlign w:val="superscript"/>
          <w:bCs/>
          <w:b/>
        </w:rPr>
        <w:t xml:space="preserve">35</w:t>
      </w:r>
      <w:r>
        <w:t xml:space="preserve">, 141, 204, 386, 824, 928, 1072, 1075, 1100, 1637, 1855, 1864, 2221, 2554 i 2723 są doskonałe we wszystkich trzech księgach, 35 i 2587 są doskonałe w Listach Jana i kompletne w Liście Judy, kolejnych trzynaście miało doskonały egzemplarz, tylko pięć spośród 46 manuskryptów ma wariant we wszystkich trzech księgach.</w:t>
      </w:r>
    </w:p>
    <w:p>
      <w:pPr>
        <w:pStyle w:val="BodyText"/>
      </w:pPr>
      <w:r>
        <w:rPr>
          <w:bCs/>
          <w:b/>
        </w:rPr>
        <w:t xml:space="preserve">Objawienie Jana</w:t>
      </w:r>
      <w:r>
        <w:t xml:space="preserve"> </w:t>
      </w:r>
      <w:r>
        <w:t xml:space="preserve">— skolacjonowałem 20 manuskryptów</w:t>
      </w:r>
      <w:r>
        <w:t xml:space="preserve"> </w:t>
      </w:r>
      <w:r>
        <w:rPr>
          <w:bCs/>
          <w:b/>
        </w:rPr>
        <w:t xml:space="preserve">f</w:t>
      </w:r>
      <w:r>
        <w:rPr>
          <w:vertAlign w:val="superscript"/>
          <w:bCs/>
          <w:b/>
        </w:rPr>
        <w:t xml:space="preserve">35</w:t>
      </w:r>
      <w:r>
        <w:t xml:space="preserve">, żaden nie jest doskonały, 1864 jest kompletny, 757 miał doskonały egzemplarz. (W związku z tym nie sprawdziłem kolacjonowania innych manuskryptów dokonanego przez Hoskiera).</w:t>
      </w:r>
    </w:p>
    <w:p>
      <w:pPr>
        <w:pStyle w:val="BodyText"/>
      </w:pPr>
      <w:r>
        <w:t xml:space="preserve">Tak więc mam doskonałą kopię archetypu Rodziny 35 dla 22 ksiąg. Dla kolejnych trzech mam kopię kompletną. Twierdzę, że GA 2382 jest kompletny dla Ewangelii Łukasza, jeśli jednak nie, różni się jedną jedyną literą. Twierdzę, że GA 35 brakuje jednej jedynej litery do kompletności dla Dziejów Apostolskich, to niezły wynik dla najdłuższej księgi Nowego Testamentu.</w:t>
      </w:r>
      <w:r>
        <w:t xml:space="preserve"> </w:t>
      </w:r>
      <w:r>
        <w:rPr>
          <w:bCs/>
          <w:b/>
          <w:u w:val="single"/>
        </w:rPr>
        <w:t xml:space="preserve">Bóg zachował swój Tekst!</w:t>
      </w:r>
    </w:p>
    <w:p>
      <w:pPr>
        <w:pStyle w:val="BodyText"/>
      </w:pPr>
      <w:r>
        <w:t xml:space="preserve">Przed laty sam napisałem, że żadne dwa manuskrypty nie są identyczne, powtarzając jedynie rozpowszechnioną kaczkę dziennikarską. Było to jednak, zanim sam zacząłem kolacjonować manuskrypty. Nic przecież nie dorównuje bezpośredniej znajomości dowodów.</w:t>
      </w:r>
    </w:p>
    <w:bookmarkEnd w:id="528"/>
    <w:bookmarkStart w:id="529" w:name="bizantyjskie-manuskrypty-kr-rodziny-35"/>
    <w:p>
      <w:pPr>
        <w:pStyle w:val="Heading2"/>
      </w:pPr>
      <w:r>
        <w:t xml:space="preserve">Bizantyjskie manuskrypty</w:t>
      </w:r>
      <w:r>
        <w:t xml:space="preserve"> </w:t>
      </w:r>
      <w:r>
        <w:rPr>
          <w:bCs/>
          <w:b/>
        </w:rPr>
        <w:t xml:space="preserve">K</w:t>
      </w:r>
      <w:r>
        <w:rPr>
          <w:vertAlign w:val="superscript"/>
          <w:bCs/>
          <w:b/>
        </w:rPr>
        <w:t xml:space="preserve">r</w:t>
      </w:r>
      <w:r>
        <w:t xml:space="preserve"> </w:t>
      </w:r>
      <w:r>
        <w:t xml:space="preserve">(Rodziny 35)</w:t>
      </w:r>
    </w:p>
    <w:p>
      <w:pPr>
        <w:pStyle w:val="FirstParagraph"/>
      </w:pPr>
      <w:r>
        <w:rPr>
          <w:iCs/>
          <w:i/>
        </w:rPr>
        <w:t xml:space="preserve">Uncjały</w:t>
      </w:r>
      <w:r>
        <w:t xml:space="preserve">: brak</w:t>
      </w:r>
    </w:p>
    <w:p>
      <w:pPr>
        <w:pStyle w:val="BodyText"/>
      </w:pPr>
      <w:r>
        <w:rPr>
          <w:iCs/>
          <w:i/>
        </w:rPr>
        <w:t xml:space="preserve">Minuskuły</w:t>
      </w:r>
      <w:r>
        <w:t xml:space="preserve">: 18, 35, 47, 55, 56, 58, 59, 66, 83, 128, 141, 147, 149, 155, 167, 170, 189, 201, 204, 205, 214, 225, 246, 285, 290, 328, 361, 363, 386, 387, 394, 402, 415, 422, 432, 471, 479, 480, 486, 510, 511, 512, 516, 520, 521, 536, 547, 553, 575, 586, 588, 594, 604, 634, 645, 660, 664, 673, 676, 685, 689, 691, 694, 696, 757, 758, 763, 769, 781, 786, 789, 797, 801, 802, 806, 824, 825, 830, 845, 864, 867, 897, 928, 932, 936, 938, 940, 952, 953, 955, 958, 959, 960, 961, 962, 966, 986, 1003, 1010, 1018, 1020, 1023, 1025, 1030, 1040, 1046, 1058, 1059, 1062, 1072, 1075, 1088, 1092, 1095, 1100, 1101, 1111, 1116, 1117, 1119, 1131, 1132, 1133, 1140, 1145, 1146, 1147, 1158, 1165, 1169, 1176, 1180, 1185, 1189, 1190, 1199, 1224, 1234, 1236, 1247, 1248, 1249, 1250, 1251, 1293, 1323, 1328, 1329, 1330, 1331, 1334, 1339, 1348, 1354, 1362, 1367, 1384, 1389, 1400, 1401, 1409, 1414, 1427, 1435, 1444, 1445, 1453, 1456, 1461, 1462, 1465, 1467, 1471, 1472, 1474, 1476, 1477, 1480, 1482, 1483, 1487, 1488, 1489, 1490, 1492, 1493, 1494, 1496, 1497, 1499, 1501, 1503, 1508, 1509, 1543, 1544, 1548, 1550, 1551, 1552, 1559, 1560, 1570, 1572, 1576, 1584, 1585, 1591, 1596, 1599, 1600, 1601, 1609, 1614, 1617, 1618, 1619, 1620, 1621, 1622, 1625, 1628, 1630, 1632, 1633, 1634, 1636, 1637, 1638, 1641, 1648, 1649, 1650, 1652, 1653, 1656, 1658, 1659, 1664, 1667, 1671, 1680, 1686, 1688, 1694, 1698, 1700, 1702, 1703, 1704, 1705, 1713, 1723, 1725, 1726, 1732, 1733, 1737, 1740, 1745, 1746, 1748, 1749, 1752, 1754, 1761, 1763, 1766, 1767, 1768, 1771, 1779, 1785, 1786, 1789, 1813, 1855, 1856, 1858, 1864, 1865, 1876, 1892, 1894, 1897, 1903, 1957, 1960, 1966, 2023, 2035, 2041, 2061, 2080, 2095, 2112, 2122, 2124, 2131, 2175, 2178, 2196, 2204, 2213, 2218, 2221, 2231, 2235, 2251, 2253, 2255, 2260, 2261, 2265, 2273, 2284, 2289, 2296, 2303, 2322, 2323, 2352, 2355, 2367, 2375, 2378, 2382, 2387, 2399, 2407, 2418, 2431, 2434, 2436, 2452, 2454, 2460, 2466, 2479, 2483, 2496, 2501, 2503, 2508, 2510, 2520, 2554, 2587, 2598, 2621, 2626, 2635, 2649, 2653, 2658, 2673, 2669, 2704, 2723, 2765, 2767, 2777, 2806, 2821</w:t>
      </w:r>
    </w:p>
    <w:p>
      <w:pPr>
        <w:pStyle w:val="BodyText"/>
      </w:pPr>
      <w:r>
        <w:t xml:space="preserve">Łącznie = 364</w:t>
      </w:r>
    </w:p>
    <w:p>
      <w:pPr>
        <w:pStyle w:val="BodyText"/>
      </w:pPr>
      <w:r>
        <w:t xml:space="preserve">Uwaga: wykaz obejmuje wyłącznie manuskrypty o tekście ciągłym.</w:t>
      </w:r>
    </w:p>
    <w:p>
      <w:pPr>
        <w:pStyle w:val="BodyText"/>
      </w:pPr>
      <w:r>
        <w:t xml:space="preserve">Źródła:</w:t>
      </w:r>
    </w:p>
    <w:p>
      <w:pPr>
        <w:numPr>
          <w:ilvl w:val="0"/>
          <w:numId w:val="1114"/>
        </w:numPr>
        <w:pStyle w:val="Compact"/>
      </w:pPr>
      <w:r>
        <w:rPr>
          <w:iCs/>
          <w:i/>
        </w:rPr>
        <w:t xml:space="preserve">Die Schriften Des Neuen Testaments</w:t>
      </w:r>
      <w:r>
        <w:t xml:space="preserve">, Hermann Von Soden, Gottingen, 2 tomy (1911–1913)</w:t>
      </w:r>
    </w:p>
    <w:p>
      <w:pPr>
        <w:numPr>
          <w:ilvl w:val="0"/>
          <w:numId w:val="1114"/>
        </w:numPr>
        <w:pStyle w:val="Compact"/>
      </w:pPr>
      <w:r>
        <w:rPr>
          <w:iCs/>
          <w:i/>
        </w:rPr>
        <w:t xml:space="preserve">Kurzgefaste Liste</w:t>
      </w:r>
      <w:r>
        <w:t xml:space="preserve">, Kurt Aland, Berlin, de Gruyter, wyd. 2 (1994)</w:t>
      </w:r>
    </w:p>
    <w:p>
      <w:pPr>
        <w:numPr>
          <w:ilvl w:val="0"/>
          <w:numId w:val="1114"/>
        </w:numPr>
        <w:pStyle w:val="Compact"/>
      </w:pPr>
      <w:r>
        <w:rPr>
          <w:iCs/>
          <w:i/>
        </w:rPr>
        <w:t xml:space="preserve">Text und Textwert (TuT)</w:t>
      </w:r>
      <w:r>
        <w:t xml:space="preserve">, Berlin, de Gryuter (1998–2005)</w:t>
      </w:r>
    </w:p>
    <w:p>
      <w:pPr>
        <w:numPr>
          <w:ilvl w:val="0"/>
          <w:numId w:val="1114"/>
        </w:numPr>
        <w:pStyle w:val="Compact"/>
      </w:pPr>
      <w:r>
        <w:rPr>
          <w:iCs/>
          <w:i/>
        </w:rPr>
        <w:t xml:space="preserve">The Profile Method for Classification and Evaluation of Manuscript Evidence-The Gospel of Luke</w:t>
      </w:r>
      <w:r>
        <w:t xml:space="preserve">, Frederick Wisse, William B. Eerdmans, Grand Rapids, Michigan (1982)</w:t>
      </w:r>
    </w:p>
    <w:p>
      <w:pPr>
        <w:numPr>
          <w:ilvl w:val="0"/>
          <w:numId w:val="1114"/>
        </w:numPr>
        <w:pStyle w:val="Compact"/>
      </w:pPr>
      <w:r>
        <w:rPr>
          <w:iCs/>
          <w:i/>
        </w:rPr>
        <w:t xml:space="preserve">VMR-Handshriftenliste</w:t>
      </w:r>
      <w:r>
        <w:t xml:space="preserve">, (INTF) Munster, http://intf.uni-muenster.de/vmr/NTVMR/ListeHandschriften.php</w:t>
      </w:r>
    </w:p>
    <w:p>
      <w:pPr>
        <w:pStyle w:val="FirstParagraph"/>
      </w:pPr>
      <w:r>
        <w:t xml:space="preserve">Opracował:</w:t>
      </w:r>
    </w:p>
    <w:p>
      <w:pPr>
        <w:pStyle w:val="BodyText"/>
      </w:pPr>
      <w:r>
        <w:t xml:space="preserve">Paul D. Anderson</w:t>
      </w:r>
      <w:r>
        <w:br/>
      </w:r>
      <w:r>
        <w:t xml:space="preserve">kwiecień 2010</w:t>
      </w:r>
    </w:p>
    <w:bookmarkEnd w:id="529"/>
    <w:bookmarkStart w:id="532" w:name="grzech-pokoleniowy"/>
    <w:p>
      <w:pPr>
        <w:pStyle w:val="Heading2"/>
      </w:pPr>
      <w:r>
        <w:t xml:space="preserve">Grzech pokoleniowy</w:t>
      </w:r>
    </w:p>
    <w:bookmarkStart w:id="531" w:name="Xd40b6b7d1526f13e049e5a8c63215a5638e7df3"/>
    <w:p>
      <w:pPr>
        <w:pStyle w:val="Heading3"/>
      </w:pPr>
      <w:r>
        <w:t xml:space="preserve">Do starszych Duncanville Bible Church</w:t>
      </w:r>
      <w:r>
        <w:rPr>
          <w:rStyle w:val="FootnoteReference"/>
        </w:rPr>
        <w:footnoteReference w:id="530"/>
      </w:r>
    </w:p>
    <w:p>
      <w:pPr>
        <w:pStyle w:val="BodyText"/>
      </w:pPr>
      <w:r>
        <w:t xml:space="preserve">Dwóch naszych starszych publicznie odniosło się w ubiegłą niedzielę (22.10.1989) do „grzechu pokoleniowego”, a to dało mi punkt zaczepienia w sprawie sytuacji w kościele, która od pewnego czasu mnie niepokoi. Grzech pokoleniowy? Tak! Lecz nie tylko w obrębie rodzin. Grzech pokoleniowy występuje w poszczególnych kościołach, szkołach, denominacjach oraz w szerszych częściach Kościoła. Jednym z bardzo poważnych grzechów pokoleniowych, mającym charakter endemiczny na rozległych obszarach całej społeczności konserwatywnej lub ewangelikalnej, jest bałwochwalstwo wynoszące ludzki rozum ponad objawione Słowo Boga. Bałwochwalstwo to wyraża się na wielu frontach, lecz być może ten fundamentalny dotyczy samego Tekstu Pisma — mam na myśli mentalność, która nieustannie kwestionuje same sformułowania Tekstu, podważając w ten sposób zaufanie do jego integralności i autorytetu.</w:t>
      </w:r>
    </w:p>
    <w:p>
      <w:pPr>
        <w:pStyle w:val="BodyText"/>
      </w:pPr>
      <w:r>
        <w:t xml:space="preserve">Podam konkretny, szczegółowy przykład tego, o czym mówię. Kilka tygodni temu nasz pastor emendował z kazalnicy Tekst 1 Listu do Koryntian 8,3. Zamiast</w:t>
      </w:r>
      <w:r>
        <w:t xml:space="preserve"> </w:t>
      </w:r>
      <w:r>
        <w:rPr>
          <w:iCs/>
          <w:i/>
        </w:rPr>
        <w:t xml:space="preserve">„jeśli ktoś miłuje Boga, ten jest przez Niego znany”</w:t>
      </w:r>
      <w:r>
        <w:t xml:space="preserve"> </w:t>
      </w:r>
      <w:r>
        <w:t xml:space="preserve">zasugerował, że być może powinniśmy czytać</w:t>
      </w:r>
      <w:r>
        <w:t xml:space="preserve"> </w:t>
      </w:r>
      <w:r>
        <w:rPr>
          <w:iCs/>
          <w:i/>
        </w:rPr>
        <w:t xml:space="preserve">„jeśli ktoś miłuje Boga, ten wie”</w:t>
      </w:r>
      <w:r>
        <w:t xml:space="preserve">. Ponieważ żaden drukowany tekst grecki nie ma tego, co zasugerował, czułem, że Pan prowadzi mnie, by ostrzec go, iż takie postępowanie jest niewskazane. W odpowiedzi skierował mnie do komentarza Gordona Fee do 1 Listu do Koryntian, który był źródłem tego, co zrobił. Komentarz Fee do 1 Listu do Koryntian 8,2–3 dostarcza wyjątkowo rażącego przykładu bałwochwalstwa, o którym wspomniałem. Rozważmy:</w:t>
      </w:r>
    </w:p>
    <w:p>
      <w:pPr>
        <w:pStyle w:val="BodyText"/>
      </w:pPr>
      <w:r>
        <w:t xml:space="preserve">Poprawny Tekst 1 Listu do Koryntian 8,2–3, poświadczony przez około 95% greckich manuskryptów, brzmi następująco: Ει δε τις δοκει ειδεναι (86%) τι,</w:t>
      </w:r>
      <w:r>
        <w:t xml:space="preserve"> </w:t>
      </w:r>
      <w:r>
        <w:rPr>
          <w:u w:val="single"/>
        </w:rPr>
        <w:t xml:space="preserve">ουδεπω ουδεν εγνωκε καθως δει γνωναι. Ει δε τις αγαπα τον θεον, οὑτος</w:t>
      </w:r>
      <w:r>
        <w:t xml:space="preserve"> </w:t>
      </w:r>
      <w:r>
        <w:t xml:space="preserve">εγνωσται ὑπ̕ αυτου. Będący obecnie w modzie tekst eklektyczny, za którym podążają NIV, NASB, LB i tak dalej, opiera się na garstce świadków egipskich i brzmi tak: Ει … τις δοκει</w:t>
      </w:r>
      <w:r>
        <w:t xml:space="preserve"> </w:t>
      </w:r>
      <w:r>
        <w:rPr>
          <w:u w:val="single"/>
        </w:rPr>
        <w:t xml:space="preserve">εγνωκεναι</w:t>
      </w:r>
      <w:r>
        <w:t xml:space="preserve"> </w:t>
      </w:r>
      <w:r>
        <w:t xml:space="preserve">τί</w:t>
      </w:r>
      <w:r>
        <w:t xml:space="preserve"> </w:t>
      </w:r>
      <w:r>
        <w:rPr>
          <w:u w:val="single"/>
        </w:rPr>
        <w:t xml:space="preserve">ουπω</w:t>
      </w:r>
      <w:r>
        <w:t xml:space="preserve"> </w:t>
      </w:r>
      <w:r>
        <w:t xml:space="preserve">…</w:t>
      </w:r>
      <w:r>
        <w:t xml:space="preserve"> </w:t>
      </w:r>
      <w:r>
        <w:rPr>
          <w:u w:val="single"/>
        </w:rPr>
        <w:t xml:space="preserve">εγνω καθως δει</w:t>
      </w:r>
      <w:r>
        <w:t xml:space="preserve"> </w:t>
      </w:r>
      <w:r>
        <w:t xml:space="preserve">γνωναι. Ει δε τις αγαπα τον θεον, οὑτος εγνωσται ὑπ̕ αυτου. Omawiane miejsca są podkreślone. To właśnie tekst eklektyczny Fee przyjmuje za punkt wyjścia i z upodobaniem nazywa „tekstem standardowym”. Gdyby Fee uznał poprawny tekst, trudno byłoby mu pisać tak, jak napisał. (Aby jednak to uczynić, musiałby odrzucić wszystko, czego nauczono go w dziedzinie krytyki tekstu Nowego Testamentu). Nie zadowolił się jednak nawet swoim „standardowym” tekstem — proponuje emendować go przez pominięcie w trzech miejscach (zob. jego s. 367) i robi to na podstawie jednego greckiego manuskryptu, P</w:t>
      </w:r>
      <w:r>
        <w:rPr>
          <w:vertAlign w:val="superscript"/>
        </w:rPr>
        <w:t xml:space="preserve">46</w:t>
      </w:r>
      <w:r>
        <w:t xml:space="preserve">. Jego tekst wyglądałby następująco: Ει τις δοκει εγνωκεναι… ουπω εγνω καθως δει γνωναι. Ει δε τις αγαπα … …, οὑτος εγνωσται … ….</w:t>
      </w:r>
    </w:p>
    <w:p>
      <w:pPr>
        <w:pStyle w:val="BodyText"/>
      </w:pPr>
      <w:r>
        <w:t xml:space="preserve">P</w:t>
      </w:r>
      <w:r>
        <w:rPr>
          <w:vertAlign w:val="superscript"/>
        </w:rPr>
        <w:t xml:space="preserve">46</w:t>
      </w:r>
      <w:r>
        <w:t xml:space="preserve"> </w:t>
      </w:r>
      <w:r>
        <w:t xml:space="preserve">zawiera większość listów Pawła i jest zwykle datowany na około 200 rok po Chrystusie (co czyni go naszym najstarszym zachowanym manuskryptem w tym miejscu). Odkryto go w piaskach Egiptu około 85 lat temu, a opinia uczonych wydaje się zgodna, że powstał w Egipcie. Otóż w tamtym czasie (200) „kościół chrześcijański” w Egipcie obejmował co najmniej jedenaście grup heretyckich, które były tak wyraźnie określone, że miały nazwy — walentynianie, bazylidianie, marcjonici, peraci, enkratyci, dokeci, haimetyci, kainici, ofici, symonianie i eutychici — lecz dominującą siłą w całej społeczności „chrześcijańskiej” był gnostycyzm. Tekst P</w:t>
      </w:r>
      <w:r>
        <w:rPr>
          <w:vertAlign w:val="superscript"/>
        </w:rPr>
        <w:t xml:space="preserve">46</w:t>
      </w:r>
      <w:r>
        <w:t xml:space="preserve"> </w:t>
      </w:r>
      <w:r>
        <w:t xml:space="preserve">w 1 Liście do Koryntian 8,2–3 jest po prostu gnostyckim tworem, który przez 17 stuleci był pogrzebany w piaskach Egiptu, lecz Fee proponuje go wskrzesić i przedstawić światu jako Prawdę Boga!</w:t>
      </w:r>
    </w:p>
    <w:p>
      <w:pPr>
        <w:pStyle w:val="BodyText"/>
      </w:pPr>
      <w:r>
        <w:t xml:space="preserve">Przeanalizujmy teraz postępowanie Fee. Zaczął od eklektycznego tekstu greckiego opartego na mniej niż 5% zachowanych greckich manuskryptów (tutaj około 700). Nie zadowalając się tym, proponuje trzy pominięcia oparte na jednym greckim manuskrypcie przeciwko każdemu innemu greckiemu manuskryptowi (około 700) i każdemu starożytnemu przekładowi, łącznie z egipskimi manuskryptami i przekładami (z wyjątkiem tego, że trzecie pominięcie znajduje się również w dwóch innych manuskryptach). Zauważ, że nie omawia dowodów, nie podejmuje próby wyjaśnienia, dlaczego albo jak każdy manuskrypt (z wyjątkiem P</w:t>
      </w:r>
      <w:r>
        <w:rPr>
          <w:vertAlign w:val="superscript"/>
        </w:rPr>
        <w:t xml:space="preserve">46</w:t>
      </w:r>
      <w:r>
        <w:t xml:space="preserve">) i przekład miałby być tutaj błędny. Cała jego argumentacja opiera się na subiektywnych rozważaniach, na tym, co</w:t>
      </w:r>
      <w:r>
        <w:t xml:space="preserve"> </w:t>
      </w:r>
      <w:r>
        <w:rPr>
          <w:iCs/>
          <w:i/>
          <w:u w:val="single"/>
        </w:rPr>
        <w:t xml:space="preserve">on</w:t>
      </w:r>
      <w:r>
        <w:t xml:space="preserve"> </w:t>
      </w:r>
      <w:r>
        <w:t xml:space="preserve">uważa za „pasujące do kontekstu”. Innymi słowy, Fee wynosi własne procesy umysłowe ponad Słowo Boga. On, Gordon Fee, ustali oryginalne sformułowania Świętego Tekstu na podstawie własnej wyobraźni. To jest bałwochwalstwo, przewrotne bałwochwalstwo.</w:t>
      </w:r>
    </w:p>
    <w:p>
      <w:pPr>
        <w:pStyle w:val="BodyText"/>
      </w:pPr>
      <w:r>
        <w:t xml:space="preserve">Rozważmy teraz konsekwencje dla doktryny natchnienia Pisma. Jeśli Fee ma rację, wówczas forma 1 Listu do Koryntian, którą kanonizowały poszczególne sobory Kościoła, jest błędna. Jeśli Kościół kanonizował błędny Tekst, skąd wiemy, że postąpił słusznie, w ogóle kanonizując tę księgę (1 List do Koryntian)? Co więcej, Kościół powszechny używał i zachowywał przez stulecia błędny tekst. Marcin Luter nie mógł wiedzieć, jaki był poprawny tekst 1 Listu do Koryntian — był pogrzebany w piaskach Egiptu (według Fee). Nie mógł tego wiedzieć także nikt inny w żadnym momencie między 300 a 1930 rokiem po Chrystusie — prawdziwy odczyt (według Fee) zniknął z wiedzy Kościoła. Żaden tłumacz ani uczony w 1900 roku po prostu nie mógł wiedzieć, jaki był prawdziwy odczyt — nie istniał. Co więcej, skąd wiemy, że jutro nie zostanie odkryty nowy papirus, nazwijmy go P</w:t>
      </w:r>
      <w:r>
        <w:rPr>
          <w:vertAlign w:val="superscript"/>
        </w:rPr>
        <w:t xml:space="preserve">201</w:t>
      </w:r>
      <w:r>
        <w:t xml:space="preserve">, który będzie miał wariant w miejscu, gdzie dotąd istnieje stuprocentowa zgodność? I co miałoby powstrzymać Fee przed powiedzeniem nam, że ten wariant jest w rzeczywistości oryginalnym odczytem? Innymi słowy, jeśli Fee ma rację, nie mamy pewności i nigdy nie możemy mieć pewności co do tego, jaki jest prawdziwy Tekst Pisma. Po co więc w takiej sytuacji próbować mówić o nieomylnym Tekście? I czy każde twierdzenie o natchnieniu nie staje się względne?</w:t>
      </w:r>
    </w:p>
    <w:p>
      <w:pPr>
        <w:pStyle w:val="BodyText"/>
      </w:pPr>
      <w:r>
        <w:t xml:space="preserve">Traktowanie 1 Listu do Koryntian 8,2–3 przez Fee jest jedynie skrajnym przykładem mentalności przenikającej nasze kościoły. Marginesy NIV i NASB pełne są uwag podważających zaufanie do integralności Tekstu:</w:t>
      </w:r>
      <w:r>
        <w:t xml:space="preserve"> </w:t>
      </w:r>
      <w:r>
        <w:rPr>
          <w:iCs/>
          <w:i/>
        </w:rPr>
        <w:t xml:space="preserve">„niektóre wczesne manuskrypty pomijają…”</w:t>
      </w:r>
      <w:r>
        <w:t xml:space="preserve">,</w:t>
      </w:r>
      <w:r>
        <w:t xml:space="preserve"> </w:t>
      </w:r>
      <w:r>
        <w:rPr>
          <w:iCs/>
          <w:i/>
        </w:rPr>
        <w:t xml:space="preserve">„wiele starożytnych autorytetów odczytuje…”</w:t>
      </w:r>
      <w:r>
        <w:t xml:space="preserve">,</w:t>
      </w:r>
      <w:r>
        <w:t xml:space="preserve"> </w:t>
      </w:r>
      <w:r>
        <w:rPr>
          <w:iCs/>
          <w:i/>
        </w:rPr>
        <w:t xml:space="preserve">„najwcześniejsi i najlepsi</w:t>
      </w:r>
      <w:r>
        <w:t xml:space="preserve"> </w:t>
      </w:r>
      <w:r>
        <w:t xml:space="preserve">(w rzeczywistości najgorsi)</w:t>
      </w:r>
      <w:r>
        <w:t xml:space="preserve"> </w:t>
      </w:r>
      <w:r>
        <w:rPr>
          <w:iCs/>
          <w:i/>
        </w:rPr>
        <w:t xml:space="preserve">świadkowie…”</w:t>
      </w:r>
      <w:r>
        <w:t xml:space="preserve">, nie wspominając o nawiasach w samym tekście, które mówią czytelnikowi, że zawarty w nich materiał „z pewnością nie jest autentyczny”. Dlaczego to robią? Ponieważ podążają za tekstem eklektycznym, a jego redaktorzy skonstruowali go na podstawie subiektywnych kryteriów, które z kolei opierają się na fałszywych założeniach wstępnych. Żaden z tych redaktorów nie wierzył jednak, że Biblia jest nieomylnym Słowem Boga — w istocie narzucili swemu tekstowi oczywiste błędy rzeczowe i sprzeczności. Czy nie kwalifikowaliby się jako „synowie nieposłuszeństwa” (List do Efezjan 2,2)? Jeśli tak, oznaczałoby to, że ich umysły były całkowicie otwarte na szatańską ingerencję. Jeśli ktoś sądzi, że Szatan przepuściłby taką sposobność do skażenia Świętego Tekstu, to naprawdę nie wierzy w to, co Biblia mówi o naszym wrogu!</w:t>
      </w:r>
    </w:p>
    <w:p>
      <w:pPr>
        <w:pStyle w:val="BodyText"/>
      </w:pPr>
      <w:r>
        <w:t xml:space="preserve">Wyrażenie „grzech pokoleniowy” oznacza, że grzech ten praktykuje całe pokolenie. Wiąże się z tym bardzo poważna konsekwencja: wszystkie następne pokolenia otrzymują ten grzech jako część swojej „puli genowej”, nie jest on postrzegany jako „grzech”, lecz jako „prawda”. Ponieważ jednak w rzeczywistości jest kłamstwem, staje się warownią Szatana w ich umysłach i nie jest kwestionowany. Jedyne uwolnienie od tego grzechu następuje wtedy, gdy ktoś wraca do jego początku oraz analizuje i ujawnia fałszywe założenia wstępne i rozumowanie, które dały początek grzechowi. Osoba taka nie powinna jednak oczekiwać dobrego przyjęcia. Z pewnością będzie prześladowana przez „Establishment”. Jeśli jednak ma sposób rozpowszechniania swoich ustaleń, może wpłynąć na przyszłość.</w:t>
      </w:r>
    </w:p>
    <w:p>
      <w:pPr>
        <w:pStyle w:val="BodyText"/>
      </w:pPr>
      <w:r>
        <w:t xml:space="preserve">Rozważmy teraz konsekwencje tego grzechu pokoleniowego. Coraz trudniej jest rzeczywiście prowadzić lekcję szkoły niedzielnej — w sali może znajdować się sześć różnych przekładów i zaczynamy omawiać różne teksty i tłumaczenia, nie ma autorytetu pozwalającego dokonać wyboru, nikt nie wie na pewno, czym jest słowo Boga! Przypisy wraz z różnicami między przekładami (często znaczącymi) podważyły zaufanie ludzi do integralności Tekstu. Jeśli kaznodzieja emenduje Tekst z kazalnicy, zamieszanie zostaje spotęgowane. Autorytet Pism został podważony. Niewielu ma pewność, by powstać i powiedzieć: „Tak mówi PAN!”. Praktyczny skutek jest taki, że ilekroć jakaś nauka Pisma staje się niewygodna z przyczyn osobistych albo kulturowych, po prostu mówimy o wszystkim wokół niej, wyjaśniamy ją tak, by ją usunąć, albo zwyczajnie wzruszamy ramionami. Bezwarunkowe posłuszeństwo zwykłemu znaczeniu Tekstu jest teraz beznadziejnie niemodne! Ostatecznie w dzisiejszych czasach to nasz rozum i logika (łagodzone przez naszą wygodę) są ostatecznym autorytetem, ostatecznym arbitrem — Słowo Boga już nad nami nie panuje, to my panujemy nad nim (</w:t>
      </w:r>
      <w:r>
        <w:rPr>
          <w:iCs/>
          <w:i/>
        </w:rPr>
        <w:t xml:space="preserve">à la</w:t>
      </w:r>
      <w:r>
        <w:t xml:space="preserve"> </w:t>
      </w:r>
      <w:r>
        <w:t xml:space="preserve">Fee).</w:t>
      </w:r>
    </w:p>
    <w:p>
      <w:pPr>
        <w:pStyle w:val="BodyText"/>
      </w:pPr>
      <w:r>
        <w:t xml:space="preserve">Dlaczego Bóg miałby błogosławić nasz kraj, nasz kościół, nasze domy, nasze życie, skoro trwamy w tak zgubnej formie bałwochwalstwa?</w:t>
      </w:r>
    </w:p>
    <w:bookmarkEnd w:id="531"/>
    <w:bookmarkEnd w:id="532"/>
    <w:bookmarkStart w:id="533" w:name="metoda-genealogiczna-oparta-na-spójności"/>
    <w:p>
      <w:pPr>
        <w:pStyle w:val="Heading2"/>
      </w:pPr>
      <w:r>
        <w:t xml:space="preserve">Metoda genealogiczna oparta na spójności</w:t>
      </w:r>
    </w:p>
    <w:p>
      <w:pPr>
        <w:pStyle w:val="FirstParagraph"/>
      </w:pPr>
      <w:r>
        <w:t xml:space="preserve">Każdy, kto w jakikolwiek sposób zajmuje się krytyką tekstu Nowego Testamentu, przypuszczalnie słyszał o Metodzie genealogicznej opartej na spójności (</w:t>
      </w:r>
      <w:r>
        <w:rPr>
          <w:iCs/>
          <w:i/>
        </w:rPr>
        <w:t xml:space="preserve">Coherence-Based Genealogical Method</w:t>
      </w:r>
      <w:r>
        <w:t xml:space="preserve">, CBGM). Ilekroć widzisz wyrażenie „metoda genealogiczna”, powinieneś powiedzieć sobie: „Aha, to będzie po prostu kolejna próba uniknięcia harówki polegającej na kolacjonowaniu wszystkich manuskryptów”. Ponieważ sam skolacjonowałem co najmniej jedną księgę w ponad stu manuskryptach (ponad 30 w całości), mogę zapewnić, że rzeczywiście jest to harówka, niewolnicza praca.</w:t>
      </w:r>
    </w:p>
    <w:p>
      <w:pPr>
        <w:pStyle w:val="BodyText"/>
      </w:pPr>
      <w:r>
        <w:t xml:space="preserve">CBGM jest zasadniczo kolejną próbą uniknięcia pracy polegającej na kolacjonowaniu wszystkich zachowanych manuskryptów. Używa komputera do wykreślania prawdopodobieństw. Głównym problemem tej metody (z naszego punktu widzenia) jest to, że na niemal każdym etapie procedury krytyk musi dokonywać subiektywnych wyborów, a będzie ich dokonywał przy użyciu tych samych kryteriów, których używa się w eklektyzmie (preferuj trudniejszy odczyt, krótszy odczyt i tak dalej). W niedawnym</w:t>
      </w:r>
      <w:r>
        <w:t xml:space="preserve"> </w:t>
      </w:r>
      <w:r>
        <w:rPr>
          <w:iCs/>
          <w:i/>
        </w:rPr>
        <w:t xml:space="preserve">ECM</w:t>
      </w:r>
      <w:r>
        <w:t xml:space="preserve"> </w:t>
      </w:r>
      <w:r>
        <w:t xml:space="preserve">Dziejów Apostolskich Klaus Wachtel stwierdza jasno: „Na pierwszym etapie stosuje się tradycyjne metody eklektycznej krytyki tekstu” (s. 28*). Zasadniczo jest to więc stary eklektyzm przebrany w nowe szaty. Metoda nie jest empiryczna, chociaż wykorzystuje rzeczywiste warianty.</w:t>
      </w:r>
    </w:p>
    <w:p>
      <w:pPr>
        <w:pStyle w:val="BodyText"/>
      </w:pPr>
      <w:r>
        <w:t xml:space="preserve">Tendencję tę ilustruje seria</w:t>
      </w:r>
      <w:r>
        <w:t xml:space="preserve"> </w:t>
      </w:r>
      <w:r>
        <w:rPr>
          <w:iCs/>
          <w:i/>
        </w:rPr>
        <w:t xml:space="preserve">Editio Critica Maior</w:t>
      </w:r>
      <w:r>
        <w:t xml:space="preserve"> </w:t>
      </w:r>
      <w:r>
        <w:t xml:space="preserve">(</w:t>
      </w:r>
      <w:r>
        <w:rPr>
          <w:iCs/>
          <w:i/>
        </w:rPr>
        <w:t xml:space="preserve">ECM</w:t>
      </w:r>
      <w:r>
        <w:t xml:space="preserve">) dla Listów Ogólnych. Dla Listu Jakuba uwzględniono 182 manuskrypty spośród 522 kompletnych manuskryptów i większych fragmentów. Zgodnie z własną definicją uwzględniono 78 manuskryptów, które uznano za tak bizantyjskie, że zgrupowano je pod symbolem „</w:t>
      </w:r>
      <w:r>
        <w:rPr>
          <w:bCs/>
          <w:b/>
        </w:rPr>
        <w:t xml:space="preserve">Byz</w:t>
      </w:r>
      <w:r>
        <w:t xml:space="preserve">”. Jednak dla pozostałych sześciu ksiąg całkowitą liczbę manuskryptów zmniejszono średnio o 50, podczas gdy całkowitą liczbę manuskryptów „</w:t>
      </w:r>
      <w:r>
        <w:rPr>
          <w:bCs/>
          <w:b/>
        </w:rPr>
        <w:t xml:space="preserve">Byz</w:t>
      </w:r>
      <w:r>
        <w:t xml:space="preserve">” zmniejszono średnio o 35. Z mojego punktu widzenia</w:t>
      </w:r>
      <w:r>
        <w:t xml:space="preserve"> </w:t>
      </w:r>
      <w:r>
        <w:rPr>
          <w:iCs/>
          <w:i/>
        </w:rPr>
        <w:t xml:space="preserve">ECM</w:t>
      </w:r>
      <w:r>
        <w:t xml:space="preserve"> </w:t>
      </w:r>
      <w:r>
        <w:t xml:space="preserve">Listu Jakuba jest wyraźnie bardziej użyteczne niż pozostałych sześć ksiąg.</w:t>
      </w:r>
    </w:p>
    <w:p>
      <w:pPr>
        <w:pStyle w:val="BodyText"/>
      </w:pPr>
      <w:r>
        <w:t xml:space="preserve">W</w:t>
      </w:r>
      <w:r>
        <w:t xml:space="preserve"> </w:t>
      </w:r>
      <w:r>
        <w:rPr>
          <w:iCs/>
          <w:i/>
        </w:rPr>
        <w:t xml:space="preserve">ECM</w:t>
      </w:r>
      <w:r>
        <w:t xml:space="preserve"> </w:t>
      </w:r>
      <w:r>
        <w:t xml:space="preserve">Dziejów Apostolskich nadal nazywają tekst bizantyjski „starannie kontrolowaną formą” (s. 18</w:t>
      </w:r>
      <w:r>
        <w:rPr>
          <w:iCs/>
          <w:i/>
        </w:rPr>
        <w:t xml:space="preserve">), podobnie jak uczynili dwadzieścia lat wcześniej w</w:t>
      </w:r>
      <w:r>
        <w:rPr>
          <w:iCs/>
          <w:i/>
        </w:rPr>
        <w:t xml:space="preserve"> </w:t>
      </w:r>
      <w:r>
        <w:t xml:space="preserve">ECM* Listu Jakuba (s. 11*), nigdy jednak nie mówią, kto sprawował kontrolę. Powód jest prosty: nie mogą, ponieważ stwierdzenie to jest fałszywe. Powtarzają jedynie hołubioną kaczkę dziennikarską.</w:t>
      </w:r>
    </w:p>
    <w:bookmarkEnd w:id="533"/>
    <w:bookmarkStart w:id="567" w:name="X0bbc3bb85cb85f5389ff1a4bce576e42d5c9f7a"/>
    <w:p>
      <w:pPr>
        <w:pStyle w:val="Heading2"/>
      </w:pPr>
      <w:r>
        <w:t xml:space="preserve">Czy krytyka tekstu Nowego Testamentu jest nauką?</w:t>
      </w:r>
    </w:p>
    <w:p>
      <w:pPr>
        <w:pStyle w:val="FirstParagraph"/>
      </w:pPr>
      <w:r>
        <w:t xml:space="preserve">Czy kiedykolwiek słyszałeś albo czytałeś (lub wypowiedziałeś) wyrażenie „nauka krytyki tekstu Nowego Testamentu”? A co z wyrażeniem „krytyk tekstu”? Co zatem robi krytyk? Krytykuje. Co krytykuje? W tym przypadku jest to tekst Nowego Testamentu w języku greckim. Co jednak dokładnie krytykuje? Krytyk literacki przygląda się takim rzeczom jak styl i dobór słownictwa, komentator próbuje ustalić znaczenie zamierzone przez autora tekstu. Co zatem robi krytyk tekstu? Próbuje odtworzyć oryginalne sformułowania tekstu — zauważ, że zakłada, iż oryginalne sformułowania „zaginęły”, w tym sensie, że nikt nie wie na pewno, jakie są lub były. (Zauważ również, że stawia to krytyka ponad tekstem, do czego wrócę). Krytyka tekstu istnieje tylko w odniesieniu do tekstów, których oryginalne sformułowania uznaje się za „zaginione”. Nikt nie uprawia krytyki tekstu dzisiejszej gazety ani zeszłotygodniowego magazynu informacyjnego. Nikt nie uprawia nawet krytyki tekstu Biblii Króla Jakuba z 1611 roku, ponieważ nadal mamy jej drukowane egzemplarze. Wszelkie argumenty dotyczące KJV należą do innych kategorii, nie są krytyką tekstu.</w:t>
      </w:r>
    </w:p>
    <w:p>
      <w:pPr>
        <w:pStyle w:val="BodyText"/>
      </w:pPr>
      <w:r>
        <w:t xml:space="preserve">Każdy, kto zna ten teren, wie, że przez ostatnie 150 lat (co najmniej) świat akademicki był zdominowany przez pogląd, iż oryginalne sformułowania tekstu Nowego Testamentu rzeczywiście „zaginęły”. Tytułem ilustracji około 65 lat temu Robert M. Grant napisał: „powszechnie uznaje się, że oryginalnego tekstu Biblii nie można odzyskać”.</w:t>
      </w:r>
      <w:r>
        <w:rPr>
          <w:rStyle w:val="FootnoteReference"/>
        </w:rPr>
        <w:footnoteReference w:id="534"/>
      </w:r>
      <w:r>
        <w:t xml:space="preserve"> </w:t>
      </w:r>
      <w:r>
        <w:t xml:space="preserve">Kilka dalszych odniesień powtarzających tę opinię można znaleźć na stronach 3–4 mojego</w:t>
      </w:r>
      <w:r>
        <w:t xml:space="preserve"> </w:t>
      </w:r>
      <w:r>
        <w:rPr>
          <w:iCs/>
          <w:i/>
        </w:rPr>
        <w:t xml:space="preserve">Identity IV</w:t>
      </w:r>
      <w:r>
        <w:t xml:space="preserve">. Zanim spróbuję obalić tę — jak uważam — fikcję (kaczkę dziennikarską?), naszkicuję nieco istotnej historii.</w:t>
      </w:r>
    </w:p>
    <w:bookmarkStart w:id="543" w:name="nieco-istotnej-historii-1"/>
    <w:p>
      <w:pPr>
        <w:pStyle w:val="Heading3"/>
      </w:pPr>
      <w:r>
        <w:t xml:space="preserve">Nieco istotnej historii</w:t>
      </w:r>
    </w:p>
    <w:p>
      <w:pPr>
        <w:pStyle w:val="FirstParagraph"/>
      </w:pPr>
      <w:r>
        <w:t xml:space="preserve">Dyscyplina, jaką znamy, jest zasadniczo „dzieckiem” Europy Zachodniej i jej kolonii, Wschodnie Kościoły Prawosławne na ogół nie były w nią zaangażowane. (Zawsze wiedziały, że prawdziwy Tekst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 Krótko mówiąc, Kościół rzymski zmusił reformację do zmierzenia się ze zróżnicowaniem tekstowym wśród greckich manuskryptów. Reformatorzy nie wiedzieli jednak, jak się do tego zabrać, ponieważ była to nowa dziedzina badań i po prostu nie posiadali wystarczającej części istotnych dowodów.</w:t>
      </w:r>
      <w:r>
        <w:rPr>
          <w:rStyle w:val="FootnoteReference"/>
        </w:rPr>
        <w:footnoteReference w:id="535"/>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 List do Efezjan 2,2.</w:t>
      </w:r>
      <w:r>
        <w:rPr>
          <w:rStyle w:val="FootnoteReference"/>
        </w:rPr>
        <w:footnoteReference w:id="536"/>
      </w:r>
      <w:r>
        <w:t xml:space="preserve"> </w:t>
      </w:r>
      <w:r>
        <w:t xml:space="preserve">„Synowie nieposłuszeństwa” przyłączyli się do ataku na Pismo. Tak zwana „wyższa krytyka” całkowicie zaprzeczyła boskiemu natchnieniu. Inni wykorzystali zróżnicowanie tekstowe, by argumentować, że w każdym razie oryginalne sformułowania „zaginęły”, ponieważ nie istnieje żaden obiektywny sposób ustalenia, jakie mogły być (to znaczy w tamtym czasie nie potrafili dostrzec takiego sposobu).</w:t>
      </w:r>
    </w:p>
    <w:p>
      <w:pPr>
        <w:pStyle w:val="BodyText"/>
      </w:pPr>
      <w:r>
        <w:t xml:space="preserve">Ważnym czynnikiem było bezkrytyczne założenie, że „najstarsze znaczy najlepsze”, a w miarę odkrywania wcześniejszych uncjałów nabierało ono coraz większego znaczenia. Zarówno Kodeks Watykański, jak i Kodeks Bezy były dostępne od dawna, a tylko w Ewangeliach występują między nimi tysiące rozbieżności (w Dziejach Apostolskich Beza jest niepohamowany niemal ponad wszelką wiarę). Jeśli „najstarsze znaczy najlepsze”, a najstarsze manuskrypty nieustannie i masowo nie zgadzają się między sobą, wówczas odzyskanie zaginionego tekstu staje się beznadziejne. Czy to do ciebie dotarło? Beznadziejne, całkowicie beznadziejne! Argumentowałem jednak, że „najstarsze znaczy najgorsze”, a to radykalnie zmienia obraz.</w:t>
      </w:r>
      <w:r>
        <w:rPr>
          <w:rStyle w:val="FootnoteReference"/>
        </w:rPr>
        <w:footnoteReference w:id="537"/>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 i rozum. Jak dotąd wszystko dobrze, lecz wielu nie chciało Pisma, pozostał im więc tylko 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w:t>
      </w:r>
    </w:p>
    <w:p>
      <w:pPr>
        <w:pStyle w:val="BodyText"/>
      </w:pPr>
      <w:r>
        <w:t xml:space="preserve">Wszystko to postawiło obrońców natchnionej greckiej Biblii w defensywie, przed bardzo realnym problemem ustalenia, gdzie najlepiej wyznaczyć obwód obronny.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538"/>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539"/>
      </w:r>
      <w:r>
        <w:t xml:space="preserve"> </w:t>
      </w:r>
      <w:r>
        <w:t xml:space="preserve">Jego teoria krytyki tekstu Nowego Testamentu, opublikowana w 1881 roku,</w:t>
      </w:r>
      <w:r>
        <w:rPr>
          <w:rStyle w:val="FootnoteReference"/>
        </w:rPr>
        <w:footnoteReference w:id="540"/>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541"/>
      </w:r>
    </w:p>
    <w:p>
      <w:pPr>
        <w:pStyle w:val="BodyText"/>
      </w:pPr>
      <w:r>
        <w:t xml:space="preserve">Co więcej, Hort twierdził, że wskutek jego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w:t>
      </w:r>
      <w:r>
        <w:rPr>
          <w:rStyle w:val="FootnoteReference"/>
        </w:rPr>
        <w:footnoteReference w:id="542"/>
      </w:r>
    </w:p>
    <w:bookmarkEnd w:id="543"/>
    <w:bookmarkStart w:id="553" w:name="charakter-przedsięwzięcia-naukowego"/>
    <w:p>
      <w:pPr>
        <w:pStyle w:val="Heading3"/>
      </w:pPr>
      <w:r>
        <w:t xml:space="preserve">Charakter przedsięwzięcia naukowego</w:t>
      </w:r>
    </w:p>
    <w:p>
      <w:pPr>
        <w:pStyle w:val="FirstParagraph"/>
      </w:pPr>
      <w:r>
        <w:t xml:space="preserve">Tyle mojego szkicu historii. Wrócę teraz do pytania zawartego w tytule. Na początek zauważam i obstaję przy tym, że w każdym przedsięwzięciu naukowym należy rygorystycznie rozróżniać dowody, interpretację i założenia wstępne. Przedstawianie własnych założeń wstępnych jako części dowodów jest nieuczciwe (opinia nie jest dowodem). Jeśli zatem krytyka tekstu Nowego Testamentu ma być „nauką”, założenia wstępne trzeba wykluczyć. Jeśli jednak wykluczymy założenie, że oryginalne sformułowania „zaginęły”, krytyka tekstu przestaje istnieć, a jak można mieć „naukę” o czymś, co nie istnieje? Nauka to jedno, teoria to co innego. Teoria z konieczności opiera się na założeniu wstępnym, dlatego uprawnione jest mówienie o hortowskiej teorii krytyki tekstu, ponieważ Hort uważał oryginalne sformułowania za zaginione. Moja własna teoria nie obejmuje krytyki tekstu, ponieważ uważam, że oryginalne sformułowania nie zaginęły. Bronię teorii Boskiego zachowania Tekstu Nowego Testamentu.</w:t>
      </w:r>
      <w:r>
        <w:rPr>
          <w:rStyle w:val="FootnoteReference"/>
        </w:rPr>
        <w:footnoteReference w:id="544"/>
      </w:r>
    </w:p>
    <w:p>
      <w:pPr>
        <w:pStyle w:val="BodyText"/>
      </w:pPr>
      <w:r>
        <w:t xml:space="preserve">Do tej pory dla czytelnika powinno stać się oczywiste, że kwestia „zaginionego” oryginału jest sednem, centralnym zagadnieniem każdej próby rozpoznania oryginalnych sformułowań Nowego Testamentu. Przechodzę więc teraz do tej kwestii. Dla uczciwości trzeba rozpoznać dwie definicje słowa „zaginiony”: 1) zaginiony bez możliwości odzyskania, przynajmniej środkami obiektywnymi, 2) utracony z pola widzenia, w tym sensie, że dostępne dowody nie zostały zbadane wystarczająco, aby pozwolić na empiryczny wybór między konkurującymi wariantami. Uważam, że moje</w:t>
      </w:r>
      <w:r>
        <w:t xml:space="preserve"> </w:t>
      </w:r>
      <w:r>
        <w:rPr>
          <w:iCs/>
          <w:i/>
        </w:rPr>
        <w:t xml:space="preserve">Identity IV</w:t>
      </w:r>
      <w:r>
        <w:t xml:space="preserve"> </w:t>
      </w:r>
      <w:r>
        <w:t xml:space="preserve">przedstawia więcej niż dostateczne dowody wykazujące, iż pierwsza definicja jest fałszywa. Teoria Horta i wszystkie jej pochodne, takie jak eklektyzm (dowolnego rodzaju), nie są nauką i nie można ich uczciwie nazywać nauką. Druga definicja pozwala na postępowanie naukowe. Sugeruję i zalecam, abyśmy zaczęli używać terminu „manuskryptologia” zamiast „krytyka tekstu” — manuskryptologia odnosi się do badania manuskryptów i jest neutralna względem założeń wstępnych. Każde przedsięwzięcie naukowe powinno rozpoczynać się od dowodów, jakie są zatem dowody?</w:t>
      </w:r>
    </w:p>
    <w:p>
      <w:pPr>
        <w:pStyle w:val="BodyText"/>
      </w:pPr>
      <w:r>
        <w:t xml:space="preserve">Dowodów pierwszorzędnych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są pomocnicze. Gdy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545"/>
      </w:r>
      <w:r>
        <w:t xml:space="preserve"> </w:t>
      </w:r>
      <w:r>
        <w:t xml:space="preserve">Gdy wszystkie są zgodne, nie może istnieć uprawniona wątpliwość co do oryginalnych sformułowań. Co jednak, jeśli ujawni się wczesny papirus zawierający wariant, czy zmienia to obraz? Sam fakt, że jest wczesny, sugeruje, iż jest zły, dlaczego nie został zużyty wskutek używania?</w:t>
      </w:r>
    </w:p>
    <w:p>
      <w:pPr>
        <w:pStyle w:val="BodyText"/>
      </w:pPr>
      <w:r>
        <w:t xml:space="preserve">Prawdopodobnie wszyscy słyszeliśmy albo czytaliśmy kaczkę dziennikarską: „manuskrypty należy ważyć, nie liczyć”. Podstawowe znaczenie czasownika „ważyć” odnosi się do obiektywnej procedury, dokonuje się tego przy użyciu fizycznie weryfikowalnych odważników. Czy jednak zwolennicy Horta (którzy przede wszystkim wciąż to powtarzają) „ważą” manuskrypty przy użyciu obiektywnych kryteriów? Nie, dlatego nazywam to „kaczką dziennikarską”. Mimo to poddaję pod rozwagę wszystkich zainteresowanych, że rzeczywiście możliwe jest ważenie manuskryptów przy użyciu obiektywnych kryteriów.</w:t>
      </w:r>
    </w:p>
    <w:p>
      <w:pPr>
        <w:pStyle w:val="BodyText"/>
      </w:pPr>
      <w:r>
        <w:t xml:space="preserve">Jak dokładnie należy ważyć manuskrypty? I kto mógłby mieć kwalifikacje do przeprowadzenia ważenia? Jak czytelnik jest już dobrze świadomy, Hort i większość późniejszych uczonych dokonywali swojego „ważenia” na podstawie tak zwanych „dowodów wewnętrznych” — dwa standardowe kryteria brzmią: „wybierz odczyt pasujący do kontekstu” oraz „wybierz odczyt wyjaśniający powstanie drugiego odczytu”.</w:t>
      </w:r>
    </w:p>
    <w:p>
      <w:pPr>
        <w:pStyle w:val="BodyText"/>
      </w:pPr>
      <w:r>
        <w:t xml:space="preserve">Jeden problem z takim postępowaniem dobrze wyraził E.C. Colwell: „W rzeczywistości te dwa standardowe kryteria oceny wewnętrznych dowodów odczytów mogą łatwo wzajemnie się znosić i pozostawiać uczonemu swobodę wyboru według jego własnych uprzednich sądów”.</w:t>
      </w:r>
      <w:r>
        <w:rPr>
          <w:rStyle w:val="FootnoteReference"/>
        </w:rPr>
        <w:footnoteReference w:id="546"/>
      </w:r>
      <w:r>
        <w:t xml:space="preserve"> </w:t>
      </w:r>
      <w:r>
        <w:t xml:space="preserve">Co więcej, „im większą wiedzę posiada uczony, tym łatwiej jest mu przedstawić rozsądną obronę obu odczytów…”.</w:t>
      </w:r>
      <w:r>
        <w:rPr>
          <w:rStyle w:val="FootnoteReference"/>
        </w:rPr>
        <w:footnoteReference w:id="547"/>
      </w:r>
      <w:r>
        <w:t xml:space="preserve"> </w:t>
      </w:r>
      <w:r>
        <w:t xml:space="preserve">Cały proces jest tak subiektywny, że czyni ze słowa „ważyć” kpinę. Podstawowe znaczenie tego terminu obejmuje ocenę dokonaną przez obiektywny przyrząd. Jeśli chcemy, by nasze ważenie manuskryptów miało obiektywną ważność, musimy znaleźć obiektywną procedurę.</w:t>
      </w:r>
    </w:p>
    <w:p>
      <w:pPr>
        <w:pStyle w:val="BodyText"/>
      </w:pPr>
      <w:r>
        <w:t xml:space="preserve">Jak w rzeczywistym życiu oceniamy wiarygodność świadka? Obserwujemy, jak się zachowuje, słuchamy, co mówi i jak to mówi, oraz słuchamy opinii jego sąsiadów i współpracowników. Jeśli potrafimy wykazać, że świadek jest nałogowym kłamcą albo że jego zdolności krytyczne są upośledzone, przyjmujemy jego świadectwo ze sceptycyzmem. W znacznym zakresie możliwe jest ocenianie manuskryptów w podobny sposób i trudno zrozumieć, dlaczego uczeni na ogół zaniedbywali takiego postępowania.</w:t>
      </w:r>
    </w:p>
    <w:p>
      <w:pPr>
        <w:pStyle w:val="BodyText"/>
      </w:pPr>
      <w:r>
        <w:t xml:space="preserve">Czy możemy obiektywnie „zważyć” P</w:t>
      </w:r>
      <w:r>
        <w:rPr>
          <w:vertAlign w:val="superscript"/>
        </w:rPr>
        <w:t xml:space="preserve">66</w:t>
      </w:r>
      <w:r>
        <w:t xml:space="preserve"> </w:t>
      </w:r>
      <w:r>
        <w:t xml:space="preserve">jako świadka? (Jest najstarszym spośród wszystkich o znacznej objętości). Otóż na przestrzeni Ewangelii Jana (niekompletnej) ma ponad 900 jasnych, niewątpliwych błędów — jako świadek tożsamości tekstu Ewangelii Jana wprowadził nas w błąd ponad 900 razy. Czy P</w:t>
      </w:r>
      <w:r>
        <w:rPr>
          <w:vertAlign w:val="superscript"/>
        </w:rPr>
        <w:t xml:space="preserve">66</w:t>
      </w:r>
      <w:r>
        <w:t xml:space="preserve"> </w:t>
      </w:r>
      <w:r>
        <w:t xml:space="preserve">jest wiarygodnym świadkiem? Argumentowałbym, że żaden ze skrybów P</w:t>
      </w:r>
      <w:r>
        <w:rPr>
          <w:vertAlign w:val="superscript"/>
        </w:rPr>
        <w:t xml:space="preserve">66</w:t>
      </w:r>
      <w:r>
        <w:t xml:space="preserve"> </w:t>
      </w:r>
      <w:r>
        <w:t xml:space="preserve">i P</w:t>
      </w:r>
      <w:r>
        <w:rPr>
          <w:vertAlign w:val="superscript"/>
        </w:rPr>
        <w:t xml:space="preserve">75</w:t>
      </w:r>
      <w:r>
        <w:t xml:space="preserve"> </w:t>
      </w:r>
      <w:r>
        <w:t xml:space="preserve">nie znał greki, czy nie powinniśmy powiedzieć, że jako świadkowie byli upośledzeni?</w:t>
      </w:r>
      <w:r>
        <w:rPr>
          <w:rStyle w:val="FootnoteReference"/>
        </w:rPr>
        <w:footnoteReference w:id="548"/>
      </w:r>
    </w:p>
    <w:p>
      <w:pPr>
        <w:pStyle w:val="BodyText"/>
      </w:pPr>
      <w:r>
        <w:t xml:space="preserve">P</w:t>
      </w:r>
      <w:r>
        <w:rPr>
          <w:vertAlign w:val="superscript"/>
        </w:rPr>
        <w:t xml:space="preserve">75</w:t>
      </w:r>
      <w:r>
        <w:t xml:space="preserve"> </w:t>
      </w:r>
      <w:r>
        <w:t xml:space="preserve">pod względem daty umieszcza się blisko P</w:t>
      </w:r>
      <w:r>
        <w:rPr>
          <w:vertAlign w:val="superscript"/>
        </w:rPr>
        <w:t xml:space="preserve">66</w:t>
      </w:r>
      <w:r>
        <w:t xml:space="preserve">. Chociaż nie jest tak zły jak P</w:t>
      </w:r>
      <w:r>
        <w:rPr>
          <w:vertAlign w:val="superscript"/>
        </w:rPr>
        <w:t xml:space="preserve">66</w:t>
      </w:r>
      <w:r>
        <w:t xml:space="preserve">, trudno uznać go za dobrą kopię. Colwell znalazł w P</w:t>
      </w:r>
      <w:r>
        <w:rPr>
          <w:vertAlign w:val="superscript"/>
        </w:rPr>
        <w:t xml:space="preserve">75</w:t>
      </w:r>
      <w:r>
        <w:t xml:space="preserve"> </w:t>
      </w:r>
      <w:r>
        <w:t xml:space="preserve">około 145 itacyzmów oraz 257 innych odczytów singularnych, z których 25% jest bezsensownych.</w:t>
      </w:r>
      <w:r>
        <w:rPr>
          <w:rStyle w:val="FootnoteReference"/>
        </w:rPr>
        <w:footnoteReference w:id="549"/>
      </w:r>
      <w:r>
        <w:t xml:space="preserve"> </w:t>
      </w:r>
      <w:r>
        <w:t xml:space="preserve">Chociaż Colwell przypisuje skrybie P</w:t>
      </w:r>
      <w:r>
        <w:rPr>
          <w:vertAlign w:val="superscript"/>
        </w:rPr>
        <w:t xml:space="preserve">75</w:t>
      </w:r>
      <w:r>
        <w:t xml:space="preserve"> </w:t>
      </w:r>
      <w:r>
        <w:t xml:space="preserve">zasługę podjęcia próby sporządzenia dobrej kopii, P</w:t>
      </w:r>
      <w:r>
        <w:rPr>
          <w:vertAlign w:val="superscript"/>
        </w:rPr>
        <w:t xml:space="preserve">75</w:t>
      </w:r>
      <w:r>
        <w:t xml:space="preserve"> </w:t>
      </w:r>
      <w:r>
        <w:t xml:space="preserve">wygląda dobrze tylko w porównaniu z P</w:t>
      </w:r>
      <w:r>
        <w:rPr>
          <w:vertAlign w:val="superscript"/>
        </w:rPr>
        <w:t xml:space="preserve">66</w:t>
      </w:r>
      <w:r>
        <w:t xml:space="preserve">. (Gdyby poproszono cię o ręczne przepisanie Ewangelii Jana, czy popełniłbyś ponad 400 błędów? Spróbuj i zobacz!). Należy pamiętać, że liczby podane przez Colwella dotyczą wyłącznie błędów będących wyłączną własnością poszczególnych manuskryptów. Bez wątpienia zawierają one wiele innych błędów, które przypadkiem znajdują się również w jakimś innym świadku lub świadkach. Innymi słowy, są w rzeczywistości jeszcze gorsze, niż wskazują liczby Colwella.</w:t>
      </w:r>
    </w:p>
    <w:p>
      <w:pPr>
        <w:pStyle w:val="BodyText"/>
      </w:pPr>
      <w:r>
        <w:t xml:space="preserve">Następnie rozważymy P</w:t>
      </w:r>
      <w:r>
        <w:rPr>
          <w:vertAlign w:val="superscript"/>
        </w:rPr>
        <w:t xml:space="preserve">45</w:t>
      </w:r>
      <w:r>
        <w:t xml:space="preserve">, choć jest datowany nieco później, ponieważ stanowi trzeciego członka badania Colwella. Znalazł w P</w:t>
      </w:r>
      <w:r>
        <w:rPr>
          <w:vertAlign w:val="superscript"/>
        </w:rPr>
        <w:t xml:space="preserve">45</w:t>
      </w:r>
      <w:r>
        <w:t xml:space="preserve"> </w:t>
      </w:r>
      <w:r>
        <w:t xml:space="preserve">około 90 itacyzmów oraz 275 innych odczytów singularnych, z których 10% jest bezsensownych (</w:t>
      </w:r>
      <w:r>
        <w:rPr>
          <w:iCs/>
          <w:i/>
        </w:rPr>
        <w:t xml:space="preserve">tamże</w:t>
      </w:r>
      <w:r>
        <w:t xml:space="preserve">). P</w:t>
      </w:r>
      <w:r>
        <w:rPr>
          <w:vertAlign w:val="superscript"/>
        </w:rPr>
        <w:t xml:space="preserve">45</w:t>
      </w:r>
      <w:r>
        <w:t xml:space="preserve"> </w:t>
      </w:r>
      <w:r>
        <w:t xml:space="preserve">jest jednak krótszy od P</w:t>
      </w:r>
      <w:r>
        <w:rPr>
          <w:vertAlign w:val="superscript"/>
        </w:rPr>
        <w:t xml:space="preserve">66</w:t>
      </w:r>
      <w:r>
        <w:t xml:space="preserve"> </w:t>
      </w:r>
      <w:r>
        <w:t xml:space="preserve">(P</w:t>
      </w:r>
      <w:r>
        <w:rPr>
          <w:vertAlign w:val="superscript"/>
        </w:rPr>
        <w:t xml:space="preserve">75</w:t>
      </w:r>
      <w:r>
        <w:t xml:space="preserve"> </w:t>
      </w:r>
      <w:r>
        <w:t xml:space="preserve">jest dłuższy), dlatego w ujęciu porównawczym nie jest o tyle lepszy, o ile liczby mogłyby sugerować na pierwszy rzut oka. Colwell komentuje P</w:t>
      </w:r>
      <w:r>
        <w:rPr>
          <w:vertAlign w:val="superscript"/>
        </w:rPr>
        <w:t xml:space="preserve">45</w:t>
      </w:r>
      <w:r>
        <w:t xml:space="preserve"> </w:t>
      </w:r>
      <w:r>
        <w:t xml:space="preserve">następująco:</w:t>
      </w:r>
    </w:p>
    <w:p>
      <w:pPr>
        <w:pStyle w:val="BlockText"/>
      </w:pPr>
      <w:r>
        <w:t xml:space="preserve">Innym sposobem powiedzenia tego jest to, że gdy skryba P</w:t>
      </w:r>
      <w:r>
        <w:rPr>
          <w:vertAlign w:val="superscript"/>
        </w:rPr>
        <w:t xml:space="preserve">45</w:t>
      </w:r>
      <w:r>
        <w:t xml:space="preserve"> </w:t>
      </w:r>
      <w:r>
        <w:t xml:space="preserve">tworzy odczyt singularny, niemal zawsze ma on sens, gdy skrybowie P</w:t>
      </w:r>
      <w:r>
        <w:rPr>
          <w:vertAlign w:val="superscript"/>
        </w:rPr>
        <w:t xml:space="preserve">66</w:t>
      </w:r>
      <w:r>
        <w:t xml:space="preserve"> </w:t>
      </w:r>
      <w:r>
        <w:t xml:space="preserve">i P</w:t>
      </w:r>
      <w:r>
        <w:rPr>
          <w:vertAlign w:val="superscript"/>
        </w:rPr>
        <w:t xml:space="preserve">75</w:t>
      </w:r>
      <w:r>
        <w:t xml:space="preserve"> </w:t>
      </w:r>
      <w:r>
        <w:t xml:space="preserve">tworzą odczyty singularne, często nie mają one sensu i są oczywistymi błędami. P</w:t>
      </w:r>
      <w:r>
        <w:rPr>
          <w:vertAlign w:val="superscript"/>
        </w:rPr>
        <w:t xml:space="preserve">45</w:t>
      </w:r>
      <w:r>
        <w:t xml:space="preserve"> </w:t>
      </w:r>
      <w:r>
        <w:t xml:space="preserve">trzeba zatem przypisać znacznie większe zagęszczenie celowych zmian niż pozostałym dwóm (</w:t>
      </w:r>
      <w:r>
        <w:rPr>
          <w:iCs/>
          <w:i/>
        </w:rPr>
        <w:t xml:space="preserve">tamże</w:t>
      </w:r>
      <w:r>
        <w:t xml:space="preserve">, s. 376).</w:t>
      </w:r>
    </w:p>
    <w:p>
      <w:pPr>
        <w:pStyle w:val="BlockText"/>
      </w:pPr>
      <w:r>
        <w:t xml:space="preserve">Jako redaktor skryba P</w:t>
      </w:r>
      <w:r>
        <w:rPr>
          <w:vertAlign w:val="superscript"/>
        </w:rPr>
        <w:t xml:space="preserve">45</w:t>
      </w:r>
      <w:r>
        <w:t xml:space="preserve"> </w:t>
      </w:r>
      <w:r>
        <w:t xml:space="preserve">posługiwał się ostrą siekierą. Najbardziej uderzającym aspektem jego stylu jest zwięzłość. Zbędne słowo zostaje usunięte. Pomija przysłówki, przymiotniki, rzeczowniki, imiesłowy, czasowniki, zaimki osobowe — bez jakiegokolwiek równoważącego zwyczaju dodawania. Często pomija wyrażenia i zdania. Preferuje słowo proste zamiast złożonego. Krótko mówiąc, sprzyja zwięzłości. Skraca tekst w co najmniej pięćdziesięciu miejscach w samych odczytach singularnych. Nie usuwa jednak sylab ani liter. Jego skrócony tekst jest czytelny (</w:t>
      </w:r>
      <w:r>
        <w:rPr>
          <w:iCs/>
          <w:i/>
        </w:rPr>
        <w:t xml:space="preserve">tamże</w:t>
      </w:r>
      <w:r>
        <w:t xml:space="preserve">, s. 383).</w:t>
      </w:r>
    </w:p>
    <w:p>
      <w:pPr>
        <w:pStyle w:val="FirstParagraph"/>
      </w:pPr>
      <w:r>
        <w:t xml:space="preserve">Niektórzy uważają P</w:t>
      </w:r>
      <w:r>
        <w:rPr>
          <w:vertAlign w:val="superscript"/>
        </w:rPr>
        <w:t xml:space="preserve">46</w:t>
      </w:r>
      <w:r>
        <w:t xml:space="preserve"> </w:t>
      </w:r>
      <w:r>
        <w:t xml:space="preserve">za równie wczesny jak P</w:t>
      </w:r>
      <w:r>
        <w:rPr>
          <w:vertAlign w:val="superscript"/>
        </w:rPr>
        <w:t xml:space="preserve">66</w:t>
      </w:r>
      <w:r>
        <w:t xml:space="preserve">. Badanie tego manuskryptu dokonane przez Zuntza jest dobrze znane. „Pomimo schludnego wyglądu (został napisany przez zawodowego skrybę i poprawiony — lecz bardzo niedoskonale — przez eksperta) P</w:t>
      </w:r>
      <w:r>
        <w:rPr>
          <w:vertAlign w:val="superscript"/>
        </w:rPr>
        <w:t xml:space="preserve">46</w:t>
      </w:r>
      <w:r>
        <w:t xml:space="preserve"> </w:t>
      </w:r>
      <w:r>
        <w:t xml:space="preserve">w żadnym razie nie jest dobrym manuskryptem. Skryba popełnił bardzo wiele gaf… Odnoszę wrażenie, że miewał napady wyczerpania”.</w:t>
      </w:r>
      <w:r>
        <w:rPr>
          <w:rStyle w:val="FootnoteReference"/>
        </w:rPr>
        <w:footnoteReference w:id="550"/>
      </w:r>
    </w:p>
    <w:p>
      <w:pPr>
        <w:pStyle w:val="BodyText"/>
      </w:pPr>
      <w:r>
        <w:t xml:space="preserve">Należy mimochodem zauważyć, że Kodeks B także jest znany ze „schludnego wyglądu”, nie należy jednak zakładać, że dlatego musi być dobrą kopią. Nawet Hort przyznał, że skryba B „w żadnym razie nie osiągnął wysokiego poziomu dokładności” (Westcott i Hort, s. 233). Ze wszystkich stron przyznaje się, że Alef jest pod każdym względem gorszy od B. Zuntz mówi dalej: „P</w:t>
      </w:r>
      <w:r>
        <w:rPr>
          <w:vertAlign w:val="superscript"/>
        </w:rPr>
        <w:t xml:space="preserve">46</w:t>
      </w:r>
      <w:r>
        <w:t xml:space="preserve"> </w:t>
      </w:r>
      <w:r>
        <w:t xml:space="preserve">obfituje w gafy skryby, pominięcia, a także dodatki” (</w:t>
      </w:r>
      <w:r>
        <w:rPr>
          <w:iCs/>
          <w:i/>
        </w:rPr>
        <w:t xml:space="preserve">Op. cit.</w:t>
      </w:r>
      <w:r>
        <w:t xml:space="preserve">, s. 212).</w:t>
      </w:r>
    </w:p>
    <w:p>
      <w:pPr>
        <w:pStyle w:val="BlockText"/>
      </w:pPr>
      <w:r>
        <w:t xml:space="preserve">…skryba, który napisał papirus, wykonał swoją pracę bardzo źle. Spośród jego niezliczonych uchybień poprawiono tylko część (mniej niż jedno na dziesięć), a nawet ta część — jak często zdarza się w manuskryptach — staje się coraz mniejsza ku końcowi księgi. Całe strony pozostawiono bez jakiejkolwiek poprawki, choć bardzo jej potrzebowały (</w:t>
      </w:r>
      <w:r>
        <w:rPr>
          <w:iCs/>
          <w:i/>
        </w:rPr>
        <w:t xml:space="preserve">tamże</w:t>
      </w:r>
      <w:r>
        <w:t xml:space="preserve">, s. 252).</w:t>
      </w:r>
    </w:p>
    <w:p>
      <w:pPr>
        <w:pStyle w:val="FirstParagraph"/>
      </w:pPr>
      <w:r>
        <w:t xml:space="preserve">Przypomnijmy z badania Colwella, że skryba P</w:t>
      </w:r>
      <w:r>
        <w:rPr>
          <w:vertAlign w:val="superscript"/>
        </w:rPr>
        <w:t xml:space="preserve">45</w:t>
      </w:r>
      <w:r>
        <w:t xml:space="preserve"> </w:t>
      </w:r>
      <w:r>
        <w:t xml:space="preserve">najwyraźniej dokonał w tekście licznych</w:t>
      </w:r>
      <w:r>
        <w:t xml:space="preserve"> </w:t>
      </w:r>
      <w:r>
        <w:rPr>
          <w:bCs/>
          <w:b/>
        </w:rPr>
        <w:t xml:space="preserve">celowych</w:t>
      </w:r>
      <w:r>
        <w:t xml:space="preserve"> </w:t>
      </w:r>
      <w:r>
        <w:t xml:space="preserve">zmian — czy nie powinniśmy powiedzieć, że był upośledzony moralnie? W każdym razie wielokrotnie udzielał nam fałszywych informacji. Czy nadal mamy mu ufać? Podobnie wykazano, że między Alefem i B występuje ponad 3000 błędów tylko w Ewangeliach. Alef jest wyraźnie gorszy od B, lecz prawdopodobnie nie dwa razy gorszy — co najmniej 1000 spośród tych błędów należy do B. Czy Alef i B odpowiadają twojemu wyobrażeniu dobrego świadka?</w:t>
      </w:r>
      <w:r>
        <w:rPr>
          <w:rStyle w:val="FootnoteReference"/>
        </w:rPr>
        <w:footnoteReference w:id="551"/>
      </w:r>
      <w:r>
        <w:t xml:space="preserve"> </w:t>
      </w:r>
      <w:r>
        <w:t xml:space="preserve">Ponownie mówię: najstarsze znaczy najgorsze!</w:t>
      </w:r>
    </w:p>
    <w:p>
      <w:pPr>
        <w:pStyle w:val="BodyText"/>
      </w:pPr>
      <w:r>
        <w:t xml:space="preserve">Naprawdę musimy zrozumieć, że wiek nie gwarantuje niczego w kwestii jakości. Każdego świadka trzeba oceniać osobno, zupełnie niezależnie od wieku. Co więcej, i być może bardziej istotne, musimy wiedzieć, jak dany manuskrypt odnosi się do innych. Gdy manuskrypt zostanie empirycznie rozpoznany jako należący do rodziny (linii przekazu), nie jest już niezależnym świadkiem oryginału — jest świadkiem archetypu rodziny. Jak trafnie ujął to Colwell: „Kluczowe pytanie zarówno w odniesieniu do wczesnych, jak i późnych świadków nadal brzmi: «GDZIE PASUJĄ DO WIARYGODNEGO ODTWORZENIA HISTORII TRADYCJI MANUSKRYPTÓW?»”.</w:t>
      </w:r>
      <w:r>
        <w:rPr>
          <w:rStyle w:val="FootnoteReference"/>
        </w:rPr>
        <w:footnoteReference w:id="552"/>
      </w:r>
    </w:p>
    <w:p>
      <w:pPr>
        <w:pStyle w:val="BodyText"/>
      </w:pPr>
      <w:r>
        <w:t xml:space="preserve">Niestety teoria Horta, sprzymierzona z fikcją, że „najstarsze znaczy najlepsze”, wywarła na dyscyplinę działanie usypiające, wskutek czego stosunkowo niewiele manuskryptów skolacjonowano w pełni, a w konsekwencji niewiele rodzin zdefiniowano empirycznie. Ogólne wyobrażenie oparte na wyrywkowym sprawdzaniu jest niewystarczające, występuje zbyt wiele mieszania.</w:t>
      </w:r>
    </w:p>
    <w:bookmarkEnd w:id="553"/>
    <w:bookmarkStart w:id="558" w:name="przekazywanie-tekstu"/>
    <w:p>
      <w:pPr>
        <w:pStyle w:val="Heading3"/>
      </w:pPr>
      <w:r>
        <w:t xml:space="preserve">Przekazywanie Tekstu</w:t>
      </w:r>
    </w:p>
    <w:p>
      <w:pPr>
        <w:pStyle w:val="FirstParagraph"/>
      </w:pPr>
      <w:r>
        <w:t xml:space="preserve">Wracając do 1700 zachowanych manuskryptów dla dowolnego miejsca w Ewangeliach, powinno być oczywiste, że wariant w jednym manuskrypcie, niezależnie od jego wieku, jest nieistotny — w tym miejscu jest on fałszywym świadkiem archetypu swojej rodziny, niczym więcej. Jeśli kilka manuskryptów dzieli wariant, lecz nie należy do tej samej rodziny, popełniły błąd niezależnie i są fałszywymi świadkami archetypów swoich rodzin —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Wisse postulował 34 grupy w masie bizantyjskiej, z 70 podgrupami). Jest jasne, że nie było „upychania urny wyborczej”, nie było „papieskiego” dekretu, nie było recenzji narzuconej przez władzę kościelną. Krótko mówiąc, przekaz był przeważająco normalny.</w:t>
      </w:r>
    </w:p>
    <w:p>
      <w:pPr>
        <w:pStyle w:val="BlockText"/>
      </w:pPr>
      <w:r>
        <w:t xml:space="preserve">W normalnych okolicznościach im dany tekst jest starszy od swoich rywali, tym większe są jego szanse na przetrwanie w wielości albo większości tekstów zachowanych w dowolnym późniejszym okresie. Jednak</w:t>
      </w:r>
      <w:r>
        <w:t xml:space="preserve"> </w:t>
      </w:r>
      <w:r>
        <w:rPr>
          <w:bCs/>
          <w:b/>
        </w:rPr>
        <w:t xml:space="preserve">najstarszym</w:t>
      </w:r>
      <w:r>
        <w:t xml:space="preserve"> </w:t>
      </w:r>
      <w:r>
        <w:t xml:space="preserve">tekstem ze wszystkich jest Autograf. Należy więc przyjąć jako rzecz oczywistą, że jeśli nie doszło do jakiegoś radykalnego zaburzenia w historii przekazu, większość tekstów będzie znacznie częściej poprawnie reprezentować charakter oryginału niż niewielka mniejszość tekstów. Jest to szczególnie prawdziwe, gdy stosunek wynosi przytłaczające 8:2. W jakichkolwiek rozsądnie normalnych warunkach przekazu byłoby… zupełnie niemożliwe, aby późniejsza forma tekstu zapewniła sobie tak jednostronną przewagę zachowanych świadków.</w:t>
      </w:r>
      <w:r>
        <w:rPr>
          <w:rStyle w:val="FootnoteReference"/>
        </w:rPr>
        <w:footnoteReference w:id="554"/>
      </w:r>
    </w:p>
    <w:p>
      <w:pPr>
        <w:pStyle w:val="FirstParagraph"/>
      </w:pPr>
      <w:r>
        <w:t xml:space="preserve">Obstaję przy tym, że przekaz Tekstu Nowego Testamentu rzeczywiście był przeważająco normalny, na podstawie dowodów historycznych. Część I powyżej wymienia i omawia te dowody, lecz oto szkic w miniaturze:</w:t>
      </w:r>
    </w:p>
    <w:p>
      <w:pPr>
        <w:numPr>
          <w:ilvl w:val="0"/>
          <w:numId w:val="1115"/>
        </w:numPr>
      </w:pPr>
      <w:r>
        <w:t xml:space="preserve">Autorzy ksiąg Nowego Testamentu wierzyli, że piszą Pismo.</w:t>
      </w:r>
    </w:p>
    <w:p>
      <w:pPr>
        <w:numPr>
          <w:ilvl w:val="0"/>
          <w:numId w:val="1115"/>
        </w:numPr>
      </w:pPr>
      <w:r>
        <w:t xml:space="preserve">Apostołowie uznawali, że ich współpracownicy piszą Pismo.</w:t>
      </w:r>
    </w:p>
    <w:p>
      <w:pPr>
        <w:numPr>
          <w:ilvl w:val="0"/>
          <w:numId w:val="1115"/>
        </w:numPr>
      </w:pPr>
      <w:r>
        <w:t xml:space="preserve">„Ojcowie Kościoła” z I i II wieku traktowali pisma Nowego Testamentu jako Pismo.</w:t>
      </w:r>
    </w:p>
    <w:p>
      <w:pPr>
        <w:numPr>
          <w:ilvl w:val="0"/>
          <w:numId w:val="1115"/>
        </w:numPr>
      </w:pPr>
      <w:r>
        <w:t xml:space="preserve">Pisma Nowego Testamentu od bardzo wczesnego okresu były używane przez zgromadzenia chrześcijańskie razem ze Starym Testamentem.</w:t>
      </w:r>
    </w:p>
    <w:p>
      <w:pPr>
        <w:numPr>
          <w:ilvl w:val="0"/>
          <w:numId w:val="1115"/>
        </w:numPr>
      </w:pPr>
      <w:r>
        <w:t xml:space="preserve">Pierwsi chrześcijanie troszczyli się o czystość Tekstu Nowego Testamentu.</w:t>
      </w:r>
    </w:p>
    <w:p>
      <w:pPr>
        <w:numPr>
          <w:ilvl w:val="0"/>
          <w:numId w:val="1115"/>
        </w:numPr>
      </w:pPr>
      <w:r>
        <w:t xml:space="preserve">Które regiony miały Autografy na początku? Obszar Morza Egejskiego (18–24), Rzym (2–7), Palestyna (0–3), Egipt (0).</w:t>
      </w:r>
    </w:p>
    <w:p>
      <w:pPr>
        <w:numPr>
          <w:ilvl w:val="0"/>
          <w:numId w:val="1115"/>
        </w:numPr>
      </w:pPr>
      <w:r>
        <w:t xml:space="preserve">Gdzie Kościół był najsilniejszy w II i III wieku? Azja Mniejsza i obszar Morza Egejskiego.</w:t>
      </w:r>
    </w:p>
    <w:p>
      <w:pPr>
        <w:numPr>
          <w:ilvl w:val="0"/>
          <w:numId w:val="1115"/>
        </w:numPr>
      </w:pPr>
      <w:r>
        <w:t xml:space="preserve">Gdzie najwięcej i najdłużej używano greki? Obszar Morza Egejskiego i Azja Mniejsza.</w:t>
      </w:r>
    </w:p>
    <w:p>
      <w:pPr>
        <w:numPr>
          <w:ilvl w:val="0"/>
          <w:numId w:val="1115"/>
        </w:numPr>
      </w:pPr>
      <w:r>
        <w:t xml:space="preserve">Jakie są konsekwencje kampanii Dioklecjana i ruchu donatystycznego?</w:t>
      </w:r>
    </w:p>
    <w:p>
      <w:pPr>
        <w:pStyle w:val="FirstParagraph"/>
      </w:pPr>
      <w:r>
        <w:t xml:space="preserve">Twierdzę, że dowody jasno wskazują, iż przekaz rzeczywiście był przeważająco normalny.</w:t>
      </w:r>
    </w:p>
    <w:p>
      <w:pPr>
        <w:pStyle w:val="BodyText"/>
      </w:pPr>
      <w:r>
        <w:t xml:space="preserve">Jakiego zatem obrazu możemy się spodziewać w zachowanych świadkach, jeśli rozumiemy, że historia przekazu Tekstu Nowego Testamentu była przeważająco normalna? Możemy spodziewać się szerokiego spektrum kopii, wykazujących drobne różnice wynikające z błędów kopiowania, lecz wszystkie odzwierciedlające jedną wspólną tradycję. Jednoczesne istnienie nienormalnego przekazu w najwcześniejszych stuleciach skutkowałoby rozproszeniem tu i ówdzie kopii poza tym głównym nurtem. Obraz wyglądałby mniej więcej jak na poniższym rysunku.</w:t>
      </w:r>
      <w:r>
        <w:rPr>
          <w:rStyle w:val="FootnoteReference"/>
        </w:rPr>
        <w:footnoteReference w:id="555"/>
      </w:r>
    </w:p>
    <w:p>
      <w:pPr>
        <w:pStyle w:val="CaptionedFigure"/>
      </w:pPr>
      <w:r>
        <w:drawing>
          <wp:inline>
            <wp:extent cx="5334000" cy="3390972"/>
            <wp:effectExtent b="0" l="0" r="0" t="0"/>
            <wp:docPr descr="Rysunek A" title="" id="556" name="Picture"/>
            <a:graphic>
              <a:graphicData uri="http://schemas.openxmlformats.org/drawingml/2006/picture">
                <pic:pic>
                  <pic:nvPicPr>
                    <pic:cNvPr descr="images/Rysunek_A.jpg" id="55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p>
    <w:p>
      <w:pPr>
        <w:pStyle w:val="ImageCaption"/>
      </w:pPr>
      <w:r>
        <w:t xml:space="preserve">Rysunek A</w:t>
      </w:r>
    </w:p>
    <w:p>
      <w:pPr>
        <w:pStyle w:val="BodyText"/>
      </w:pPr>
      <w:r>
        <w:t xml:space="preserve">Manuskrypty w obrębie stożków reprezentują „normalny” przekaz. Po lewej umieściłem kilku możliwych przedstawicieli tego, co moglibyśmy nazwać „nieodpowiedzialnym” przekazem tekstu — kopiści sporządzali kiepskie kopie z powodu niekompetencji albo niestaranności, lecz nie dokonywali celowych zmian. Po prawej umieściłem kilku możliwych przedstawicieli tego, co moglibyśmy nazwać „sfabrykowanym” przekazem tekstu — skrybowie dokonywali celowych zmian w tekście (z dowolnych powodów), wytwarzając sfabrykowane kopie, a nie prawdziwe kopie. Dobrze wiem, że manuskrypty umieszczone na powyższym rysunku zawierają zarówno błędy wynikające z niestaranności, jak i celowe, w różnych proporcjach (7Q5, 4, 8 oraz P</w:t>
      </w:r>
      <w:r>
        <w:rPr>
          <w:vertAlign w:val="superscript"/>
        </w:rPr>
        <w:t xml:space="preserve">52,64,67</w:t>
      </w:r>
      <w:r>
        <w:t xml:space="preserve"> </w:t>
      </w:r>
      <w:r>
        <w:t xml:space="preserve">są zbyt fragmentaryczne, aby pozwolić na zaklasyfikowanie ich błędów jako celowych, a nie wynikających z niestaranności), dlatego każda klasyfikacja, jakiej tutaj próbuję, musi być względna i daje zniekształcony obraz. Mimo to ośmielam się obstawać przy tym, że niewiedza, niestaranność, wścibstwo i złośliwość pozostawiły ślad na przekazie tekstu Nowego Testamentu, a w każdej próbie odtworzenia historii tego przekazu musimy wziąć je pod uwagę.</w:t>
      </w:r>
    </w:p>
    <w:p>
      <w:pPr>
        <w:pStyle w:val="BodyText"/>
      </w:pPr>
      <w:r>
        <w:t xml:space="preserve">Jak sugeruje rysunek, argumentuję, że kampania Dioklecjana wywarła oczyszczający wpływ na strumień przekazu. Aby znosić tortury zamiast oddać swój manuskrypt lub manuskrypty, trzeba było być prawdziwie zaangażowanym wierzącym, osobą, która pragnęłaby dobrych kopii Pism. Prawdopodobnie więc w większości zniszczono bardziej skażone manuskrypty, pozostawiając czystsze manuskrypty, by ponownie napełniły ziemię (proszę zobaczyć część „Imperial repression of the N.T.” w rozdziale 6 mojego</w:t>
      </w:r>
      <w:r>
        <w:t xml:space="preserve"> </w:t>
      </w:r>
      <w:r>
        <w:rPr>
          <w:iCs/>
          <w:i/>
        </w:rPr>
        <w:t xml:space="preserve">Identity IV</w:t>
      </w:r>
      <w:r>
        <w:t xml:space="preserve">). Strzałka wewnątrz stożków reprezentuje Rodzinę 35 (zob. Część II).</w:t>
      </w:r>
    </w:p>
    <w:p>
      <w:pPr>
        <w:pStyle w:val="BodyText"/>
      </w:pPr>
      <w:r>
        <w:t xml:space="preserve">Nasuwa się jeszcze jedno rozważanie — jeśli, jak podają, kampania Dioklecjana była najbardziej zaciekła i skuteczna na obszarze bizantyjskim, przewaga liczebna „bizantyjskiego” typu tekstu nad „zachodnim” i „aleksandryjskim” zostałaby zmniejszona, dając tym ostatnim szansę wysunąć się naprzód. Tak się jednak nie stało. Kościół w większości odmówił rozpowszechniania tych form tekstu greckiego. Kodeksy B, ℵ, D i tak dalej nie mają „dzieci”. Skoro na podstawie dowodów z manuskryptów nie można przedstawić formy archetypalnej ani dla tak zwanego „zachodniego”, ani „aleksandryjskiego” typu tekstu, czy w ogóle istnieją?</w:t>
      </w:r>
    </w:p>
    <w:bookmarkEnd w:id="558"/>
    <w:bookmarkStart w:id="566" w:name="sedno-zaginionego-oryginału-1"/>
    <w:p>
      <w:pPr>
        <w:pStyle w:val="Heading3"/>
      </w:pPr>
      <w:r>
        <w:t xml:space="preserve">„Sedno” „zaginionego” Oryginału</w:t>
      </w:r>
    </w:p>
    <w:p>
      <w:pPr>
        <w:pStyle w:val="FirstParagraph"/>
      </w:pPr>
      <w:r>
        <w:t xml:space="preserve">Wracając do „sedna”, czy oryginalne sformułowania zaginęły? Odpowiadam stanowczo: „</w:t>
      </w:r>
      <w:r>
        <w:rPr>
          <w:bCs/>
          <w:b/>
        </w:rPr>
        <w:t xml:space="preserve">Nie</w:t>
      </w:r>
      <w:r>
        <w:t xml:space="preserve">”. Z pewnością istnieją w masie bizantyjskiej, lecz co robimy, jeśli w obrębie tej masy występuje pomieszanie? (Obstawanie przy tym, że musi to być jeden z istniejących wariantów, jest, jak przypuszczam, lepsze niż nic, lecz przynajmniej ja chcę rozpoznać oryginalne sformułowania). W moim rozumieniu za każdym razem, gdy zgadza się co najmniej 90% świadków pierwszorzędnych, nie może istnieć rozsądna wątpliwość,</w:t>
      </w:r>
      <w:r>
        <w:t xml:space="preserve"> </w:t>
      </w:r>
      <w:r>
        <w:rPr>
          <w:u w:val="single"/>
        </w:rPr>
        <w:t xml:space="preserve">statystycznie niemożliwe jest, by nieoryginalny odczyt osiągnął tak wysoki wynik</w:t>
      </w:r>
      <w:r>
        <w:t xml:space="preserve">.</w:t>
      </w:r>
      <w:r>
        <w:rPr>
          <w:rStyle w:val="FootnoteReference"/>
        </w:rPr>
        <w:footnoteReference w:id="559"/>
      </w:r>
      <w:r>
        <w:t xml:space="preserve"> </w:t>
      </w:r>
      <w:r>
        <w:t xml:space="preserve">Za każdym razem, gdy odczyt zdobywa poświadczenie wynoszące co najmniej 80%, jego prawdopodobieństwo jest bardzo wysokie. Jednak w przypadku być może 2% słów Nowego Testamentu poświadczenie spada poniżej 80% (nieproporcjonalnie wiele z nich znajduje się w Objawieniu Jana), w tym miejscu musimy więc przenieść uwagę z manuskryptów na rodziny.</w:t>
      </w:r>
      <w:r>
        <w:rPr>
          <w:rStyle w:val="FootnoteReference"/>
        </w:rPr>
        <w:footnoteReference w:id="560"/>
      </w:r>
      <w:r>
        <w:t xml:space="preserve"> </w:t>
      </w:r>
      <w:r>
        <w:t xml:space="preserve">Wspomniałem już o przypisaniu każdej rodzinie współczynnika wiarygodności opartego na obiektywnych kryteriach i trzeba tego dokonać. Niestety w tej dziedzinie czeka do odrobienia mnóstwo „pracy domowej” (o ile mi wiadomo, tylko Rodzina 35 ma empirycznie zdefiniowany profil),</w:t>
      </w:r>
      <w:r>
        <w:rPr>
          <w:rStyle w:val="FootnoteReference"/>
        </w:rPr>
        <w:footnoteReference w:id="561"/>
      </w:r>
      <w:r>
        <w:t xml:space="preserve"> </w:t>
      </w:r>
      <w:r>
        <w:t xml:space="preserve">wykonano jednak dostatecznie wiele pracy, aby pozwolić na pewne przybliżone wyobrażenia.</w:t>
      </w:r>
    </w:p>
    <w:p>
      <w:pPr>
        <w:pStyle w:val="BodyText"/>
      </w:pPr>
      <w:r>
        <w:t xml:space="preserve">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spojrzenie na ich kolacjonowania wskazuje, że prawdopodobnie nigdzie nie istnieje</w:t>
      </w:r>
      <w:r>
        <w:t xml:space="preserve"> </w:t>
      </w:r>
      <w:r>
        <w:rPr>
          <w:bCs/>
          <w:b/>
        </w:rPr>
        <w:t xml:space="preserve">K</w:t>
      </w:r>
      <w:r>
        <w:rPr>
          <w:vertAlign w:val="superscript"/>
          <w:bCs/>
          <w:b/>
        </w:rPr>
        <w:t xml:space="preserve">x</w:t>
      </w:r>
      <w:r>
        <w:t xml:space="preserve"> </w:t>
      </w:r>
      <w:r>
        <w:t xml:space="preserve">(i przypomnijmy sobie Wissego). Weźmy na przykład tomy</w:t>
      </w:r>
      <w:r>
        <w:t xml:space="preserve"> </w:t>
      </w:r>
      <w:r>
        <w:rPr>
          <w:iCs/>
          <w:i/>
        </w:rPr>
        <w:t xml:space="preserve">TuT</w:t>
      </w:r>
      <w:r>
        <w:t xml:space="preserve"> </w:t>
      </w:r>
      <w:r>
        <w:t xml:space="preserve">dotyczące rozdziałów 1–10 Ewangelii Jana. Zbadano łącznie 1763 manuskrypty (dla 153 zestawów wariantów), a wyniki umieszczono w dwóch tomach. Strony 54–90 (tom 1) zawierają „Grupowania według stopni zgodności”, „częściej zgadzające się ze sobą niż z tekstem większościowym”. Użyto tylko jednego symbolu grupy,</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późniejsi przedstawiciele mają tylko</w:t>
      </w:r>
      <w:r>
        <w:t xml:space="preserve"> </w:t>
      </w:r>
      <w:r>
        <w:rPr>
          <w:bCs/>
          <w:b/>
        </w:rPr>
        <w:t xml:space="preserve">K</w:t>
      </w:r>
      <w:r>
        <w:rPr>
          <w:vertAlign w:val="superscript"/>
          <w:bCs/>
          <w:b/>
        </w:rPr>
        <w:t xml:space="preserve">r</w:t>
      </w:r>
      <w:r>
        <w:t xml:space="preserve"> </w:t>
      </w:r>
      <w:r>
        <w:t xml:space="preserve">(którą nazywam</w:t>
      </w:r>
      <w:r>
        <w:t xml:space="preserve"> </w:t>
      </w:r>
      <w:r>
        <w:rPr>
          <w:bCs/>
          <w:b/>
        </w:rPr>
        <w:t xml:space="preserve">f</w:t>
      </w:r>
      <w:r>
        <w:rPr>
          <w:vertAlign w:val="superscript"/>
          <w:bCs/>
          <w:b/>
        </w:rPr>
        <w:t xml:space="preserve">35</w:t>
      </w:r>
      <w:r>
        <w:t xml:space="preserve">). Po</w:t>
      </w:r>
      <w:r>
        <w:t xml:space="preserve"> </w:t>
      </w:r>
      <w:r>
        <w:rPr>
          <w:bCs/>
          <w:b/>
        </w:rPr>
        <w:t xml:space="preserve">K</w:t>
      </w:r>
      <w:r>
        <w:rPr>
          <w:vertAlign w:val="superscript"/>
          <w:bCs/>
          <w:b/>
        </w:rPr>
        <w:t xml:space="preserve">r</w:t>
      </w:r>
      <w:r>
        <w:t xml:space="preserve"> </w:t>
      </w:r>
      <w:r>
        <w:t xml:space="preserve">następują 22 grupy zawierające od 52 do 25 manuskryptów, z których wszystkie oprócz czterech są w rzeczywistości</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to samo dotyczy pewnej liczby mniejszych grup, dlatego ich</w:t>
      </w:r>
      <w:r>
        <w:t xml:space="preserve"> </w:t>
      </w:r>
      <w:r>
        <w:rPr>
          <w:bCs/>
          <w:b/>
        </w:rPr>
        <w:t xml:space="preserve">K</w:t>
      </w:r>
      <w:r>
        <w:rPr>
          <w:vertAlign w:val="superscript"/>
          <w:bCs/>
          <w:b/>
        </w:rPr>
        <w:t xml:space="preserve">r</w:t>
      </w:r>
      <w:r>
        <w:t xml:space="preserve"> </w:t>
      </w:r>
      <w:r>
        <w:t xml:space="preserve">powinna prawdopodobnie liczyć ponad 200 (powiedziałbym, że Rodzina 35 w Ewangeliach ma ponad 250 przedstawicieli, lecz ich ranking opiera się tutaj tylko na 153 zestawach wariantów w połowie Ewangelii Jana).</w:t>
      </w:r>
    </w:p>
    <w:p>
      <w:pPr>
        <w:pStyle w:val="BodyText"/>
      </w:pPr>
      <w:r>
        <w:t xml:space="preserve">Rozważmy największą grupę poza</w:t>
      </w:r>
      <w:r>
        <w:t xml:space="preserve"> </w:t>
      </w:r>
      <w:r>
        <w:rPr>
          <w:bCs/>
          <w:b/>
        </w:rPr>
        <w:t xml:space="preserve">K</w:t>
      </w:r>
      <w:r>
        <w:rPr>
          <w:vertAlign w:val="superscript"/>
          <w:bCs/>
          <w:b/>
        </w:rPr>
        <w:t xml:space="preserve">r</w:t>
      </w:r>
      <w:r>
        <w:t xml:space="preserve">, 2103. Spośród jej 52 członków 15 wykazuje tylko 95% zgodności z manuskryptem 2103. Jeśli te 52 manuskrypty zostaną kiedyś skolacjonowane w całych Ewangeliach, można z całkowitą pewnością przewidzieć, że „grupa” znacznie się skurczy, może nawet zniknąć.</w:t>
      </w:r>
    </w:p>
    <w:p>
      <w:pPr>
        <w:pStyle w:val="BodyText"/>
      </w:pPr>
      <w:r>
        <w:t xml:space="preserve">Kilka lat temu Maurice Robinson dokonał pełnego kolacjonowania 1389 manuskryptów zawierających</w:t>
      </w:r>
      <w:r>
        <w:t xml:space="preserve"> </w:t>
      </w:r>
      <w:r>
        <w:rPr>
          <w:iCs/>
          <w:i/>
        </w:rPr>
        <w:t xml:space="preserve">PA</w:t>
      </w:r>
      <w:r>
        <w:t xml:space="preserve">,</w:t>
      </w:r>
      <w:r>
        <w:rPr>
          <w:rStyle w:val="FootnoteReference"/>
        </w:rPr>
        <w:footnoteReference w:id="562"/>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dostępnym na www.prunch.org. LECZ PROSZĘ ZAUWAŻYĆ: niezależnie od tego, czy archetyp</w:t>
      </w:r>
      <w:r>
        <w:t xml:space="preserve"> </w:t>
      </w:r>
      <w:r>
        <w:rPr>
          <w:bCs/>
          <w:b/>
        </w:rPr>
        <w:t xml:space="preserve">f</w:t>
      </w:r>
      <w:r>
        <w:rPr>
          <w:vertAlign w:val="superscript"/>
          <w:bCs/>
          <w:b/>
        </w:rPr>
        <w:t xml:space="preserve">35</w:t>
      </w:r>
      <w:r>
        <w:t xml:space="preserve"> </w:t>
      </w:r>
      <w:r>
        <w:t xml:space="preserve">jest Autografem (jak twierdzę), faktem pozostaje, że manuskrypty skolacjonowane do tego badania odzwierciedlają</w:t>
      </w:r>
      <w:r>
        <w:t xml:space="preserve"> </w:t>
      </w:r>
      <w:r>
        <w:rPr>
          <w:u w:val="single"/>
        </w:rPr>
        <w:t xml:space="preserve">niewiarygodnie staranny przekaz ich źródła, i to przez całe średniowiecze</w:t>
      </w:r>
      <w:r>
        <w:t xml:space="preserve">. Moje założenia wstępne obejmują: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w:t>
      </w:r>
      <w:r>
        <w:t xml:space="preserve"> </w:t>
      </w:r>
      <w:r>
        <w:rPr>
          <w:bCs/>
          <w:b/>
        </w:rPr>
        <w:t xml:space="preserve">f</w:t>
      </w:r>
      <w:r>
        <w:rPr>
          <w:vertAlign w:val="superscript"/>
          <w:bCs/>
          <w:b/>
        </w:rPr>
        <w:t xml:space="preserve">35</w:t>
      </w:r>
      <w:r>
        <w:t xml:space="preserve">,</w:t>
      </w:r>
      <w:r>
        <w:t xml:space="preserve"> </w:t>
      </w:r>
      <w:r>
        <w:rPr>
          <w:bCs/>
          <w:b/>
        </w:rPr>
        <w:t xml:space="preserve">czy przekaz ten byłby mniej staranny niż ten, który wykazałem dla</w:t>
      </w:r>
      <w:r>
        <w:t xml:space="preserve"> </w:t>
      </w:r>
      <w:r>
        <w:rPr>
          <w:bCs/>
          <w:b/>
        </w:rPr>
        <w:t xml:space="preserve">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bCs/>
          <w:b/>
          <w:u w:val="single"/>
        </w:rPr>
        <w:t xml:space="preserve">wszystkie</w:t>
      </w:r>
      <w:r>
        <w:t xml:space="preserve"> </w:t>
      </w:r>
      <w:r>
        <w:t xml:space="preserve">inne linie przekazu, jakie dotąd widziałem!</w:t>
      </w:r>
      <w:r>
        <w:rPr>
          <w:rStyle w:val="FootnoteReference"/>
        </w:rPr>
        <w:footnoteReference w:id="563"/>
      </w:r>
    </w:p>
    <w:p>
      <w:pPr>
        <w:pStyle w:val="BodyText"/>
      </w:pPr>
      <w:r>
        <w:t xml:space="preserve">Na podstawie dostępnych dotąd dowodów twierdzę, co następuje:</w:t>
      </w:r>
    </w:p>
    <w:p>
      <w:pPr>
        <w:numPr>
          <w:ilvl w:val="0"/>
          <w:numId w:val="1116"/>
        </w:numPr>
      </w:pPr>
      <w:r>
        <w:t xml:space="preserve">Oryginalne sformułowania nigdy nie „zaginęły”, a ich przekaz na przestrzeni lat był zasadniczo normalny, ponieważ od początku uznawano je za materiał natchniony.</w:t>
      </w:r>
    </w:p>
    <w:p>
      <w:pPr>
        <w:numPr>
          <w:ilvl w:val="0"/>
          <w:numId w:val="1116"/>
        </w:numPr>
      </w:pPr>
      <w:r>
        <w:t xml:space="preserve">Ten normalny proces doprowadził do powstania linii przekazu.</w:t>
      </w:r>
    </w:p>
    <w:p>
      <w:pPr>
        <w:numPr>
          <w:ilvl w:val="0"/>
          <w:numId w:val="1116"/>
        </w:numPr>
      </w:pPr>
      <w:r>
        <w:t xml:space="preserve">Aby wyznaczyć takie linie, manuskrypty trzeba empirycznie grupować na podstawie wspólnej mozaiki odczytów.</w:t>
      </w:r>
    </w:p>
    <w:p>
      <w:pPr>
        <w:numPr>
          <w:ilvl w:val="0"/>
          <w:numId w:val="1116"/>
        </w:numPr>
      </w:pPr>
      <w:r>
        <w:t xml:space="preserve">Takie grupy lub rodziny trzeba ocenić pod względem niezależności i wiarygodności.</w:t>
      </w:r>
    </w:p>
    <w:p>
      <w:pPr>
        <w:numPr>
          <w:ilvl w:val="0"/>
          <w:numId w:val="1116"/>
        </w:numPr>
      </w:pPr>
      <w:r>
        <w:t xml:space="preserve">Największą jasno zdefiniowaną grupą jest Rodzina 35.</w:t>
      </w:r>
    </w:p>
    <w:p>
      <w:pPr>
        <w:numPr>
          <w:ilvl w:val="0"/>
          <w:numId w:val="1116"/>
        </w:numPr>
      </w:pPr>
      <w:r>
        <w:t xml:space="preserve">Rodzina 35 jest w sposób możliwy do wykazania niezależna od wszystkich innych linii przekazu w całym Nowym Testamencie.</w:t>
      </w:r>
    </w:p>
    <w:p>
      <w:pPr>
        <w:numPr>
          <w:ilvl w:val="0"/>
          <w:numId w:val="1116"/>
        </w:numPr>
      </w:pPr>
      <w:r>
        <w:t xml:space="preserve">Rodzina 35 jest w sposób możliwy do wykazania starożytna, sięga co najmniej III wieku.</w:t>
      </w:r>
    </w:p>
    <w:p>
      <w:pPr>
        <w:numPr>
          <w:ilvl w:val="0"/>
          <w:numId w:val="1116"/>
        </w:numPr>
      </w:pPr>
      <w:r>
        <w:t xml:space="preserve">Przedstawiciele Rodziny 35 pochodzą z całego obszaru śródziemnomorskiego, rozmieszczenie geograficzne jest niemal całkowite.</w:t>
      </w:r>
    </w:p>
    <w:p>
      <w:pPr>
        <w:numPr>
          <w:ilvl w:val="0"/>
          <w:numId w:val="1116"/>
        </w:numPr>
      </w:pPr>
      <w:r>
        <w:t xml:space="preserve">Rodzina 35 nie jest recenzją, nie powstała w żadnym momencie późniejszym od Autografów.</w:t>
      </w:r>
    </w:p>
    <w:p>
      <w:pPr>
        <w:numPr>
          <w:ilvl w:val="0"/>
          <w:numId w:val="1116"/>
        </w:numPr>
      </w:pPr>
      <w:r>
        <w:t xml:space="preserve">Rodzina 35 jest obiektywnie/empirycznie zdefiniowaną jednostką w całym Nowym Testamencie, ma możliwy do wykazania, diagnostyczny profil od Ewangelii Mateusza 1,1 do Objawienia Jana 22,21.</w:t>
      </w:r>
    </w:p>
    <w:p>
      <w:pPr>
        <w:numPr>
          <w:ilvl w:val="0"/>
          <w:numId w:val="1116"/>
        </w:numPr>
      </w:pPr>
      <w:r>
        <w:t xml:space="preserve">Archetypalną formę Rodziny 35 można wykazać — została wykazana (zob. Część II).</w:t>
      </w:r>
    </w:p>
    <w:p>
      <w:pPr>
        <w:numPr>
          <w:ilvl w:val="0"/>
          <w:numId w:val="1116"/>
        </w:numPr>
      </w:pPr>
      <w:r>
        <w:t xml:space="preserve">Tekst Oryginalny jest ostatecznym archetypem, każdy kandydat musi być również archetypem — rzeczywistym, najzupełniej prawdziwym, obiektywnie weryfikowalnym archetypem — istnieje tylko jeden, Rodzina 35.</w:t>
      </w:r>
      <w:r>
        <w:rPr>
          <w:rStyle w:val="FootnoteReference"/>
        </w:rPr>
        <w:footnoteReference w:id="564"/>
      </w:r>
    </w:p>
    <w:p>
      <w:pPr>
        <w:numPr>
          <w:ilvl w:val="0"/>
          <w:numId w:val="1116"/>
        </w:numPr>
      </w:pPr>
      <w:r>
        <w:t xml:space="preserve">Troska Boga o zachowanie Tekstu biblijnego jest oczywista, uważam, że fragmenty takie jak 1 Księga Kronik 16,15, Księga Psalmów 119,89, Księga Izajasza 40,8, Ewangelia Mateusza 5,18, Ewangelia Łukasza 16,17 i 21,33, Ewangelia Jana 10,35 i 16,12–13,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116"/>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116"/>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116"/>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565"/>
      </w:r>
    </w:p>
    <w:p>
      <w:pPr>
        <w:pStyle w:val="FirstParagraph"/>
      </w:pPr>
      <w:r>
        <w:t xml:space="preserve">Uczciwość niegdyś stanowiła część definicji prawdziwego uczonego. Każdy, kto chce nim być, powinien bezwzględnie przestać przedstawiać swoje założenia wstępne jako część dowodów. Ponieważ oryginał nigdy nie zaginął, nie istnieje uprawniona krytyka tekstu Nowego Testamentu, a zatem nie istnieje jej nauka. Ponieważ krytyka tekstu Nowego Testamentu (w formie praktykowanej przez społeczność akademicką przez ostatnich 130 lat) opiera się na fałszywym założeniu wstępnym, nie może być nauką. Ci, którzy odrzucają dowody pierwszorzędne, mogą i prawdopodobnie będą nadal głosić teorię krytyki tekstu. Przypuszczam, że mają prawo do swojej teorii, lecz nie mogę życzyć im powodzenia.</w:t>
      </w:r>
    </w:p>
    <w:bookmarkEnd w:id="566"/>
    <w:bookmarkEnd w:id="567"/>
    <w:bookmarkStart w:id="582" w:name="przedstawienie-dowodów-przez-alanda"/>
    <w:p>
      <w:pPr>
        <w:pStyle w:val="Heading2"/>
      </w:pPr>
      <w:r>
        <w:t xml:space="preserve">Przedstawienie dowodów przez Alanda</w:t>
      </w:r>
    </w:p>
    <w:p>
      <w:pPr>
        <w:pStyle w:val="FirstParagraph"/>
      </w:pPr>
      <w:r>
        <w:t xml:space="preserve">W tym omówieniu wykorzystam statystyki przedstawione przez Kurta Alanda i jego Instytut Badań Tekstu Nowego Testamentu. Ponieważ pogardzał Tekstem bizantyjskim i był oddanym orędownikiem swojego tekstu egipskiego, możemy być całkowicie pewni, że dowody nie zostaną przedstawione w sposób faworyzujący Tekst bizantyjski pod jakimkolwiek względem.</w:t>
      </w:r>
    </w:p>
    <w:bookmarkStart w:id="574" w:name="uncjały"/>
    <w:p>
      <w:pPr>
        <w:pStyle w:val="Heading3"/>
      </w:pPr>
      <w:r>
        <w:t xml:space="preserve">Uncjały</w:t>
      </w:r>
    </w:p>
    <w:p>
      <w:pPr>
        <w:pStyle w:val="FirstParagraph"/>
      </w:pPr>
      <w:r>
        <w:t xml:space="preserve">W</w:t>
      </w:r>
      <w:r>
        <w:t xml:space="preserve"> </w:t>
      </w:r>
      <w:r>
        <w:rPr>
          <w:iCs/>
          <w:i/>
        </w:rPr>
        <w:t xml:space="preserve">The Text of the New Testament</w:t>
      </w:r>
      <w:r>
        <w:rPr>
          <w:rStyle w:val="FootnoteReference"/>
        </w:rPr>
        <w:footnoteReference w:id="568"/>
      </w:r>
      <w:r>
        <w:t xml:space="preserve"> </w:t>
      </w:r>
      <w:r>
        <w:t xml:space="preserve">K. Aland przedstawia podsumowanie wyników „systematycznego kolacjonowania testowego” ważniejszych uncjałów z wieków IV–IX. Używa czterech nagłówków: odczyty „bizantyjskie”, „oryginalne”, „zgodności” między pierwszymi dwoma oraz „niezależne albo charakterystyczne”. Ponieważ przez „oryginalne” zdaje się rozumieć zasadniczo „egipskie” (albo „aleksandryjskie”), użyję następujących nagłówków: egipskie, większościowe („bizantyjskie”), oba („zgodności”) oraz inne („niezależne”). Przedstawiam w tabeli każdy manuskrypt z wieków od IV do IX, dla którego Aland podaje podsumowanie.</w:t>
      </w:r>
    </w:p>
    <w:p>
      <w:pPr>
        <w:pStyle w:val="BodyText"/>
      </w:pPr>
      <w:r>
        <w:t xml:space="preserve">Tytułem wyjaśnienia: „zaw.” oznacza zawartość,</w:t>
      </w:r>
      <w:r>
        <w:t xml:space="preserve"> </w:t>
      </w:r>
      <w:r>
        <w:rPr>
          <w:bCs/>
          <w:b/>
        </w:rPr>
        <w:t xml:space="preserve">e</w:t>
      </w:r>
      <w:r>
        <w:t xml:space="preserve"> </w:t>
      </w:r>
      <w:r>
        <w:t xml:space="preserve">= Ewangelie (lecz liczby Alanda obejmują tylko Ewangelie synoptyczne),</w:t>
      </w:r>
      <w:r>
        <w:t xml:space="preserve"> </w:t>
      </w:r>
      <w:r>
        <w:rPr>
          <w:bCs/>
          <w:b/>
        </w:rPr>
        <w:t xml:space="preserve">a</w:t>
      </w:r>
      <w:r>
        <w:t xml:space="preserve"> </w:t>
      </w:r>
      <w:r>
        <w:t xml:space="preserve">= Dzieje Apostolskie,</w:t>
      </w:r>
      <w:r>
        <w:t xml:space="preserve"> </w:t>
      </w:r>
      <w:r>
        <w:rPr>
          <w:bCs/>
          <w:b/>
        </w:rPr>
        <w:t xml:space="preserve">p</w:t>
      </w:r>
      <w:r>
        <w:t xml:space="preserve"> </w:t>
      </w:r>
      <w:r>
        <w:t xml:space="preserve">= Listy Pawła (łącznie z Listem do Hebrajczyków), a</w:t>
      </w:r>
      <w:r>
        <w:t xml:space="preserve"> </w:t>
      </w:r>
      <w:r>
        <w:rPr>
          <w:bCs/>
          <w:b/>
        </w:rPr>
        <w:t xml:space="preserve">c</w:t>
      </w:r>
      <w:r>
        <w:t xml:space="preserve"> </w:t>
      </w:r>
      <w:r>
        <w:t xml:space="preserve">= Listy Ogólne, „Kat.” odnosi się do pięciu kategorii Alanda (</w:t>
      </w:r>
      <w:r>
        <w:rPr>
          <w:iCs/>
          <w:i/>
        </w:rPr>
        <w:t xml:space="preserve">The Text</w:t>
      </w:r>
      <w:r>
        <w:t xml:space="preserve">, s. 105–106), a „klasa” oznacza klasyfikację opracowaną przeze mnie, w której</w:t>
      </w:r>
      <w:r>
        <w:t xml:space="preserve"> </w:t>
      </w:r>
      <w:r>
        <w:rPr>
          <w:bCs/>
          <w:b/>
        </w:rPr>
        <w:t xml:space="preserve">E</w:t>
      </w:r>
      <w:r>
        <w:t xml:space="preserve"> </w:t>
      </w:r>
      <w:r>
        <w:t xml:space="preserve">= egipski,</w:t>
      </w:r>
      <w:r>
        <w:t xml:space="preserve"> </w:t>
      </w:r>
      <w:r>
        <w:rPr>
          <w:bCs/>
          <w:b/>
        </w:rPr>
        <w:t xml:space="preserve">M</w:t>
      </w:r>
      <w:r>
        <w:t xml:space="preserve"> </w:t>
      </w:r>
      <w:r>
        <w:t xml:space="preserve">= większościowy, a</w:t>
      </w:r>
      <w:r>
        <w:t xml:space="preserve"> </w:t>
      </w:r>
      <w:r>
        <w:rPr>
          <w:bCs/>
          <w:b/>
        </w:rPr>
        <w:t xml:space="preserve">O</w:t>
      </w:r>
      <w:r>
        <w:t xml:space="preserve"> </w:t>
      </w:r>
      <w:r>
        <w:t xml:space="preserve">= inny. Ma ona następujące wartości, zilustrowane przy użyciu 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Klasyfikacja</w:t>
            </w:r>
          </w:p>
        </w:tc>
        <w:tc>
          <w:tcPr/>
          <w:p>
            <w:pPr>
              <w:pStyle w:val="Compact"/>
              <w:jc w:val="right"/>
            </w:pPr>
            <w:r>
              <w:t xml:space="preserve">Wartość</w:t>
            </w:r>
          </w:p>
        </w:tc>
        <w:tc>
          <w:tcPr/>
          <w:p>
            <w:pPr>
              <w:pStyle w:val="Compact"/>
              <w:jc w:val="right"/>
            </w:pPr>
            <w:r>
              <w:t xml:space="preserve">Stosunek</w:t>
            </w:r>
          </w:p>
        </w:tc>
        <w:tc>
          <w:tcPr/>
          <w:p>
            <w:pPr>
              <w:pStyle w:val="Compact"/>
              <w:jc w:val="left"/>
            </w:pPr>
            <w:r>
              <w:t xml:space="preserve">Opis</w:t>
            </w:r>
          </w:p>
        </w:tc>
      </w:tr>
      <w:tr>
        <w:tc>
          <w:tcPr/>
          <w:p>
            <w:pPr>
              <w:pStyle w:val="Compact"/>
              <w:jc w:val="left"/>
            </w:pPr>
            <w:r>
              <w:t xml:space="preserve">M+++++</w:t>
            </w:r>
          </w:p>
        </w:tc>
        <w:tc>
          <w:tcPr/>
          <w:p>
            <w:pPr>
              <w:pStyle w:val="Compact"/>
              <w:jc w:val="right"/>
            </w:pPr>
            <w:r>
              <w:t xml:space="preserve">100%</w:t>
            </w:r>
          </w:p>
        </w:tc>
        <w:tc>
          <w:tcPr/>
          <w:p>
            <w:pPr>
              <w:pStyle w:val="Compact"/>
            </w:pPr>
          </w:p>
        </w:tc>
        <w:tc>
          <w:tcPr/>
          <w:p>
            <w:pPr>
              <w:pStyle w:val="Compact"/>
            </w:pPr>
          </w:p>
        </w:tc>
      </w:tr>
      <w:tr>
        <w:tc>
          <w:tcPr/>
          <w:p>
            <w:pPr>
              <w:pStyle w:val="Compact"/>
              <w:jc w:val="left"/>
            </w:pPr>
            <w:r>
              <w:t xml:space="preserve">M++++</w:t>
            </w:r>
          </w:p>
        </w:tc>
        <w:tc>
          <w:tcPr/>
          <w:p>
            <w:pPr>
              <w:pStyle w:val="Compact"/>
              <w:jc w:val="right"/>
            </w:pPr>
            <w:r>
              <w:t xml:space="preserve">ponad 95%</w:t>
            </w:r>
          </w:p>
        </w:tc>
        <w:tc>
          <w:tcPr/>
          <w:p>
            <w:pPr>
              <w:pStyle w:val="Compact"/>
              <w:jc w:val="right"/>
            </w:pPr>
            <w:r>
              <w:t xml:space="preserve">19:1</w:t>
            </w:r>
          </w:p>
        </w:tc>
        <w:tc>
          <w:tcPr/>
          <w:p>
            <w:pPr>
              <w:pStyle w:val="Compact"/>
              <w:jc w:val="left"/>
            </w:pPr>
            <w:r>
              <w:t xml:space="preserve">bardzo silny</w:t>
            </w:r>
          </w:p>
        </w:tc>
      </w:tr>
      <w:tr>
        <w:tc>
          <w:tcPr/>
          <w:p>
            <w:pPr>
              <w:pStyle w:val="Compact"/>
              <w:jc w:val="left"/>
            </w:pPr>
            <w:r>
              <w:t xml:space="preserve">M+++</w:t>
            </w:r>
          </w:p>
        </w:tc>
        <w:tc>
          <w:tcPr/>
          <w:p>
            <w:pPr>
              <w:pStyle w:val="Compact"/>
              <w:jc w:val="right"/>
            </w:pPr>
            <w:r>
              <w:t xml:space="preserve">ponad 90%</w:t>
            </w:r>
          </w:p>
        </w:tc>
        <w:tc>
          <w:tcPr/>
          <w:p>
            <w:pPr>
              <w:pStyle w:val="Compact"/>
              <w:jc w:val="right"/>
            </w:pPr>
            <w:r>
              <w:t xml:space="preserve">9:1</w:t>
            </w:r>
          </w:p>
        </w:tc>
        <w:tc>
          <w:tcPr/>
          <w:p>
            <w:pPr>
              <w:pStyle w:val="Compact"/>
              <w:jc w:val="left"/>
            </w:pPr>
            <w:r>
              <w:t xml:space="preserve">silny</w:t>
            </w:r>
          </w:p>
        </w:tc>
      </w:tr>
      <w:tr>
        <w:tc>
          <w:tcPr/>
          <w:p>
            <w:pPr>
              <w:pStyle w:val="Compact"/>
              <w:jc w:val="left"/>
            </w:pPr>
            <w:r>
              <w:t xml:space="preserve">M++</w:t>
            </w:r>
          </w:p>
        </w:tc>
        <w:tc>
          <w:tcPr/>
          <w:p>
            <w:pPr>
              <w:pStyle w:val="Compact"/>
              <w:jc w:val="right"/>
            </w:pPr>
            <w:r>
              <w:t xml:space="preserve">ponad 80%</w:t>
            </w:r>
          </w:p>
        </w:tc>
        <w:tc>
          <w:tcPr/>
          <w:p>
            <w:pPr>
              <w:pStyle w:val="Compact"/>
              <w:jc w:val="right"/>
            </w:pPr>
            <w:r>
              <w:t xml:space="preserve">4:1</w:t>
            </w:r>
          </w:p>
        </w:tc>
        <w:tc>
          <w:tcPr/>
          <w:p>
            <w:pPr>
              <w:pStyle w:val="Compact"/>
              <w:jc w:val="left"/>
            </w:pPr>
            <w:r>
              <w:t xml:space="preserve">dobry</w:t>
            </w:r>
          </w:p>
        </w:tc>
      </w:tr>
      <w:tr>
        <w:tc>
          <w:tcPr/>
          <w:p>
            <w:pPr>
              <w:pStyle w:val="Compact"/>
              <w:jc w:val="left"/>
            </w:pPr>
            <w:r>
              <w:t xml:space="preserve">M+</w:t>
            </w:r>
          </w:p>
        </w:tc>
        <w:tc>
          <w:tcPr/>
          <w:p>
            <w:pPr>
              <w:pStyle w:val="Compact"/>
              <w:jc w:val="right"/>
            </w:pPr>
            <w:r>
              <w:t xml:space="preserve">ponad 66%</w:t>
            </w:r>
          </w:p>
        </w:tc>
        <w:tc>
          <w:tcPr/>
          <w:p>
            <w:pPr>
              <w:pStyle w:val="Compact"/>
              <w:jc w:val="right"/>
            </w:pPr>
            <w:r>
              <w:t xml:space="preserve">2:1</w:t>
            </w:r>
          </w:p>
        </w:tc>
        <w:tc>
          <w:tcPr/>
          <w:p>
            <w:pPr>
              <w:pStyle w:val="Compact"/>
              <w:jc w:val="left"/>
            </w:pPr>
            <w:r>
              <w:t xml:space="preserve">dostateczny</w:t>
            </w:r>
          </w:p>
        </w:tc>
      </w:tr>
      <w:tr>
        <w:tc>
          <w:tcPr/>
          <w:p>
            <w:pPr>
              <w:pStyle w:val="Compact"/>
              <w:jc w:val="left"/>
            </w:pPr>
            <w:r>
              <w:t xml:space="preserve">M</w:t>
            </w:r>
          </w:p>
        </w:tc>
        <w:tc>
          <w:tcPr/>
          <w:p>
            <w:pPr>
              <w:pStyle w:val="Compact"/>
              <w:jc w:val="right"/>
            </w:pPr>
            <w:r>
              <w:t xml:space="preserve">ponad 50%</w:t>
            </w:r>
          </w:p>
        </w:tc>
        <w:tc>
          <w:tcPr/>
          <w:p>
            <w:pPr>
              <w:pStyle w:val="Compact"/>
              <w:jc w:val="right"/>
            </w:pPr>
            <w:r>
              <w:t xml:space="preserve">1:1</w:t>
            </w:r>
          </w:p>
        </w:tc>
        <w:tc>
          <w:tcPr/>
          <w:p>
            <w:pPr>
              <w:pStyle w:val="Compact"/>
              <w:jc w:val="left"/>
            </w:pPr>
            <w:r>
              <w:t xml:space="preserve">słaby</w:t>
            </w:r>
          </w:p>
        </w:tc>
      </w:tr>
      <w:tr>
        <w:tc>
          <w:tcPr/>
          <w:p>
            <w:pPr>
              <w:pStyle w:val="Compact"/>
              <w:jc w:val="left"/>
            </w:pPr>
            <w:r>
              <w:t xml:space="preserve">M-</w:t>
            </w:r>
          </w:p>
        </w:tc>
        <w:tc>
          <w:tcPr/>
          <w:p>
            <w:pPr>
              <w:pStyle w:val="Compact"/>
              <w:jc w:val="right"/>
            </w:pPr>
            <w:r>
              <w:t xml:space="preserve">przewaga względna</w:t>
            </w:r>
          </w:p>
        </w:tc>
        <w:tc>
          <w:tcPr/>
          <w:p>
            <w:pPr>
              <w:pStyle w:val="Compact"/>
            </w:pPr>
          </w:p>
        </w:tc>
        <w:tc>
          <w:tcPr/>
          <w:p>
            <w:pPr>
              <w:pStyle w:val="Compact"/>
              <w:jc w:val="left"/>
            </w:pPr>
            <w:r>
              <w:t xml:space="preserve">marginalny</w:t>
            </w:r>
          </w:p>
        </w:tc>
      </w:tr>
      <w:tr>
        <w:tc>
          <w:tcPr/>
          <w:p>
            <w:pPr>
              <w:pStyle w:val="Compact"/>
              <w:jc w:val="left"/>
            </w:pPr>
            <w:r>
              <w:t xml:space="preserve">M/E</w:t>
            </w:r>
          </w:p>
        </w:tc>
        <w:tc>
          <w:tcPr/>
          <w:p>
            <w:pPr>
              <w:pStyle w:val="Compact"/>
              <w:jc w:val="right"/>
            </w:pPr>
            <w:r>
              <w:t xml:space="preserve">remis</w:t>
            </w:r>
          </w:p>
        </w:tc>
        <w:tc>
          <w:tcPr/>
          <w:p>
            <w:pPr>
              <w:pStyle w:val="Compact"/>
            </w:pPr>
          </w:p>
        </w:tc>
        <w:tc>
          <w:tcPr/>
          <w:p>
            <w:pPr>
              <w:pStyle w:val="Compact"/>
            </w:pPr>
          </w:p>
        </w:tc>
      </w:tr>
    </w:tbl>
    <w:p>
      <w:pPr>
        <w:pStyle w:val="BodyText"/>
      </w:pPr>
      <w:r>
        <w:t xml:space="preserve">Zakładam, że Aland zgodzi się ze mną, iż E + M jest z pewnością oryginalne, dlatego kolumnę „oba” trzeba pominąć przy próbie oceny tendencji poszczególnych manuskryptów. W związku z tym przy obliczaniu odsetków uwzględniłem wyłącznie kolumny „egipskie”, „większościowe” i „inne”.</w:t>
      </w:r>
    </w:p>
    <w:tbl>
      <w:tblPr>
        <w:tblStyle w:val="Table"/>
        <w:tblW w:type="pct" w:w="5000"/>
        <w:tblLook w:firstRow="1" w:lastRow="0" w:firstColumn="0" w:lastColumn="0" w:noHBand="0" w:noVBand="0" w:val="0020"/>
        <w:jc w:val="start"/>
      </w:tblPr>
      <w:tblGrid>
        <w:gridCol w:w="678"/>
        <w:gridCol w:w="678"/>
        <w:gridCol w:w="678"/>
        <w:gridCol w:w="905"/>
        <w:gridCol w:w="905"/>
        <w:gridCol w:w="905"/>
        <w:gridCol w:w="905"/>
        <w:gridCol w:w="905"/>
        <w:gridCol w:w="678"/>
        <w:gridCol w:w="678"/>
      </w:tblGrid>
      <w:tr>
        <w:trPr>
          <w:tblHeader w:val="true"/>
        </w:trPr>
        <w:tc>
          <w:tcPr/>
          <w:p>
            <w:pPr>
              <w:pStyle w:val="Compact"/>
              <w:jc w:val="left"/>
            </w:pPr>
            <w:r>
              <w:t xml:space="preserve">Kodeks</w:t>
            </w:r>
          </w:p>
        </w:tc>
        <w:tc>
          <w:tcPr/>
          <w:p>
            <w:pPr>
              <w:pStyle w:val="Compact"/>
              <w:jc w:val="left"/>
            </w:pPr>
            <w:r>
              <w:t xml:space="preserve">Data</w:t>
            </w:r>
          </w:p>
        </w:tc>
        <w:tc>
          <w:tcPr/>
          <w:p>
            <w:pPr>
              <w:pStyle w:val="Compact"/>
              <w:jc w:val="left"/>
            </w:pPr>
            <w:r>
              <w:t xml:space="preserve">Zaw.</w:t>
            </w:r>
          </w:p>
        </w:tc>
        <w:tc>
          <w:tcPr/>
          <w:p>
            <w:pPr>
              <w:pStyle w:val="Compact"/>
              <w:jc w:val="right"/>
            </w:pPr>
            <w:r>
              <w:t xml:space="preserve">Egip.</w:t>
            </w:r>
          </w:p>
        </w:tc>
        <w:tc>
          <w:tcPr/>
          <w:p>
            <w:pPr>
              <w:pStyle w:val="Compact"/>
              <w:jc w:val="right"/>
            </w:pPr>
            <w:r>
              <w:t xml:space="preserve">Oba</w:t>
            </w:r>
          </w:p>
        </w:tc>
        <w:tc>
          <w:tcPr/>
          <w:p>
            <w:pPr>
              <w:pStyle w:val="Compact"/>
              <w:jc w:val="right"/>
            </w:pPr>
            <w:r>
              <w:t xml:space="preserve">Większ.</w:t>
            </w:r>
          </w:p>
        </w:tc>
        <w:tc>
          <w:tcPr/>
          <w:p>
            <w:pPr>
              <w:pStyle w:val="Compact"/>
              <w:jc w:val="right"/>
            </w:pPr>
            <w:r>
              <w:t xml:space="preserve">Inne</w:t>
            </w:r>
          </w:p>
        </w:tc>
        <w:tc>
          <w:tcPr/>
          <w:p>
            <w:pPr>
              <w:pStyle w:val="Compact"/>
              <w:jc w:val="right"/>
            </w:pPr>
            <w:r>
              <w:t xml:space="preserve">Suma</w:t>
            </w:r>
          </w:p>
        </w:tc>
        <w:tc>
          <w:tcPr/>
          <w:p>
            <w:pPr>
              <w:pStyle w:val="Compact"/>
              <w:jc w:val="left"/>
            </w:pPr>
            <w:r>
              <w:t xml:space="preserve">Klasa</w:t>
            </w:r>
          </w:p>
        </w:tc>
        <w:tc>
          <w:tcPr/>
          <w:p>
            <w:pPr>
              <w:pStyle w:val="Compact"/>
              <w:jc w:val="left"/>
            </w:pPr>
            <w:r>
              <w:t xml:space="preserve">Kat.</w:t>
            </w:r>
          </w:p>
        </w:tc>
      </w:tr>
      <w:tr>
        <w:tc>
          <w:tcPr/>
          <w:p>
            <w:pPr>
              <w:pStyle w:val="Compact"/>
              <w:jc w:val="left"/>
            </w:pPr>
            <w:r>
              <w:t xml:space="preserve">01</w:t>
            </w:r>
          </w:p>
        </w:tc>
        <w:tc>
          <w:tcPr/>
          <w:p>
            <w:pPr>
              <w:pStyle w:val="Compact"/>
              <w:jc w:val="left"/>
            </w:pPr>
            <w:r>
              <w:t xml:space="preserve">IV</w:t>
            </w:r>
          </w:p>
        </w:tc>
        <w:tc>
          <w:tcPr/>
          <w:p>
            <w:pPr>
              <w:pStyle w:val="Compact"/>
              <w:jc w:val="left"/>
            </w:pPr>
            <w:r>
              <w:t xml:space="preserve">e</w:t>
            </w:r>
          </w:p>
        </w:tc>
        <w:tc>
          <w:tcPr/>
          <w:p>
            <w:pPr>
              <w:pStyle w:val="Compact"/>
              <w:jc w:val="right"/>
            </w:pPr>
            <w:r>
              <w:t xml:space="preserve">170</w:t>
            </w:r>
          </w:p>
        </w:tc>
        <w:tc>
          <w:tcPr/>
          <w:p>
            <w:pPr>
              <w:pStyle w:val="Compact"/>
              <w:jc w:val="right"/>
            </w:pPr>
            <w:r>
              <w:t xml:space="preserve">80</w:t>
            </w:r>
          </w:p>
        </w:tc>
        <w:tc>
          <w:tcPr/>
          <w:p>
            <w:pPr>
              <w:pStyle w:val="Compact"/>
              <w:jc w:val="right"/>
            </w:pPr>
            <w:r>
              <w:t xml:space="preserve">23</w:t>
            </w:r>
          </w:p>
        </w:tc>
        <w:tc>
          <w:tcPr/>
          <w:p>
            <w:pPr>
              <w:pStyle w:val="Compact"/>
              <w:jc w:val="right"/>
            </w:pPr>
            <w:r>
              <w:t xml:space="preserve">95</w:t>
            </w:r>
          </w:p>
        </w:tc>
        <w:tc>
          <w:tcPr/>
          <w:p>
            <w:pPr>
              <w:pStyle w:val="Compact"/>
              <w:jc w:val="right"/>
            </w:pPr>
            <w:r>
              <w:t xml:space="preserve">368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67</w:t>
            </w:r>
          </w:p>
        </w:tc>
        <w:tc>
          <w:tcPr/>
          <w:p>
            <w:pPr>
              <w:pStyle w:val="Compact"/>
              <w:jc w:val="right"/>
            </w:pPr>
            <w:r>
              <w:t xml:space="preserve">24</w:t>
            </w:r>
          </w:p>
        </w:tc>
        <w:tc>
          <w:tcPr/>
          <w:p>
            <w:pPr>
              <w:pStyle w:val="Compact"/>
              <w:jc w:val="right"/>
            </w:pPr>
            <w:r>
              <w:t xml:space="preserve">9</w:t>
            </w:r>
          </w:p>
        </w:tc>
        <w:tc>
          <w:tcPr/>
          <w:p>
            <w:pPr>
              <w:pStyle w:val="Compact"/>
              <w:jc w:val="right"/>
            </w:pPr>
            <w:r>
              <w:t xml:space="preserve">17</w:t>
            </w:r>
          </w:p>
        </w:tc>
        <w:tc>
          <w:tcPr/>
          <w:p>
            <w:pPr>
              <w:pStyle w:val="Compact"/>
              <w:jc w:val="right"/>
            </w:pPr>
            <w:r>
              <w:t xml:space="preserve">117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174</w:t>
            </w:r>
          </w:p>
        </w:tc>
        <w:tc>
          <w:tcPr/>
          <w:p>
            <w:pPr>
              <w:pStyle w:val="Compact"/>
              <w:jc w:val="right"/>
            </w:pPr>
            <w:r>
              <w:t xml:space="preserve">38</w:t>
            </w:r>
          </w:p>
        </w:tc>
        <w:tc>
          <w:tcPr/>
          <w:p>
            <w:pPr>
              <w:pStyle w:val="Compact"/>
              <w:jc w:val="right"/>
            </w:pPr>
            <w:r>
              <w:t xml:space="preserve">76</w:t>
            </w:r>
          </w:p>
        </w:tc>
        <w:tc>
          <w:tcPr/>
          <w:p>
            <w:pPr>
              <w:pStyle w:val="Compact"/>
              <w:jc w:val="right"/>
            </w:pPr>
            <w:r>
              <w:t xml:space="preserve">52</w:t>
            </w:r>
          </w:p>
        </w:tc>
        <w:tc>
          <w:tcPr/>
          <w:p>
            <w:pPr>
              <w:pStyle w:val="Compact"/>
              <w:jc w:val="right"/>
            </w:pPr>
            <w:r>
              <w:t xml:space="preserve">340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73</w:t>
            </w:r>
          </w:p>
        </w:tc>
        <w:tc>
          <w:tcPr/>
          <w:p>
            <w:pPr>
              <w:pStyle w:val="Compact"/>
              <w:jc w:val="right"/>
            </w:pPr>
            <w:r>
              <w:t xml:space="preserve">5</w:t>
            </w:r>
          </w:p>
        </w:tc>
        <w:tc>
          <w:tcPr/>
          <w:p>
            <w:pPr>
              <w:pStyle w:val="Compact"/>
              <w:jc w:val="right"/>
            </w:pPr>
            <w:r>
              <w:t xml:space="preserve">21</w:t>
            </w:r>
          </w:p>
        </w:tc>
        <w:tc>
          <w:tcPr/>
          <w:p>
            <w:pPr>
              <w:pStyle w:val="Compact"/>
              <w:jc w:val="right"/>
            </w:pPr>
            <w:r>
              <w:t xml:space="preserve">16</w:t>
            </w:r>
          </w:p>
        </w:tc>
        <w:tc>
          <w:tcPr/>
          <w:p>
            <w:pPr>
              <w:pStyle w:val="Compact"/>
              <w:jc w:val="right"/>
            </w:pPr>
            <w:r>
              <w:t xml:space="preserve">115</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w:t>
            </w:r>
          </w:p>
        </w:tc>
        <w:tc>
          <w:tcPr/>
          <w:p>
            <w:pPr>
              <w:pStyle w:val="Compact"/>
              <w:jc w:val="left"/>
            </w:pPr>
            <w:r>
              <w:t xml:space="preserve">IV</w:t>
            </w:r>
          </w:p>
        </w:tc>
        <w:tc>
          <w:tcPr/>
          <w:p>
            <w:pPr>
              <w:pStyle w:val="Compact"/>
              <w:jc w:val="left"/>
            </w:pPr>
            <w:r>
              <w:t xml:space="preserve">e</w:t>
            </w:r>
          </w:p>
        </w:tc>
        <w:tc>
          <w:tcPr/>
          <w:p>
            <w:pPr>
              <w:pStyle w:val="Compact"/>
              <w:jc w:val="right"/>
            </w:pPr>
            <w:r>
              <w:t xml:space="preserve">196</w:t>
            </w:r>
          </w:p>
        </w:tc>
        <w:tc>
          <w:tcPr/>
          <w:p>
            <w:pPr>
              <w:pStyle w:val="Compact"/>
              <w:jc w:val="right"/>
            </w:pPr>
            <w:r>
              <w:t xml:space="preserve">54</w:t>
            </w:r>
          </w:p>
        </w:tc>
        <w:tc>
          <w:tcPr/>
          <w:p>
            <w:pPr>
              <w:pStyle w:val="Compact"/>
              <w:jc w:val="right"/>
            </w:pPr>
            <w:r>
              <w:t xml:space="preserve">9</w:t>
            </w:r>
          </w:p>
        </w:tc>
        <w:tc>
          <w:tcPr/>
          <w:p>
            <w:pPr>
              <w:pStyle w:val="Compact"/>
              <w:jc w:val="right"/>
            </w:pPr>
            <w:r>
              <w:t xml:space="preserve">72</w:t>
            </w:r>
          </w:p>
        </w:tc>
        <w:tc>
          <w:tcPr/>
          <w:p>
            <w:pPr>
              <w:pStyle w:val="Compact"/>
              <w:jc w:val="right"/>
            </w:pPr>
            <w:r>
              <w:t xml:space="preserve">331</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72</w:t>
            </w:r>
          </w:p>
        </w:tc>
        <w:tc>
          <w:tcPr/>
          <w:p>
            <w:pPr>
              <w:pStyle w:val="Compact"/>
              <w:jc w:val="right"/>
            </w:pPr>
            <w:r>
              <w:t xml:space="preserve">22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107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144</w:t>
            </w:r>
          </w:p>
        </w:tc>
        <w:tc>
          <w:tcPr/>
          <w:p>
            <w:pPr>
              <w:pStyle w:val="Compact"/>
              <w:jc w:val="right"/>
            </w:pPr>
            <w:r>
              <w:t xml:space="preserve">31</w:t>
            </w:r>
          </w:p>
        </w:tc>
        <w:tc>
          <w:tcPr/>
          <w:p>
            <w:pPr>
              <w:pStyle w:val="Compact"/>
              <w:jc w:val="right"/>
            </w:pPr>
            <w:r>
              <w:t xml:space="preserve">8</w:t>
            </w:r>
          </w:p>
        </w:tc>
        <w:tc>
          <w:tcPr/>
          <w:p>
            <w:pPr>
              <w:pStyle w:val="Compact"/>
              <w:jc w:val="right"/>
            </w:pPr>
            <w:r>
              <w:t xml:space="preserve">27</w:t>
            </w:r>
          </w:p>
        </w:tc>
        <w:tc>
          <w:tcPr/>
          <w:p>
            <w:pPr>
              <w:pStyle w:val="Compact"/>
              <w:jc w:val="right"/>
            </w:pPr>
            <w:r>
              <w:t xml:space="preserve">210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80</w:t>
            </w:r>
          </w:p>
        </w:tc>
        <w:tc>
          <w:tcPr/>
          <w:p>
            <w:pPr>
              <w:pStyle w:val="Compact"/>
              <w:jc w:val="right"/>
            </w:pPr>
            <w:r>
              <w:t xml:space="preserve">8</w:t>
            </w:r>
          </w:p>
        </w:tc>
        <w:tc>
          <w:tcPr/>
          <w:p>
            <w:pPr>
              <w:pStyle w:val="Compact"/>
              <w:jc w:val="right"/>
            </w:pPr>
            <w:r>
              <w:t xml:space="preserve">2</w:t>
            </w:r>
          </w:p>
        </w:tc>
        <w:tc>
          <w:tcPr/>
          <w:p>
            <w:pPr>
              <w:pStyle w:val="Compact"/>
              <w:jc w:val="right"/>
            </w:pPr>
            <w:r>
              <w:t xml:space="preserve">9</w:t>
            </w:r>
          </w:p>
        </w:tc>
        <w:tc>
          <w:tcPr/>
          <w:p>
            <w:pPr>
              <w:pStyle w:val="Compact"/>
              <w:jc w:val="right"/>
            </w:pPr>
            <w:r>
              <w:t xml:space="preserve">99</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032</w:t>
            </w:r>
            <w:r>
              <w:rPr>
                <w:rStyle w:val="FootnoteReference"/>
              </w:rPr>
              <w:footnoteReference w:id="569"/>
            </w:r>
          </w:p>
        </w:tc>
        <w:tc>
          <w:tcPr/>
          <w:p>
            <w:pPr>
              <w:pStyle w:val="Compact"/>
              <w:jc w:val="left"/>
            </w:pPr>
            <w:r>
              <w:t xml:space="preserve">IV</w:t>
            </w:r>
          </w:p>
        </w:tc>
        <w:tc>
          <w:tcPr/>
          <w:p>
            <w:pPr>
              <w:pStyle w:val="Compact"/>
              <w:jc w:val="left"/>
            </w:pPr>
            <w:r>
              <w:t xml:space="preserve">e</w:t>
            </w:r>
          </w:p>
        </w:tc>
        <w:tc>
          <w:tcPr/>
          <w:p>
            <w:pPr>
              <w:pStyle w:val="Compact"/>
              <w:jc w:val="right"/>
            </w:pPr>
            <w:r>
              <w:t xml:space="preserve">54</w:t>
            </w:r>
          </w:p>
        </w:tc>
        <w:tc>
          <w:tcPr/>
          <w:p>
            <w:pPr>
              <w:pStyle w:val="Compact"/>
              <w:jc w:val="right"/>
            </w:pPr>
            <w:r>
              <w:t xml:space="preserve">70</w:t>
            </w:r>
          </w:p>
        </w:tc>
        <w:tc>
          <w:tcPr/>
          <w:p>
            <w:pPr>
              <w:pStyle w:val="Compact"/>
              <w:jc w:val="right"/>
            </w:pPr>
            <w:r>
              <w:t xml:space="preserve">118</w:t>
            </w:r>
          </w:p>
        </w:tc>
        <w:tc>
          <w:tcPr/>
          <w:p>
            <w:pPr>
              <w:pStyle w:val="Compact"/>
              <w:jc w:val="right"/>
            </w:pPr>
            <w:r>
              <w:t xml:space="preserve">88</w:t>
            </w:r>
          </w:p>
        </w:tc>
        <w:tc>
          <w:tcPr/>
          <w:p>
            <w:pPr>
              <w:pStyle w:val="Compact"/>
              <w:jc w:val="right"/>
            </w:pPr>
            <w:r>
              <w:t xml:space="preserve">330</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02</w:t>
            </w:r>
          </w:p>
        </w:tc>
        <w:tc>
          <w:tcPr/>
          <w:p>
            <w:pPr>
              <w:pStyle w:val="Compact"/>
              <w:jc w:val="left"/>
            </w:pPr>
            <w:r>
              <w:t xml:space="preserve">V</w:t>
            </w:r>
          </w:p>
        </w:tc>
        <w:tc>
          <w:tcPr/>
          <w:p>
            <w:pPr>
              <w:pStyle w:val="Compact"/>
              <w:jc w:val="left"/>
            </w:pPr>
            <w:r>
              <w:t xml:space="preserve">e</w:t>
            </w:r>
          </w:p>
        </w:tc>
        <w:tc>
          <w:tcPr/>
          <w:p>
            <w:pPr>
              <w:pStyle w:val="Compact"/>
              <w:jc w:val="right"/>
            </w:pPr>
            <w:r>
              <w:t xml:space="preserve">18</w:t>
            </w:r>
          </w:p>
        </w:tc>
        <w:tc>
          <w:tcPr/>
          <w:p>
            <w:pPr>
              <w:pStyle w:val="Compact"/>
              <w:jc w:val="right"/>
            </w:pPr>
            <w:r>
              <w:t xml:space="preserve">84</w:t>
            </w:r>
          </w:p>
        </w:tc>
        <w:tc>
          <w:tcPr/>
          <w:p>
            <w:pPr>
              <w:pStyle w:val="Compact"/>
              <w:jc w:val="right"/>
            </w:pPr>
            <w:r>
              <w:t xml:space="preserve">151</w:t>
            </w:r>
          </w:p>
        </w:tc>
        <w:tc>
          <w:tcPr/>
          <w:p>
            <w:pPr>
              <w:pStyle w:val="Compact"/>
              <w:jc w:val="right"/>
            </w:pPr>
            <w:r>
              <w:t xml:space="preserve">15</w:t>
            </w:r>
          </w:p>
        </w:tc>
        <w:tc>
          <w:tcPr/>
          <w:p>
            <w:pPr>
              <w:pStyle w:val="Compact"/>
              <w:jc w:val="right"/>
            </w:pPr>
            <w:r>
              <w:t xml:space="preserve">268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65</w:t>
            </w:r>
          </w:p>
        </w:tc>
        <w:tc>
          <w:tcPr/>
          <w:p>
            <w:pPr>
              <w:pStyle w:val="Compact"/>
              <w:jc w:val="right"/>
            </w:pPr>
            <w:r>
              <w:t xml:space="preserve">22</w:t>
            </w:r>
          </w:p>
        </w:tc>
        <w:tc>
          <w:tcPr/>
          <w:p>
            <w:pPr>
              <w:pStyle w:val="Compact"/>
              <w:jc w:val="right"/>
            </w:pPr>
            <w:r>
              <w:t xml:space="preserve">9</w:t>
            </w:r>
          </w:p>
        </w:tc>
        <w:tc>
          <w:tcPr/>
          <w:p>
            <w:pPr>
              <w:pStyle w:val="Compact"/>
              <w:jc w:val="right"/>
            </w:pPr>
            <w:r>
              <w:t xml:space="preserve">12</w:t>
            </w:r>
          </w:p>
        </w:tc>
        <w:tc>
          <w:tcPr/>
          <w:p>
            <w:pPr>
              <w:pStyle w:val="Compact"/>
              <w:jc w:val="right"/>
            </w:pPr>
            <w:r>
              <w:t xml:space="preserve">108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149</w:t>
            </w:r>
          </w:p>
        </w:tc>
        <w:tc>
          <w:tcPr/>
          <w:p>
            <w:pPr>
              <w:pStyle w:val="Compact"/>
              <w:jc w:val="right"/>
            </w:pPr>
            <w:r>
              <w:t xml:space="preserve">28</w:t>
            </w:r>
          </w:p>
        </w:tc>
        <w:tc>
          <w:tcPr/>
          <w:p>
            <w:pPr>
              <w:pStyle w:val="Compact"/>
              <w:jc w:val="right"/>
            </w:pPr>
            <w:r>
              <w:t xml:space="preserve">31</w:t>
            </w:r>
          </w:p>
        </w:tc>
        <w:tc>
          <w:tcPr/>
          <w:p>
            <w:pPr>
              <w:pStyle w:val="Compact"/>
              <w:jc w:val="right"/>
            </w:pPr>
            <w:r>
              <w:t xml:space="preserve">37</w:t>
            </w:r>
          </w:p>
        </w:tc>
        <w:tc>
          <w:tcPr/>
          <w:p>
            <w:pPr>
              <w:pStyle w:val="Compact"/>
              <w:jc w:val="right"/>
            </w:pPr>
            <w:r>
              <w:t xml:space="preserve">245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62</w:t>
            </w:r>
          </w:p>
        </w:tc>
        <w:tc>
          <w:tcPr/>
          <w:p>
            <w:pPr>
              <w:pStyle w:val="Compact"/>
              <w:jc w:val="right"/>
            </w:pPr>
            <w:r>
              <w:t xml:space="preserve">5</w:t>
            </w:r>
          </w:p>
        </w:tc>
        <w:tc>
          <w:tcPr/>
          <w:p>
            <w:pPr>
              <w:pStyle w:val="Compact"/>
              <w:jc w:val="right"/>
            </w:pPr>
            <w:r>
              <w:t xml:space="preserve">18</w:t>
            </w:r>
          </w:p>
        </w:tc>
        <w:tc>
          <w:tcPr/>
          <w:p>
            <w:pPr>
              <w:pStyle w:val="Compact"/>
              <w:jc w:val="right"/>
            </w:pPr>
            <w:r>
              <w:t xml:space="preserve">12</w:t>
            </w:r>
          </w:p>
        </w:tc>
        <w:tc>
          <w:tcPr/>
          <w:p>
            <w:pPr>
              <w:pStyle w:val="Compact"/>
              <w:jc w:val="right"/>
            </w:pPr>
            <w:r>
              <w:t xml:space="preserve">97</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04</w:t>
            </w:r>
          </w:p>
        </w:tc>
        <w:tc>
          <w:tcPr/>
          <w:p>
            <w:pPr>
              <w:pStyle w:val="Compact"/>
              <w:jc w:val="left"/>
            </w:pPr>
            <w:r>
              <w:t xml:space="preserve">V</w:t>
            </w:r>
          </w:p>
        </w:tc>
        <w:tc>
          <w:tcPr/>
          <w:p>
            <w:pPr>
              <w:pStyle w:val="Compact"/>
              <w:jc w:val="left"/>
            </w:pPr>
            <w:r>
              <w:t xml:space="preserve">e</w:t>
            </w:r>
          </w:p>
        </w:tc>
        <w:tc>
          <w:tcPr/>
          <w:p>
            <w:pPr>
              <w:pStyle w:val="Compact"/>
              <w:jc w:val="right"/>
            </w:pPr>
            <w:r>
              <w:t xml:space="preserve">66</w:t>
            </w:r>
          </w:p>
        </w:tc>
        <w:tc>
          <w:tcPr/>
          <w:p>
            <w:pPr>
              <w:pStyle w:val="Compact"/>
              <w:jc w:val="right"/>
            </w:pPr>
            <w:r>
              <w:t xml:space="preserve">66</w:t>
            </w:r>
          </w:p>
        </w:tc>
        <w:tc>
          <w:tcPr/>
          <w:p>
            <w:pPr>
              <w:pStyle w:val="Compact"/>
              <w:jc w:val="right"/>
            </w:pPr>
            <w:r>
              <w:t xml:space="preserve">87</w:t>
            </w:r>
          </w:p>
        </w:tc>
        <w:tc>
          <w:tcPr/>
          <w:p>
            <w:pPr>
              <w:pStyle w:val="Compact"/>
              <w:jc w:val="right"/>
            </w:pPr>
            <w:r>
              <w:t xml:space="preserve">50</w:t>
            </w:r>
          </w:p>
        </w:tc>
        <w:tc>
          <w:tcPr/>
          <w:p>
            <w:pPr>
              <w:pStyle w:val="Compact"/>
              <w:jc w:val="right"/>
            </w:pPr>
            <w:r>
              <w:t xml:space="preserve">269</w:t>
            </w:r>
          </w:p>
        </w:tc>
        <w:tc>
          <w:tcPr/>
          <w:p>
            <w:pPr>
              <w:pStyle w:val="Compact"/>
              <w:jc w:val="left"/>
            </w:pPr>
            <w:r>
              <w:t xml:space="preserve">M-</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37</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11</w:t>
            </w:r>
          </w:p>
        </w:tc>
        <w:tc>
          <w:tcPr/>
          <w:p>
            <w:pPr>
              <w:pStyle w:val="Compact"/>
              <w:jc w:val="right"/>
            </w:pPr>
            <w:r>
              <w:t xml:space="preserve">72</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31</w:t>
            </w:r>
          </w:p>
        </w:tc>
        <w:tc>
          <w:tcPr/>
          <w:p>
            <w:pPr>
              <w:pStyle w:val="Compact"/>
              <w:jc w:val="right"/>
            </w:pPr>
            <w:r>
              <w:t xml:space="preserve">15</w:t>
            </w:r>
          </w:p>
        </w:tc>
        <w:tc>
          <w:tcPr/>
          <w:p>
            <w:pPr>
              <w:pStyle w:val="Compact"/>
              <w:jc w:val="right"/>
            </w:pPr>
            <w:r>
              <w:t xml:space="preserve">173</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41</w:t>
            </w:r>
          </w:p>
        </w:tc>
        <w:tc>
          <w:tcPr/>
          <w:p>
            <w:pPr>
              <w:pStyle w:val="Compact"/>
              <w:jc w:val="right"/>
            </w:pPr>
            <w:r>
              <w:t xml:space="preserve">3</w:t>
            </w:r>
          </w:p>
        </w:tc>
        <w:tc>
          <w:tcPr/>
          <w:p>
            <w:pPr>
              <w:pStyle w:val="Compact"/>
              <w:jc w:val="right"/>
            </w:pPr>
            <w:r>
              <w:t xml:space="preserve">15</w:t>
            </w:r>
          </w:p>
        </w:tc>
        <w:tc>
          <w:tcPr/>
          <w:p>
            <w:pPr>
              <w:pStyle w:val="Compact"/>
              <w:jc w:val="right"/>
            </w:pPr>
            <w:r>
              <w:t xml:space="preserve">12</w:t>
            </w:r>
          </w:p>
        </w:tc>
        <w:tc>
          <w:tcPr/>
          <w:p>
            <w:pPr>
              <w:pStyle w:val="Compact"/>
              <w:jc w:val="right"/>
            </w:pPr>
            <w:r>
              <w:t xml:space="preserve">71</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05</w:t>
            </w:r>
          </w:p>
        </w:tc>
        <w:tc>
          <w:tcPr/>
          <w:p>
            <w:pPr>
              <w:pStyle w:val="Compact"/>
              <w:jc w:val="left"/>
            </w:pPr>
            <w:r>
              <w:t xml:space="preserve">V</w:t>
            </w:r>
          </w:p>
        </w:tc>
        <w:tc>
          <w:tcPr/>
          <w:p>
            <w:pPr>
              <w:pStyle w:val="Compact"/>
              <w:jc w:val="left"/>
            </w:pPr>
            <w:r>
              <w:t xml:space="preserve">e</w:t>
            </w:r>
          </w:p>
        </w:tc>
        <w:tc>
          <w:tcPr/>
          <w:p>
            <w:pPr>
              <w:pStyle w:val="Compact"/>
              <w:jc w:val="right"/>
            </w:pPr>
            <w:r>
              <w:t xml:space="preserve">77</w:t>
            </w:r>
          </w:p>
        </w:tc>
        <w:tc>
          <w:tcPr/>
          <w:p>
            <w:pPr>
              <w:pStyle w:val="Compact"/>
              <w:jc w:val="right"/>
            </w:pPr>
            <w:r>
              <w:t xml:space="preserve">48</w:t>
            </w:r>
          </w:p>
        </w:tc>
        <w:tc>
          <w:tcPr/>
          <w:p>
            <w:pPr>
              <w:pStyle w:val="Compact"/>
              <w:jc w:val="right"/>
            </w:pPr>
            <w:r>
              <w:t xml:space="preserve">65</w:t>
            </w:r>
          </w:p>
        </w:tc>
        <w:tc>
          <w:tcPr/>
          <w:p>
            <w:pPr>
              <w:pStyle w:val="Compact"/>
              <w:jc w:val="right"/>
            </w:pPr>
            <w:r>
              <w:t xml:space="preserve">134</w:t>
            </w:r>
          </w:p>
        </w:tc>
        <w:tc>
          <w:tcPr/>
          <w:p>
            <w:pPr>
              <w:pStyle w:val="Compact"/>
              <w:jc w:val="right"/>
            </w:pPr>
            <w:r>
              <w:t xml:space="preserve">324</w:t>
            </w:r>
          </w:p>
        </w:tc>
        <w:tc>
          <w:tcPr/>
          <w:p>
            <w:pPr>
              <w:pStyle w:val="Compact"/>
              <w:jc w:val="left"/>
            </w:pPr>
            <w:r>
              <w:t xml:space="preserve">O-</w:t>
            </w:r>
          </w:p>
        </w:tc>
        <w:tc>
          <w:tcPr/>
          <w:p>
            <w:pPr>
              <w:pStyle w:val="Compact"/>
              <w:jc w:val="left"/>
            </w:pPr>
            <w:r>
              <w:t xml:space="preserve">IV</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16</w:t>
            </w:r>
          </w:p>
        </w:tc>
        <w:tc>
          <w:tcPr/>
          <w:p>
            <w:pPr>
              <w:pStyle w:val="Compact"/>
              <w:jc w:val="right"/>
            </w:pPr>
            <w:r>
              <w:t xml:space="preserve">7</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77</w:t>
            </w:r>
          </w:p>
        </w:tc>
        <w:tc>
          <w:tcPr/>
          <w:p>
            <w:pPr>
              <w:pStyle w:val="Compact"/>
              <w:jc w:val="left"/>
            </w:pPr>
            <w:r>
              <w:t xml:space="preserve">O-</w:t>
            </w:r>
          </w:p>
        </w:tc>
        <w:tc>
          <w:tcPr/>
          <w:p>
            <w:pPr>
              <w:pStyle w:val="Compact"/>
              <w:jc w:val="left"/>
            </w:pPr>
            <w:r>
              <w:t xml:space="preserve">IV</w:t>
            </w:r>
          </w:p>
        </w:tc>
      </w:tr>
      <w:tr>
        <w:tc>
          <w:tcPr/>
          <w:p>
            <w:pPr>
              <w:pStyle w:val="Compact"/>
              <w:jc w:val="left"/>
            </w:pPr>
            <w:r>
              <w:t xml:space="preserve">016</w:t>
            </w:r>
          </w:p>
        </w:tc>
        <w:tc>
          <w:tcPr/>
          <w:p>
            <w:pPr>
              <w:pStyle w:val="Compact"/>
              <w:jc w:val="left"/>
            </w:pPr>
            <w:r>
              <w:t xml:space="preserve">V</w:t>
            </w:r>
          </w:p>
        </w:tc>
        <w:tc>
          <w:tcPr/>
          <w:p>
            <w:pPr>
              <w:pStyle w:val="Compact"/>
              <w:jc w:val="left"/>
            </w:pPr>
            <w:r>
              <w:t xml:space="preserve">p</w:t>
            </w:r>
          </w:p>
        </w:tc>
        <w:tc>
          <w:tcPr/>
          <w:p>
            <w:pPr>
              <w:pStyle w:val="Compact"/>
              <w:jc w:val="right"/>
            </w:pPr>
            <w:r>
              <w:t xml:space="preserve">15</w:t>
            </w:r>
          </w:p>
        </w:tc>
        <w:tc>
          <w:tcPr/>
          <w:p>
            <w:pPr>
              <w:pStyle w:val="Compact"/>
              <w:jc w:val="right"/>
            </w:pPr>
            <w:r>
              <w:t xml:space="preserve">1</w:t>
            </w:r>
          </w:p>
        </w:tc>
        <w:tc>
          <w:tcPr/>
          <w:p>
            <w:pPr>
              <w:pStyle w:val="Compact"/>
              <w:jc w:val="right"/>
            </w:pPr>
            <w:r>
              <w:t xml:space="preserve">2</w:t>
            </w:r>
          </w:p>
        </w:tc>
        <w:tc>
          <w:tcPr/>
          <w:p>
            <w:pPr>
              <w:pStyle w:val="Compact"/>
              <w:jc w:val="right"/>
            </w:pPr>
            <w:r>
              <w:t xml:space="preserve">6</w:t>
            </w:r>
          </w:p>
        </w:tc>
        <w:tc>
          <w:tcPr/>
          <w:p>
            <w:pPr>
              <w:pStyle w:val="Compact"/>
              <w:jc w:val="right"/>
            </w:pPr>
            <w:r>
              <w:t xml:space="preserve">24</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026</w:t>
            </w:r>
          </w:p>
        </w:tc>
        <w:tc>
          <w:tcPr/>
          <w:p>
            <w:pPr>
              <w:pStyle w:val="Compact"/>
              <w:jc w:val="left"/>
            </w:pPr>
            <w:r>
              <w:t xml:space="preserve">V</w:t>
            </w:r>
          </w:p>
        </w:tc>
        <w:tc>
          <w:tcPr/>
          <w:p>
            <w:pPr>
              <w:pStyle w:val="Compact"/>
              <w:jc w:val="left"/>
            </w:pPr>
            <w:r>
              <w:t xml:space="preserve">e</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right"/>
            </w:pPr>
            <w:r>
              <w:t xml:space="preserve">12</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048</w:t>
            </w:r>
          </w:p>
        </w:tc>
        <w:tc>
          <w:tcPr/>
          <w:p>
            <w:pPr>
              <w:pStyle w:val="Compact"/>
              <w:jc w:val="left"/>
            </w:pPr>
            <w:r>
              <w:t xml:space="preserve">V</w:t>
            </w:r>
          </w:p>
        </w:tc>
        <w:tc>
          <w:tcPr/>
          <w:p>
            <w:pPr>
              <w:pStyle w:val="Compact"/>
              <w:jc w:val="left"/>
            </w:pPr>
            <w:r>
              <w:t xml:space="preserve">p*</w:t>
            </w:r>
          </w:p>
        </w:tc>
        <w:tc>
          <w:tcPr/>
          <w:p>
            <w:pPr>
              <w:pStyle w:val="Compact"/>
              <w:jc w:val="right"/>
            </w:pPr>
            <w:r>
              <w:t xml:space="preserve">26</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c>
          <w:tcPr/>
          <w:p>
            <w:pPr>
              <w:pStyle w:val="Compact"/>
              <w:jc w:val="right"/>
            </w:pPr>
            <w:r>
              <w:t xml:space="preserve">40</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0274</w:t>
            </w:r>
          </w:p>
        </w:tc>
        <w:tc>
          <w:tcPr/>
          <w:p>
            <w:pPr>
              <w:pStyle w:val="Compact"/>
              <w:jc w:val="left"/>
            </w:pPr>
            <w:r>
              <w:t xml:space="preserve">V</w:t>
            </w:r>
          </w:p>
        </w:tc>
        <w:tc>
          <w:tcPr/>
          <w:p>
            <w:pPr>
              <w:pStyle w:val="Compact"/>
              <w:jc w:val="left"/>
            </w:pPr>
            <w:r>
              <w:t xml:space="preserve">e</w:t>
            </w:r>
          </w:p>
        </w:tc>
        <w:tc>
          <w:tcPr/>
          <w:p>
            <w:pPr>
              <w:pStyle w:val="Compact"/>
              <w:jc w:val="right"/>
            </w:pPr>
            <w:r>
              <w:t xml:space="preserve">19</w:t>
            </w:r>
          </w:p>
        </w:tc>
        <w:tc>
          <w:tcPr/>
          <w:p>
            <w:pPr>
              <w:pStyle w:val="Compact"/>
              <w:jc w:val="right"/>
            </w:pPr>
            <w:r>
              <w:t xml:space="preserve">6</w:t>
            </w:r>
          </w:p>
        </w:tc>
        <w:tc>
          <w:tcPr/>
          <w:p>
            <w:pPr>
              <w:pStyle w:val="Compact"/>
              <w:jc w:val="right"/>
            </w:pPr>
            <w:r>
              <w:t xml:space="preserve">0</w:t>
            </w:r>
          </w:p>
        </w:tc>
        <w:tc>
          <w:tcPr/>
          <w:p>
            <w:pPr>
              <w:pStyle w:val="Compact"/>
              <w:jc w:val="right"/>
            </w:pPr>
            <w:r>
              <w:t xml:space="preserve">2</w:t>
            </w:r>
          </w:p>
        </w:tc>
        <w:tc>
          <w:tcPr/>
          <w:p>
            <w:pPr>
              <w:pStyle w:val="Compact"/>
              <w:jc w:val="right"/>
            </w:pPr>
            <w:r>
              <w:t xml:space="preserve">27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06</w:t>
            </w:r>
          </w:p>
        </w:tc>
        <w:tc>
          <w:tcPr/>
          <w:p>
            <w:pPr>
              <w:pStyle w:val="Compact"/>
              <w:jc w:val="left"/>
            </w:pPr>
            <w:r>
              <w:t xml:space="preserve">VI</w:t>
            </w:r>
          </w:p>
        </w:tc>
        <w:tc>
          <w:tcPr/>
          <w:p>
            <w:pPr>
              <w:pStyle w:val="Compact"/>
              <w:jc w:val="left"/>
            </w:pPr>
            <w:r>
              <w:t xml:space="preserve">p</w:t>
            </w:r>
          </w:p>
        </w:tc>
        <w:tc>
          <w:tcPr/>
          <w:p>
            <w:pPr>
              <w:pStyle w:val="Compact"/>
              <w:jc w:val="right"/>
            </w:pPr>
            <w:r>
              <w:t xml:space="preserve">112</w:t>
            </w:r>
          </w:p>
        </w:tc>
        <w:tc>
          <w:tcPr/>
          <w:p>
            <w:pPr>
              <w:pStyle w:val="Compact"/>
              <w:jc w:val="right"/>
            </w:pPr>
            <w:r>
              <w:t xml:space="preserve">29</w:t>
            </w:r>
          </w:p>
        </w:tc>
        <w:tc>
          <w:tcPr/>
          <w:p>
            <w:pPr>
              <w:pStyle w:val="Compact"/>
              <w:jc w:val="right"/>
            </w:pPr>
            <w:r>
              <w:t xml:space="preserve">137</w:t>
            </w:r>
          </w:p>
        </w:tc>
        <w:tc>
          <w:tcPr/>
          <w:p>
            <w:pPr>
              <w:pStyle w:val="Compact"/>
              <w:jc w:val="right"/>
            </w:pPr>
            <w:r>
              <w:t xml:space="preserve">83</w:t>
            </w:r>
          </w:p>
        </w:tc>
        <w:tc>
          <w:tcPr/>
          <w:p>
            <w:pPr>
              <w:pStyle w:val="Compact"/>
              <w:jc w:val="right"/>
            </w:pPr>
            <w:r>
              <w:t xml:space="preserve">361</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08</w:t>
            </w:r>
          </w:p>
        </w:tc>
        <w:tc>
          <w:tcPr/>
          <w:p>
            <w:pPr>
              <w:pStyle w:val="Compact"/>
              <w:jc w:val="left"/>
            </w:pPr>
            <w:r>
              <w:t xml:space="preserve">VI</w:t>
            </w:r>
          </w:p>
        </w:tc>
        <w:tc>
          <w:tcPr/>
          <w:p>
            <w:pPr>
              <w:pStyle w:val="Compact"/>
              <w:jc w:val="left"/>
            </w:pPr>
            <w:r>
              <w:t xml:space="preserve">a</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36</w:t>
            </w:r>
          </w:p>
        </w:tc>
        <w:tc>
          <w:tcPr/>
          <w:p>
            <w:pPr>
              <w:pStyle w:val="Compact"/>
              <w:jc w:val="right"/>
            </w:pPr>
            <w:r>
              <w:t xml:space="preserve">22</w:t>
            </w:r>
          </w:p>
        </w:tc>
        <w:tc>
          <w:tcPr/>
          <w:p>
            <w:pPr>
              <w:pStyle w:val="Compact"/>
              <w:jc w:val="right"/>
            </w:pPr>
            <w:r>
              <w:t xml:space="preserve">102</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015</w:t>
            </w:r>
          </w:p>
        </w:tc>
        <w:tc>
          <w:tcPr/>
          <w:p>
            <w:pPr>
              <w:pStyle w:val="Compact"/>
              <w:jc w:val="left"/>
            </w:pPr>
            <w:r>
              <w:t xml:space="preserve">VI</w:t>
            </w:r>
          </w:p>
        </w:tc>
        <w:tc>
          <w:tcPr/>
          <w:p>
            <w:pPr>
              <w:pStyle w:val="Compact"/>
              <w:jc w:val="left"/>
            </w:pPr>
            <w:r>
              <w:t xml:space="preserve">p</w:t>
            </w:r>
          </w:p>
        </w:tc>
        <w:tc>
          <w:tcPr/>
          <w:p>
            <w:pPr>
              <w:pStyle w:val="Compact"/>
              <w:jc w:val="right"/>
            </w:pPr>
            <w:r>
              <w:t xml:space="preserve">11</w:t>
            </w:r>
          </w:p>
        </w:tc>
        <w:tc>
          <w:tcPr/>
          <w:p>
            <w:pPr>
              <w:pStyle w:val="Compact"/>
              <w:jc w:val="right"/>
            </w:pPr>
            <w:r>
              <w:t xml:space="preserve">0</w:t>
            </w:r>
          </w:p>
        </w:tc>
        <w:tc>
          <w:tcPr/>
          <w:p>
            <w:pPr>
              <w:pStyle w:val="Compact"/>
              <w:jc w:val="right"/>
            </w:pPr>
            <w:r>
              <w:t xml:space="preserve">5</w:t>
            </w:r>
          </w:p>
        </w:tc>
        <w:tc>
          <w:tcPr/>
          <w:p>
            <w:pPr>
              <w:pStyle w:val="Compact"/>
              <w:jc w:val="right"/>
            </w:pPr>
            <w:r>
              <w:t xml:space="preserve">1</w:t>
            </w:r>
          </w:p>
        </w:tc>
        <w:tc>
          <w:tcPr/>
          <w:p>
            <w:pPr>
              <w:pStyle w:val="Compact"/>
              <w:jc w:val="right"/>
            </w:pPr>
            <w:r>
              <w:t xml:space="preserve">17</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022</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48</w:t>
            </w:r>
          </w:p>
        </w:tc>
        <w:tc>
          <w:tcPr/>
          <w:p>
            <w:pPr>
              <w:pStyle w:val="Compact"/>
              <w:jc w:val="right"/>
            </w:pPr>
            <w:r>
              <w:t xml:space="preserve">89</w:t>
            </w:r>
          </w:p>
        </w:tc>
        <w:tc>
          <w:tcPr/>
          <w:p>
            <w:pPr>
              <w:pStyle w:val="Compact"/>
              <w:jc w:val="right"/>
            </w:pPr>
            <w:r>
              <w:t xml:space="preserve">15</w:t>
            </w:r>
          </w:p>
        </w:tc>
        <w:tc>
          <w:tcPr/>
          <w:p>
            <w:pPr>
              <w:pStyle w:val="Compact"/>
              <w:jc w:val="right"/>
            </w:pPr>
            <w:r>
              <w:t xml:space="preserve">160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9</w:t>
            </w:r>
          </w:p>
        </w:tc>
        <w:tc>
          <w:tcPr/>
          <w:p>
            <w:pPr>
              <w:pStyle w:val="Compact"/>
              <w:jc w:val="right"/>
            </w:pPr>
            <w:r>
              <w:t xml:space="preserve">3</w:t>
            </w:r>
          </w:p>
        </w:tc>
        <w:tc>
          <w:tcPr/>
          <w:p>
            <w:pPr>
              <w:pStyle w:val="Compact"/>
              <w:jc w:val="right"/>
            </w:pPr>
            <w:r>
              <w:t xml:space="preserve">16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024</w:t>
            </w:r>
          </w:p>
        </w:tc>
        <w:tc>
          <w:tcPr/>
          <w:p>
            <w:pPr>
              <w:pStyle w:val="Compact"/>
              <w:jc w:val="left"/>
            </w:pPr>
            <w:r>
              <w:t xml:space="preserve">VI</w:t>
            </w:r>
          </w:p>
        </w:tc>
        <w:tc>
          <w:tcPr/>
          <w:p>
            <w:pPr>
              <w:pStyle w:val="Compact"/>
              <w:jc w:val="left"/>
            </w:pPr>
            <w:r>
              <w:t xml:space="preserve">e</w:t>
            </w:r>
          </w:p>
        </w:tc>
        <w:tc>
          <w:tcPr/>
          <w:p>
            <w:pPr>
              <w:pStyle w:val="Compact"/>
              <w:jc w:val="right"/>
            </w:pPr>
            <w:r>
              <w:t xml:space="preserve">3</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027</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11</w:t>
            </w:r>
          </w:p>
        </w:tc>
        <w:tc>
          <w:tcPr/>
          <w:p>
            <w:pPr>
              <w:pStyle w:val="Compact"/>
              <w:jc w:val="right"/>
            </w:pPr>
            <w:r>
              <w:t xml:space="preserve">5</w:t>
            </w:r>
          </w:p>
        </w:tc>
        <w:tc>
          <w:tcPr/>
          <w:p>
            <w:pPr>
              <w:pStyle w:val="Compact"/>
              <w:jc w:val="right"/>
            </w:pPr>
            <w:r>
              <w:t xml:space="preserve">20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035</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21</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040</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15</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042</w:t>
            </w:r>
          </w:p>
        </w:tc>
        <w:tc>
          <w:tcPr/>
          <w:p>
            <w:pPr>
              <w:pStyle w:val="Compact"/>
              <w:jc w:val="left"/>
            </w:pPr>
            <w:r>
              <w:t xml:space="preserve">VI</w:t>
            </w:r>
          </w:p>
        </w:tc>
        <w:tc>
          <w:tcPr/>
          <w:p>
            <w:pPr>
              <w:pStyle w:val="Compact"/>
              <w:jc w:val="left"/>
            </w:pPr>
            <w:r>
              <w:t xml:space="preserve">e</w:t>
            </w:r>
          </w:p>
        </w:tc>
        <w:tc>
          <w:tcPr/>
          <w:p>
            <w:pPr>
              <w:pStyle w:val="Compact"/>
              <w:jc w:val="right"/>
            </w:pPr>
            <w:r>
              <w:t xml:space="preserve">15</w:t>
            </w:r>
          </w:p>
        </w:tc>
        <w:tc>
          <w:tcPr/>
          <w:p>
            <w:pPr>
              <w:pStyle w:val="Compact"/>
              <w:jc w:val="right"/>
            </w:pPr>
            <w:r>
              <w:t xml:space="preserve">83</w:t>
            </w:r>
          </w:p>
        </w:tc>
        <w:tc>
          <w:tcPr/>
          <w:p>
            <w:pPr>
              <w:pStyle w:val="Compact"/>
              <w:jc w:val="right"/>
            </w:pPr>
            <w:r>
              <w:t xml:space="preserve">140</w:t>
            </w:r>
          </w:p>
        </w:tc>
        <w:tc>
          <w:tcPr/>
          <w:p>
            <w:pPr>
              <w:pStyle w:val="Compact"/>
              <w:jc w:val="right"/>
            </w:pPr>
            <w:r>
              <w:t xml:space="preserve">25</w:t>
            </w:r>
          </w:p>
        </w:tc>
        <w:tc>
          <w:tcPr/>
          <w:p>
            <w:pPr>
              <w:pStyle w:val="Compact"/>
              <w:jc w:val="right"/>
            </w:pPr>
            <w:r>
              <w:t xml:space="preserve">263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043</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83</w:t>
            </w:r>
          </w:p>
        </w:tc>
        <w:tc>
          <w:tcPr/>
          <w:p>
            <w:pPr>
              <w:pStyle w:val="Compact"/>
              <w:jc w:val="right"/>
            </w:pPr>
            <w:r>
              <w:t xml:space="preserve">131</w:t>
            </w:r>
          </w:p>
        </w:tc>
        <w:tc>
          <w:tcPr/>
          <w:p>
            <w:pPr>
              <w:pStyle w:val="Compact"/>
              <w:jc w:val="right"/>
            </w:pPr>
            <w:r>
              <w:t xml:space="preserve">18</w:t>
            </w:r>
          </w:p>
        </w:tc>
        <w:tc>
          <w:tcPr/>
          <w:p>
            <w:pPr>
              <w:pStyle w:val="Compact"/>
              <w:jc w:val="right"/>
            </w:pPr>
            <w:r>
              <w:t xml:space="preserve">243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0211</w:t>
            </w:r>
          </w:p>
        </w:tc>
        <w:tc>
          <w:tcPr/>
          <w:p>
            <w:pPr>
              <w:pStyle w:val="Compact"/>
              <w:jc w:val="left"/>
            </w:pPr>
            <w:r>
              <w:t xml:space="preserve">VII</w:t>
            </w:r>
          </w:p>
        </w:tc>
        <w:tc>
          <w:tcPr/>
          <w:p>
            <w:pPr>
              <w:pStyle w:val="Compact"/>
              <w:jc w:val="left"/>
            </w:pPr>
            <w:r>
              <w:t xml:space="preserve">e</w:t>
            </w:r>
          </w:p>
        </w:tc>
        <w:tc>
          <w:tcPr/>
          <w:p>
            <w:pPr>
              <w:pStyle w:val="Compact"/>
              <w:jc w:val="right"/>
            </w:pPr>
            <w:r>
              <w:t xml:space="preserve">10</w:t>
            </w:r>
          </w:p>
        </w:tc>
        <w:tc>
          <w:tcPr/>
          <w:p>
            <w:pPr>
              <w:pStyle w:val="Compact"/>
              <w:jc w:val="right"/>
            </w:pPr>
            <w:r>
              <w:t xml:space="preserve">101</w:t>
            </w:r>
          </w:p>
        </w:tc>
        <w:tc>
          <w:tcPr/>
          <w:p>
            <w:pPr>
              <w:pStyle w:val="Compact"/>
              <w:jc w:val="right"/>
            </w:pPr>
            <w:r>
              <w:t xml:space="preserve">189</w:t>
            </w:r>
          </w:p>
        </w:tc>
        <w:tc>
          <w:tcPr/>
          <w:p>
            <w:pPr>
              <w:pStyle w:val="Compact"/>
              <w:jc w:val="right"/>
            </w:pPr>
            <w:r>
              <w:t xml:space="preserve">23</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w:t>
            </w:r>
          </w:p>
        </w:tc>
        <w:tc>
          <w:tcPr/>
          <w:p>
            <w:pPr>
              <w:pStyle w:val="Compact"/>
              <w:jc w:val="right"/>
            </w:pPr>
            <w:r>
              <w:t xml:space="preserve">107</w:t>
            </w:r>
          </w:p>
        </w:tc>
        <w:tc>
          <w:tcPr/>
          <w:p>
            <w:pPr>
              <w:pStyle w:val="Compact"/>
              <w:jc w:val="right"/>
            </w:pPr>
            <w:r>
              <w:t xml:space="preserve">209</w:t>
            </w:r>
          </w:p>
        </w:tc>
        <w:tc>
          <w:tcPr/>
          <w:p>
            <w:pPr>
              <w:pStyle w:val="Compact"/>
              <w:jc w:val="right"/>
            </w:pPr>
            <w:r>
              <w:t xml:space="preserve">9</w:t>
            </w:r>
          </w:p>
        </w:tc>
        <w:tc>
          <w:tcPr/>
          <w:p>
            <w:pPr>
              <w:pStyle w:val="Compact"/>
              <w:jc w:val="right"/>
            </w:pPr>
            <w:r>
              <w:t xml:space="preserve">326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019</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125</w:t>
            </w:r>
          </w:p>
        </w:tc>
        <w:tc>
          <w:tcPr/>
          <w:p>
            <w:pPr>
              <w:pStyle w:val="Compact"/>
              <w:jc w:val="right"/>
            </w:pPr>
            <w:r>
              <w:t xml:space="preserve">75</w:t>
            </w:r>
          </w:p>
        </w:tc>
        <w:tc>
          <w:tcPr/>
          <w:p>
            <w:pPr>
              <w:pStyle w:val="Compact"/>
              <w:jc w:val="right"/>
            </w:pPr>
            <w:r>
              <w:t xml:space="preserve">52</w:t>
            </w:r>
          </w:p>
        </w:tc>
        <w:tc>
          <w:tcPr/>
          <w:p>
            <w:pPr>
              <w:pStyle w:val="Compact"/>
              <w:jc w:val="right"/>
            </w:pPr>
            <w:r>
              <w:t xml:space="preserve">64</w:t>
            </w:r>
          </w:p>
        </w:tc>
        <w:tc>
          <w:tcPr/>
          <w:p>
            <w:pPr>
              <w:pStyle w:val="Compact"/>
              <w:jc w:val="right"/>
            </w:pPr>
            <w:r>
              <w:t xml:space="preserve">316</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044</w:t>
            </w:r>
          </w:p>
        </w:tc>
        <w:tc>
          <w:tcPr/>
          <w:p>
            <w:pPr>
              <w:pStyle w:val="Compact"/>
              <w:jc w:val="left"/>
            </w:pPr>
            <w:r>
              <w:t xml:space="preserve">VIII</w:t>
            </w:r>
          </w:p>
        </w:tc>
        <w:tc>
          <w:tcPr/>
          <w:p>
            <w:pPr>
              <w:pStyle w:val="Compact"/>
              <w:jc w:val="left"/>
            </w:pPr>
            <w:r>
              <w:t xml:space="preserve">e</w:t>
            </w:r>
          </w:p>
        </w:tc>
        <w:tc>
          <w:tcPr/>
          <w:p>
            <w:pPr>
              <w:pStyle w:val="Compact"/>
              <w:jc w:val="right"/>
            </w:pPr>
            <w:r>
              <w:t xml:space="preserve">52</w:t>
            </w:r>
          </w:p>
        </w:tc>
        <w:tc>
          <w:tcPr/>
          <w:p>
            <w:pPr>
              <w:pStyle w:val="Compact"/>
              <w:jc w:val="right"/>
            </w:pPr>
            <w:r>
              <w:t xml:space="preserve">21</w:t>
            </w:r>
          </w:p>
        </w:tc>
        <w:tc>
          <w:tcPr/>
          <w:p>
            <w:pPr>
              <w:pStyle w:val="Compact"/>
              <w:jc w:val="right"/>
            </w:pPr>
            <w:r>
              <w:t xml:space="preserve">40</w:t>
            </w:r>
          </w:p>
        </w:tc>
        <w:tc>
          <w:tcPr/>
          <w:p>
            <w:pPr>
              <w:pStyle w:val="Compact"/>
              <w:jc w:val="right"/>
            </w:pPr>
            <w:r>
              <w:t xml:space="preserve">19</w:t>
            </w:r>
          </w:p>
        </w:tc>
        <w:tc>
          <w:tcPr/>
          <w:p>
            <w:pPr>
              <w:pStyle w:val="Compact"/>
              <w:jc w:val="right"/>
            </w:pPr>
            <w:r>
              <w:t xml:space="preserve">132</w:t>
            </w:r>
          </w:p>
        </w:tc>
        <w:tc>
          <w:tcPr/>
          <w:p>
            <w:pPr>
              <w:pStyle w:val="Compact"/>
              <w:jc w:val="left"/>
            </w:pPr>
            <w:r>
              <w:t xml:space="preserve">E-</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22</w:t>
            </w:r>
          </w:p>
        </w:tc>
        <w:tc>
          <w:tcPr/>
          <w:p>
            <w:pPr>
              <w:pStyle w:val="Compact"/>
              <w:jc w:val="right"/>
            </w:pPr>
            <w:r>
              <w:t xml:space="preserve">25</w:t>
            </w:r>
          </w:p>
        </w:tc>
        <w:tc>
          <w:tcPr/>
          <w:p>
            <w:pPr>
              <w:pStyle w:val="Compact"/>
              <w:jc w:val="right"/>
            </w:pPr>
            <w:r>
              <w:t xml:space="preserve">43</w:t>
            </w:r>
          </w:p>
        </w:tc>
        <w:tc>
          <w:tcPr/>
          <w:p>
            <w:pPr>
              <w:pStyle w:val="Compact"/>
              <w:jc w:val="right"/>
            </w:pPr>
            <w:r>
              <w:t xml:space="preserve">15</w:t>
            </w:r>
          </w:p>
        </w:tc>
        <w:tc>
          <w:tcPr/>
          <w:p>
            <w:pPr>
              <w:pStyle w:val="Compact"/>
              <w:jc w:val="right"/>
            </w:pPr>
            <w:r>
              <w:t xml:space="preserve">105</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38</w:t>
            </w:r>
          </w:p>
        </w:tc>
        <w:tc>
          <w:tcPr/>
          <w:p>
            <w:pPr>
              <w:pStyle w:val="Compact"/>
              <w:jc w:val="right"/>
            </w:pPr>
            <w:r>
              <w:t xml:space="preserve">42</w:t>
            </w:r>
          </w:p>
        </w:tc>
        <w:tc>
          <w:tcPr/>
          <w:p>
            <w:pPr>
              <w:pStyle w:val="Compact"/>
              <w:jc w:val="right"/>
            </w:pPr>
            <w:r>
              <w:t xml:space="preserve">135</w:t>
            </w:r>
          </w:p>
        </w:tc>
        <w:tc>
          <w:tcPr/>
          <w:p>
            <w:pPr>
              <w:pStyle w:val="Compact"/>
              <w:jc w:val="right"/>
            </w:pPr>
            <w:r>
              <w:t xml:space="preserve">33</w:t>
            </w:r>
          </w:p>
        </w:tc>
        <w:tc>
          <w:tcPr/>
          <w:p>
            <w:pPr>
              <w:pStyle w:val="Compact"/>
              <w:jc w:val="right"/>
            </w:pPr>
            <w:r>
              <w:t xml:space="preserve">248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54</w:t>
            </w:r>
          </w:p>
        </w:tc>
        <w:tc>
          <w:tcPr/>
          <w:p>
            <w:pPr>
              <w:pStyle w:val="Compact"/>
              <w:jc w:val="right"/>
            </w:pPr>
            <w:r>
              <w:t xml:space="preserve">8</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97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6</w:t>
            </w:r>
          </w:p>
        </w:tc>
        <w:tc>
          <w:tcPr/>
          <w:p>
            <w:pPr>
              <w:pStyle w:val="Compact"/>
              <w:jc w:val="right"/>
            </w:pPr>
            <w:r>
              <w:t xml:space="preserve">96</w:t>
            </w:r>
          </w:p>
        </w:tc>
        <w:tc>
          <w:tcPr/>
          <w:p>
            <w:pPr>
              <w:pStyle w:val="Compact"/>
              <w:jc w:val="right"/>
            </w:pPr>
            <w:r>
              <w:t xml:space="preserve">175</w:t>
            </w:r>
          </w:p>
        </w:tc>
        <w:tc>
          <w:tcPr/>
          <w:p>
            <w:pPr>
              <w:pStyle w:val="Compact"/>
              <w:jc w:val="right"/>
            </w:pPr>
            <w:r>
              <w:t xml:space="preserve">21</w:t>
            </w:r>
          </w:p>
        </w:tc>
        <w:tc>
          <w:tcPr/>
          <w:p>
            <w:pPr>
              <w:pStyle w:val="Compact"/>
              <w:jc w:val="right"/>
            </w:pPr>
            <w:r>
              <w:t xml:space="preserve">298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0233</w:t>
            </w:r>
          </w:p>
        </w:tc>
        <w:tc>
          <w:tcPr/>
          <w:p>
            <w:pPr>
              <w:pStyle w:val="Compact"/>
              <w:jc w:val="left"/>
            </w:pPr>
            <w:r>
              <w:t xml:space="preserve">VIII</w:t>
            </w:r>
          </w:p>
        </w:tc>
        <w:tc>
          <w:tcPr/>
          <w:p>
            <w:pPr>
              <w:pStyle w:val="Compact"/>
              <w:jc w:val="left"/>
            </w:pPr>
            <w:r>
              <w:t xml:space="preserve">e</w:t>
            </w:r>
          </w:p>
        </w:tc>
        <w:tc>
          <w:tcPr/>
          <w:p>
            <w:pPr>
              <w:pStyle w:val="Compact"/>
              <w:jc w:val="right"/>
            </w:pPr>
            <w:r>
              <w:t xml:space="preserve">3</w:t>
            </w:r>
          </w:p>
        </w:tc>
        <w:tc>
          <w:tcPr/>
          <w:p>
            <w:pPr>
              <w:pStyle w:val="Compact"/>
              <w:jc w:val="right"/>
            </w:pPr>
            <w:r>
              <w:t xml:space="preserve">23</w:t>
            </w:r>
          </w:p>
        </w:tc>
        <w:tc>
          <w:tcPr/>
          <w:p>
            <w:pPr>
              <w:pStyle w:val="Compact"/>
              <w:jc w:val="right"/>
            </w:pPr>
            <w:r>
              <w:t xml:space="preserve">47</w:t>
            </w:r>
          </w:p>
        </w:tc>
        <w:tc>
          <w:tcPr/>
          <w:p>
            <w:pPr>
              <w:pStyle w:val="Compact"/>
              <w:jc w:val="right"/>
            </w:pPr>
            <w:r>
              <w:t xml:space="preserve">5</w:t>
            </w:r>
          </w:p>
        </w:tc>
        <w:tc>
          <w:tcPr/>
          <w:p>
            <w:pPr>
              <w:pStyle w:val="Compact"/>
              <w:jc w:val="right"/>
            </w:pPr>
            <w:r>
              <w:t xml:space="preserve">78</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78</w:t>
            </w:r>
          </w:p>
        </w:tc>
        <w:tc>
          <w:tcPr/>
          <w:p>
            <w:pPr>
              <w:pStyle w:val="Compact"/>
              <w:jc w:val="right"/>
            </w:pPr>
            <w:r>
              <w:t xml:space="preserve">156</w:t>
            </w:r>
          </w:p>
        </w:tc>
        <w:tc>
          <w:tcPr/>
          <w:p>
            <w:pPr>
              <w:pStyle w:val="Compact"/>
              <w:jc w:val="right"/>
            </w:pPr>
            <w:r>
              <w:t xml:space="preserve">11</w:t>
            </w:r>
          </w:p>
        </w:tc>
        <w:tc>
          <w:tcPr/>
          <w:p>
            <w:pPr>
              <w:pStyle w:val="Compact"/>
              <w:jc w:val="right"/>
            </w:pPr>
            <w:r>
              <w:t xml:space="preserve">245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010</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41</w:t>
            </w:r>
          </w:p>
        </w:tc>
        <w:tc>
          <w:tcPr/>
          <w:p>
            <w:pPr>
              <w:pStyle w:val="Compact"/>
              <w:jc w:val="right"/>
            </w:pPr>
            <w:r>
              <w:t xml:space="preserve">69</w:t>
            </w:r>
          </w:p>
        </w:tc>
        <w:tc>
          <w:tcPr/>
          <w:p>
            <w:pPr>
              <w:pStyle w:val="Compact"/>
              <w:jc w:val="right"/>
            </w:pPr>
            <w:r>
              <w:t xml:space="preserve">213</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011</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87</w:t>
            </w:r>
          </w:p>
        </w:tc>
        <w:tc>
          <w:tcPr/>
          <w:p>
            <w:pPr>
              <w:pStyle w:val="Compact"/>
              <w:jc w:val="right"/>
            </w:pPr>
            <w:r>
              <w:t xml:space="preserve">176</w:t>
            </w:r>
          </w:p>
        </w:tc>
        <w:tc>
          <w:tcPr/>
          <w:p>
            <w:pPr>
              <w:pStyle w:val="Compact"/>
              <w:jc w:val="right"/>
            </w:pPr>
            <w:r>
              <w:t xml:space="preserve">21</w:t>
            </w:r>
          </w:p>
        </w:tc>
        <w:tc>
          <w:tcPr/>
          <w:p>
            <w:pPr>
              <w:pStyle w:val="Compact"/>
              <w:jc w:val="right"/>
            </w:pPr>
            <w:r>
              <w:t xml:space="preserve">288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012</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43</w:t>
            </w:r>
          </w:p>
        </w:tc>
        <w:tc>
          <w:tcPr/>
          <w:p>
            <w:pPr>
              <w:pStyle w:val="Compact"/>
              <w:jc w:val="right"/>
            </w:pPr>
            <w:r>
              <w:t xml:space="preserve">66</w:t>
            </w:r>
          </w:p>
        </w:tc>
        <w:tc>
          <w:tcPr/>
          <w:p>
            <w:pPr>
              <w:pStyle w:val="Compact"/>
              <w:jc w:val="right"/>
            </w:pPr>
            <w:r>
              <w:t xml:space="preserve">212</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013</w:t>
            </w:r>
          </w:p>
        </w:tc>
        <w:tc>
          <w:tcPr/>
          <w:p>
            <w:pPr>
              <w:pStyle w:val="Compact"/>
              <w:jc w:val="left"/>
            </w:pPr>
            <w:r>
              <w:t xml:space="preserve">IX</w:t>
            </w:r>
          </w:p>
        </w:tc>
        <w:tc>
          <w:tcPr/>
          <w:p>
            <w:pPr>
              <w:pStyle w:val="Compact"/>
              <w:jc w:val="left"/>
            </w:pPr>
            <w:r>
              <w:t xml:space="preserve">e</w:t>
            </w:r>
          </w:p>
        </w:tc>
        <w:tc>
          <w:tcPr/>
          <w:p>
            <w:pPr>
              <w:pStyle w:val="Compact"/>
              <w:jc w:val="right"/>
            </w:pPr>
            <w:r>
              <w:t xml:space="preserve">2</w:t>
            </w:r>
          </w:p>
        </w:tc>
        <w:tc>
          <w:tcPr/>
          <w:p>
            <w:pPr>
              <w:pStyle w:val="Compact"/>
              <w:jc w:val="right"/>
            </w:pPr>
            <w:r>
              <w:t xml:space="preserve">82</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265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014</w:t>
            </w:r>
          </w:p>
        </w:tc>
        <w:tc>
          <w:tcPr/>
          <w:p>
            <w:pPr>
              <w:pStyle w:val="Compact"/>
              <w:jc w:val="left"/>
            </w:pPr>
            <w:r>
              <w:t xml:space="preserve">IX</w:t>
            </w:r>
          </w:p>
        </w:tc>
        <w:tc>
          <w:tcPr/>
          <w:p>
            <w:pPr>
              <w:pStyle w:val="Compact"/>
              <w:jc w:val="left"/>
            </w:pPr>
            <w:r>
              <w:t xml:space="preserve">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48</w:t>
            </w:r>
          </w:p>
        </w:tc>
        <w:tc>
          <w:tcPr/>
          <w:p>
            <w:pPr>
              <w:pStyle w:val="Compact"/>
              <w:jc w:val="right"/>
            </w:pPr>
            <w:r>
              <w:t xml:space="preserve">1</w:t>
            </w:r>
          </w:p>
        </w:tc>
        <w:tc>
          <w:tcPr/>
          <w:p>
            <w:pPr>
              <w:pStyle w:val="Compact"/>
              <w:jc w:val="right"/>
            </w:pPr>
            <w:r>
              <w:t xml:space="preserve">73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017</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107</w:t>
            </w:r>
          </w:p>
        </w:tc>
        <w:tc>
          <w:tcPr/>
          <w:p>
            <w:pPr>
              <w:pStyle w:val="Compact"/>
              <w:jc w:val="right"/>
            </w:pPr>
            <w:r>
              <w:t xml:space="preserve">197</w:t>
            </w:r>
          </w:p>
        </w:tc>
        <w:tc>
          <w:tcPr/>
          <w:p>
            <w:pPr>
              <w:pStyle w:val="Compact"/>
              <w:jc w:val="right"/>
            </w:pPr>
            <w:r>
              <w:t xml:space="preserve">15</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018</w:t>
            </w:r>
          </w:p>
        </w:tc>
        <w:tc>
          <w:tcPr/>
          <w:p>
            <w:pPr>
              <w:pStyle w:val="Compact"/>
              <w:jc w:val="left"/>
            </w:pPr>
            <w:r>
              <w:t xml:space="preserve">IX</w:t>
            </w:r>
          </w:p>
        </w:tc>
        <w:tc>
          <w:tcPr/>
          <w:p>
            <w:pPr>
              <w:pStyle w:val="Compact"/>
              <w:jc w:val="left"/>
            </w:pPr>
            <w:r>
              <w:t xml:space="preserve">p</w:t>
            </w:r>
          </w:p>
        </w:tc>
        <w:tc>
          <w:tcPr/>
          <w:p>
            <w:pPr>
              <w:pStyle w:val="Compact"/>
              <w:jc w:val="right"/>
            </w:pPr>
            <w:r>
              <w:t xml:space="preserve">8</w:t>
            </w:r>
          </w:p>
        </w:tc>
        <w:tc>
          <w:tcPr/>
          <w:p>
            <w:pPr>
              <w:pStyle w:val="Compact"/>
              <w:jc w:val="right"/>
            </w:pPr>
            <w:r>
              <w:t xml:space="preserve">32</w:t>
            </w:r>
          </w:p>
        </w:tc>
        <w:tc>
          <w:tcPr/>
          <w:p>
            <w:pPr>
              <w:pStyle w:val="Compact"/>
              <w:jc w:val="right"/>
            </w:pPr>
            <w:r>
              <w:t xml:space="preserve">154</w:t>
            </w:r>
          </w:p>
        </w:tc>
        <w:tc>
          <w:tcPr/>
          <w:p>
            <w:pPr>
              <w:pStyle w:val="Compact"/>
              <w:jc w:val="right"/>
            </w:pPr>
            <w:r>
              <w:t xml:space="preserve">8</w:t>
            </w:r>
          </w:p>
        </w:tc>
        <w:tc>
          <w:tcPr/>
          <w:p>
            <w:pPr>
              <w:pStyle w:val="Compact"/>
              <w:jc w:val="right"/>
            </w:pPr>
            <w:r>
              <w:t xml:space="preserve">202</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w:t>
            </w:r>
          </w:p>
        </w:tc>
        <w:tc>
          <w:tcPr/>
          <w:p>
            <w:pPr>
              <w:pStyle w:val="Compact"/>
              <w:jc w:val="right"/>
            </w:pPr>
            <w:r>
              <w:t xml:space="preserve">9</w:t>
            </w:r>
          </w:p>
        </w:tc>
        <w:tc>
          <w:tcPr/>
          <w:p>
            <w:pPr>
              <w:pStyle w:val="Compact"/>
              <w:jc w:val="right"/>
            </w:pPr>
            <w:r>
              <w:t xml:space="preserve">77</w:t>
            </w:r>
          </w:p>
        </w:tc>
        <w:tc>
          <w:tcPr/>
          <w:p>
            <w:pPr>
              <w:pStyle w:val="Compact"/>
              <w:jc w:val="right"/>
            </w:pPr>
            <w:r>
              <w:t xml:space="preserve">6</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020</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23</w:t>
            </w:r>
          </w:p>
        </w:tc>
        <w:tc>
          <w:tcPr/>
          <w:p>
            <w:pPr>
              <w:pStyle w:val="Compact"/>
              <w:jc w:val="right"/>
            </w:pPr>
            <w:r>
              <w:t xml:space="preserve">51</w:t>
            </w:r>
          </w:p>
        </w:tc>
        <w:tc>
          <w:tcPr/>
          <w:p>
            <w:pPr>
              <w:pStyle w:val="Compact"/>
              <w:jc w:val="right"/>
            </w:pPr>
            <w:r>
              <w:t xml:space="preserve">3</w:t>
            </w:r>
          </w:p>
        </w:tc>
        <w:tc>
          <w:tcPr/>
          <w:p>
            <w:pPr>
              <w:pStyle w:val="Compact"/>
              <w:jc w:val="right"/>
            </w:pPr>
            <w:r>
              <w:t xml:space="preserve">78</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5</w:t>
            </w:r>
          </w:p>
        </w:tc>
        <w:tc>
          <w:tcPr/>
          <w:p>
            <w:pPr>
              <w:pStyle w:val="Compact"/>
              <w:jc w:val="right"/>
            </w:pPr>
            <w:r>
              <w:t xml:space="preserve">44</w:t>
            </w:r>
          </w:p>
        </w:tc>
        <w:tc>
          <w:tcPr/>
          <w:p>
            <w:pPr>
              <w:pStyle w:val="Compact"/>
              <w:jc w:val="right"/>
            </w:pPr>
            <w:r>
              <w:t xml:space="preserve">188</w:t>
            </w:r>
          </w:p>
        </w:tc>
        <w:tc>
          <w:tcPr/>
          <w:p>
            <w:pPr>
              <w:pStyle w:val="Compact"/>
              <w:jc w:val="right"/>
            </w:pPr>
            <w:r>
              <w:t xml:space="preserve">4</w:t>
            </w:r>
          </w:p>
        </w:tc>
        <w:tc>
          <w:tcPr/>
          <w:p>
            <w:pPr>
              <w:pStyle w:val="Compact"/>
              <w:jc w:val="right"/>
            </w:pPr>
            <w:r>
              <w:t xml:space="preserve">241</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w:t>
            </w:r>
          </w:p>
        </w:tc>
        <w:tc>
          <w:tcPr/>
          <w:p>
            <w:pPr>
              <w:pStyle w:val="Compact"/>
              <w:jc w:val="right"/>
            </w:pPr>
            <w:r>
              <w:t xml:space="preserve">9</w:t>
            </w:r>
          </w:p>
        </w:tc>
        <w:tc>
          <w:tcPr/>
          <w:p>
            <w:pPr>
              <w:pStyle w:val="Compact"/>
              <w:jc w:val="right"/>
            </w:pPr>
            <w:r>
              <w:t xml:space="preserve">78</w:t>
            </w:r>
          </w:p>
        </w:tc>
        <w:tc>
          <w:tcPr/>
          <w:p>
            <w:pPr>
              <w:pStyle w:val="Compact"/>
              <w:jc w:val="right"/>
            </w:pPr>
            <w:r>
              <w:t xml:space="preserve">3</w:t>
            </w:r>
          </w:p>
        </w:tc>
        <w:tc>
          <w:tcPr/>
          <w:p>
            <w:pPr>
              <w:pStyle w:val="Compact"/>
              <w:jc w:val="right"/>
            </w:pPr>
            <w:r>
              <w:t xml:space="preserve">95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w:t>
            </w:r>
          </w:p>
        </w:tc>
        <w:tc>
          <w:tcPr/>
          <w:p>
            <w:pPr>
              <w:pStyle w:val="Compact"/>
              <w:jc w:val="left"/>
            </w:pPr>
            <w:r>
              <w:t xml:space="preserve">IX</w:t>
            </w:r>
          </w:p>
        </w:tc>
        <w:tc>
          <w:tcPr/>
          <w:p>
            <w:pPr>
              <w:pStyle w:val="Compact"/>
              <w:jc w:val="left"/>
            </w:pPr>
            <w:r>
              <w:t xml:space="preserve">e</w:t>
            </w:r>
          </w:p>
        </w:tc>
        <w:tc>
          <w:tcPr/>
          <w:p>
            <w:pPr>
              <w:pStyle w:val="Compact"/>
              <w:jc w:val="right"/>
            </w:pPr>
            <w:r>
              <w:t xml:space="preserve">7</w:t>
            </w:r>
          </w:p>
        </w:tc>
        <w:tc>
          <w:tcPr/>
          <w:p>
            <w:pPr>
              <w:pStyle w:val="Compact"/>
              <w:jc w:val="right"/>
            </w:pPr>
            <w:r>
              <w:t xml:space="preserve">106</w:t>
            </w:r>
          </w:p>
        </w:tc>
        <w:tc>
          <w:tcPr/>
          <w:p>
            <w:pPr>
              <w:pStyle w:val="Compact"/>
              <w:jc w:val="right"/>
            </w:pPr>
            <w:r>
              <w:t xml:space="preserve">202</w:t>
            </w:r>
          </w:p>
        </w:tc>
        <w:tc>
          <w:tcPr/>
          <w:p>
            <w:pPr>
              <w:pStyle w:val="Compact"/>
              <w:jc w:val="right"/>
            </w:pPr>
            <w:r>
              <w:t xml:space="preserve">12</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025</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29</w:t>
            </w:r>
          </w:p>
        </w:tc>
        <w:tc>
          <w:tcPr/>
          <w:p>
            <w:pPr>
              <w:pStyle w:val="Compact"/>
              <w:jc w:val="right"/>
            </w:pPr>
            <w:r>
              <w:t xml:space="preserve">70</w:t>
            </w:r>
          </w:p>
        </w:tc>
        <w:tc>
          <w:tcPr/>
          <w:p>
            <w:pPr>
              <w:pStyle w:val="Compact"/>
              <w:jc w:val="right"/>
            </w:pPr>
            <w:r>
              <w:t xml:space="preserve">0</w:t>
            </w:r>
          </w:p>
        </w:tc>
        <w:tc>
          <w:tcPr/>
          <w:p>
            <w:pPr>
              <w:pStyle w:val="Compact"/>
              <w:jc w:val="right"/>
            </w:pPr>
            <w:r>
              <w:t xml:space="preserve">100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236</w:t>
            </w:r>
          </w:p>
        </w:tc>
        <w:tc>
          <w:tcPr/>
          <w:p>
            <w:pPr>
              <w:pStyle w:val="Compact"/>
              <w:jc w:val="left"/>
            </w:pPr>
            <w:r>
              <w:t xml:space="preserve">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26</w:t>
            </w:r>
          </w:p>
        </w:tc>
        <w:tc>
          <w:tcPr/>
          <w:p>
            <w:pPr>
              <w:pStyle w:val="Compact"/>
              <w:jc w:val="right"/>
            </w:pPr>
            <w:r>
              <w:t xml:space="preserve">6</w:t>
            </w:r>
          </w:p>
        </w:tc>
        <w:tc>
          <w:tcPr/>
          <w:p>
            <w:pPr>
              <w:pStyle w:val="Compact"/>
              <w:jc w:val="right"/>
            </w:pPr>
            <w:r>
              <w:t xml:space="preserve">46</w:t>
            </w:r>
          </w:p>
        </w:tc>
        <w:tc>
          <w:tcPr/>
          <w:p>
            <w:pPr>
              <w:pStyle w:val="Compact"/>
              <w:jc w:val="right"/>
            </w:pPr>
            <w:r>
              <w:t xml:space="preserve">9</w:t>
            </w:r>
          </w:p>
        </w:tc>
        <w:tc>
          <w:tcPr/>
          <w:p>
            <w:pPr>
              <w:pStyle w:val="Compact"/>
              <w:jc w:val="right"/>
            </w:pPr>
            <w:r>
              <w:t xml:space="preserve">87</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030</w:t>
            </w:r>
          </w:p>
        </w:tc>
        <w:tc>
          <w:tcPr/>
          <w:p>
            <w:pPr>
              <w:pStyle w:val="Compact"/>
              <w:jc w:val="left"/>
            </w:pPr>
            <w:r>
              <w:t xml:space="preserve">IX</w:t>
            </w:r>
          </w:p>
        </w:tc>
        <w:tc>
          <w:tcPr/>
          <w:p>
            <w:pPr>
              <w:pStyle w:val="Compact"/>
              <w:jc w:val="left"/>
            </w:pPr>
            <w:r>
              <w:t xml:space="preserve">e</w:t>
            </w:r>
          </w:p>
        </w:tc>
        <w:tc>
          <w:tcPr/>
          <w:p>
            <w:pPr>
              <w:pStyle w:val="Compact"/>
              <w:jc w:val="right"/>
            </w:pPr>
            <w:r>
              <w:t xml:space="preserve">1</w:t>
            </w:r>
          </w:p>
        </w:tc>
        <w:tc>
          <w:tcPr/>
          <w:p>
            <w:pPr>
              <w:pStyle w:val="Compact"/>
              <w:jc w:val="right"/>
            </w:pPr>
            <w:r>
              <w:t xml:space="preserve">38</w:t>
            </w:r>
          </w:p>
        </w:tc>
        <w:tc>
          <w:tcPr/>
          <w:p>
            <w:pPr>
              <w:pStyle w:val="Compact"/>
              <w:jc w:val="right"/>
            </w:pPr>
            <w:r>
              <w:t xml:space="preserve">105</w:t>
            </w:r>
          </w:p>
        </w:tc>
        <w:tc>
          <w:tcPr/>
          <w:p>
            <w:pPr>
              <w:pStyle w:val="Compact"/>
              <w:jc w:val="right"/>
            </w:pPr>
            <w:r>
              <w:t xml:space="preserve">11</w:t>
            </w:r>
          </w:p>
        </w:tc>
        <w:tc>
          <w:tcPr/>
          <w:p>
            <w:pPr>
              <w:pStyle w:val="Compact"/>
              <w:jc w:val="right"/>
            </w:pPr>
            <w:r>
              <w:t xml:space="preserve">155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031</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101</w:t>
            </w:r>
          </w:p>
        </w:tc>
        <w:tc>
          <w:tcPr/>
          <w:p>
            <w:pPr>
              <w:pStyle w:val="Compact"/>
              <w:jc w:val="right"/>
            </w:pPr>
            <w:r>
              <w:t xml:space="preserve">192</w:t>
            </w:r>
          </w:p>
        </w:tc>
        <w:tc>
          <w:tcPr/>
          <w:p>
            <w:pPr>
              <w:pStyle w:val="Compact"/>
              <w:jc w:val="right"/>
            </w:pPr>
            <w:r>
              <w:t xml:space="preserve">17</w:t>
            </w:r>
          </w:p>
        </w:tc>
        <w:tc>
          <w:tcPr/>
          <w:p>
            <w:pPr>
              <w:pStyle w:val="Compact"/>
              <w:jc w:val="right"/>
            </w:pPr>
            <w:r>
              <w:t xml:space="preserve">318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034</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95</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297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037</w:t>
            </w:r>
          </w:p>
        </w:tc>
        <w:tc>
          <w:tcPr/>
          <w:p>
            <w:pPr>
              <w:pStyle w:val="Compact"/>
              <w:jc w:val="left"/>
            </w:pPr>
            <w:r>
              <w:t xml:space="preserve">IX</w:t>
            </w:r>
          </w:p>
        </w:tc>
        <w:tc>
          <w:tcPr/>
          <w:p>
            <w:pPr>
              <w:pStyle w:val="Compact"/>
              <w:jc w:val="left"/>
            </w:pPr>
            <w:r>
              <w:t xml:space="preserve">e</w:t>
            </w:r>
          </w:p>
        </w:tc>
        <w:tc>
          <w:tcPr/>
          <w:p>
            <w:pPr>
              <w:pStyle w:val="Compact"/>
              <w:jc w:val="right"/>
            </w:pPr>
            <w:r>
              <w:t xml:space="preserve">69</w:t>
            </w:r>
          </w:p>
        </w:tc>
        <w:tc>
          <w:tcPr/>
          <w:p>
            <w:pPr>
              <w:pStyle w:val="Compact"/>
              <w:jc w:val="right"/>
            </w:pPr>
            <w:r>
              <w:t xml:space="preserve">88</w:t>
            </w:r>
          </w:p>
        </w:tc>
        <w:tc>
          <w:tcPr/>
          <w:p>
            <w:pPr>
              <w:pStyle w:val="Compact"/>
              <w:jc w:val="right"/>
            </w:pPr>
            <w:r>
              <w:t xml:space="preserve">120</w:t>
            </w:r>
          </w:p>
        </w:tc>
        <w:tc>
          <w:tcPr/>
          <w:p>
            <w:pPr>
              <w:pStyle w:val="Compact"/>
              <w:jc w:val="right"/>
            </w:pPr>
            <w:r>
              <w:t xml:space="preserve">47</w:t>
            </w:r>
          </w:p>
        </w:tc>
        <w:tc>
          <w:tcPr/>
          <w:p>
            <w:pPr>
              <w:pStyle w:val="Compact"/>
              <w:jc w:val="right"/>
            </w:pPr>
            <w:r>
              <w:t xml:space="preserve">324</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038</w:t>
            </w:r>
          </w:p>
        </w:tc>
        <w:tc>
          <w:tcPr/>
          <w:p>
            <w:pPr>
              <w:pStyle w:val="Compact"/>
              <w:jc w:val="left"/>
            </w:pPr>
            <w:r>
              <w:t xml:space="preserve">IX</w:t>
            </w:r>
          </w:p>
        </w:tc>
        <w:tc>
          <w:tcPr/>
          <w:p>
            <w:pPr>
              <w:pStyle w:val="Compact"/>
              <w:jc w:val="left"/>
            </w:pPr>
            <w:r>
              <w:t xml:space="preserve">e</w:t>
            </w:r>
          </w:p>
        </w:tc>
        <w:tc>
          <w:tcPr/>
          <w:p>
            <w:pPr>
              <w:pStyle w:val="Compact"/>
              <w:jc w:val="right"/>
            </w:pPr>
            <w:r>
              <w:t xml:space="preserve">75</w:t>
            </w:r>
          </w:p>
        </w:tc>
        <w:tc>
          <w:tcPr/>
          <w:p>
            <w:pPr>
              <w:pStyle w:val="Compact"/>
              <w:jc w:val="right"/>
            </w:pPr>
            <w:r>
              <w:t xml:space="preserve">59</w:t>
            </w:r>
          </w:p>
        </w:tc>
        <w:tc>
          <w:tcPr/>
          <w:p>
            <w:pPr>
              <w:pStyle w:val="Compact"/>
              <w:jc w:val="right"/>
            </w:pPr>
            <w:r>
              <w:t xml:space="preserve">89</w:t>
            </w:r>
          </w:p>
        </w:tc>
        <w:tc>
          <w:tcPr/>
          <w:p>
            <w:pPr>
              <w:pStyle w:val="Compact"/>
              <w:jc w:val="right"/>
            </w:pPr>
            <w:r>
              <w:t xml:space="preserve">95</w:t>
            </w:r>
          </w:p>
        </w:tc>
        <w:tc>
          <w:tcPr/>
          <w:p>
            <w:pPr>
              <w:pStyle w:val="Compact"/>
              <w:jc w:val="right"/>
            </w:pPr>
            <w:r>
              <w:t xml:space="preserve">318</w:t>
            </w:r>
          </w:p>
        </w:tc>
        <w:tc>
          <w:tcPr/>
          <w:p>
            <w:pPr>
              <w:pStyle w:val="Compact"/>
              <w:jc w:val="left"/>
            </w:pPr>
            <w:r>
              <w:t xml:space="preserve">O-</w:t>
            </w:r>
          </w:p>
        </w:tc>
        <w:tc>
          <w:tcPr/>
          <w:p>
            <w:pPr>
              <w:pStyle w:val="Compact"/>
              <w:jc w:val="left"/>
            </w:pPr>
            <w:r>
              <w:t xml:space="preserve">II</w:t>
            </w:r>
          </w:p>
        </w:tc>
      </w:tr>
      <w:tr>
        <w:tc>
          <w:tcPr/>
          <w:p>
            <w:pPr>
              <w:pStyle w:val="Compact"/>
              <w:jc w:val="left"/>
            </w:pPr>
            <w:r>
              <w:t xml:space="preserve">039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10</w:t>
            </w:r>
          </w:p>
        </w:tc>
        <w:tc>
          <w:tcPr/>
          <w:p>
            <w:pPr>
              <w:pStyle w:val="Compact"/>
              <w:jc w:val="right"/>
            </w:pPr>
            <w:r>
              <w:t xml:space="preserve">41</w:t>
            </w:r>
          </w:p>
        </w:tc>
        <w:tc>
          <w:tcPr/>
          <w:p>
            <w:pPr>
              <w:pStyle w:val="Compact"/>
              <w:jc w:val="right"/>
            </w:pPr>
            <w:r>
              <w:t xml:space="preserve">2</w:t>
            </w:r>
          </w:p>
        </w:tc>
        <w:tc>
          <w:tcPr/>
          <w:p>
            <w:pPr>
              <w:pStyle w:val="Compact"/>
              <w:jc w:val="right"/>
            </w:pPr>
            <w:r>
              <w:t xml:space="preserve">53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041</w:t>
            </w:r>
          </w:p>
        </w:tc>
        <w:tc>
          <w:tcPr/>
          <w:p>
            <w:pPr>
              <w:pStyle w:val="Compact"/>
              <w:jc w:val="left"/>
            </w:pPr>
            <w:r>
              <w:t xml:space="preserve">IX</w:t>
            </w:r>
          </w:p>
        </w:tc>
        <w:tc>
          <w:tcPr/>
          <w:p>
            <w:pPr>
              <w:pStyle w:val="Compact"/>
              <w:jc w:val="left"/>
            </w:pPr>
            <w:r>
              <w:t xml:space="preserve">e</w:t>
            </w:r>
          </w:p>
        </w:tc>
        <w:tc>
          <w:tcPr/>
          <w:p>
            <w:pPr>
              <w:pStyle w:val="Compact"/>
              <w:jc w:val="right"/>
            </w:pPr>
            <w:r>
              <w:t xml:space="preserve">11</w:t>
            </w:r>
          </w:p>
        </w:tc>
        <w:tc>
          <w:tcPr/>
          <w:p>
            <w:pPr>
              <w:pStyle w:val="Compact"/>
              <w:jc w:val="right"/>
            </w:pPr>
            <w:r>
              <w:t xml:space="preserve">104</w:t>
            </w:r>
          </w:p>
        </w:tc>
        <w:tc>
          <w:tcPr/>
          <w:p>
            <w:pPr>
              <w:pStyle w:val="Compact"/>
              <w:jc w:val="right"/>
            </w:pPr>
            <w:r>
              <w:t xml:space="preserve">190</w:t>
            </w:r>
          </w:p>
        </w:tc>
        <w:tc>
          <w:tcPr/>
          <w:p>
            <w:pPr>
              <w:pStyle w:val="Compact"/>
              <w:jc w:val="right"/>
            </w:pPr>
            <w:r>
              <w:t xml:space="preserve">18</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045</w:t>
            </w:r>
          </w:p>
        </w:tc>
        <w:tc>
          <w:tcPr/>
          <w:p>
            <w:pPr>
              <w:pStyle w:val="Compact"/>
              <w:jc w:val="left"/>
            </w:pPr>
            <w:r>
              <w:t xml:space="preserve">IX</w:t>
            </w:r>
          </w:p>
        </w:tc>
        <w:tc>
          <w:tcPr/>
          <w:p>
            <w:pPr>
              <w:pStyle w:val="Compact"/>
              <w:jc w:val="left"/>
            </w:pPr>
            <w:r>
              <w:t xml:space="preserve">e</w:t>
            </w:r>
          </w:p>
        </w:tc>
        <w:tc>
          <w:tcPr/>
          <w:p>
            <w:pPr>
              <w:pStyle w:val="Compact"/>
              <w:jc w:val="right"/>
            </w:pPr>
            <w:r>
              <w:t xml:space="preserve">3</w:t>
            </w:r>
          </w:p>
        </w:tc>
        <w:tc>
          <w:tcPr/>
          <w:p>
            <w:pPr>
              <w:pStyle w:val="Compact"/>
              <w:jc w:val="right"/>
            </w:pPr>
            <w:r>
              <w:t xml:space="preserve">104</w:t>
            </w:r>
          </w:p>
        </w:tc>
        <w:tc>
          <w:tcPr/>
          <w:p>
            <w:pPr>
              <w:pStyle w:val="Compact"/>
              <w:jc w:val="right"/>
            </w:pPr>
            <w:r>
              <w:t xml:space="preserve">208</w:t>
            </w:r>
          </w:p>
        </w:tc>
        <w:tc>
          <w:tcPr/>
          <w:p>
            <w:pPr>
              <w:pStyle w:val="Compact"/>
              <w:jc w:val="right"/>
            </w:pPr>
            <w:r>
              <w:t xml:space="preserve">10</w:t>
            </w:r>
          </w:p>
        </w:tc>
        <w:tc>
          <w:tcPr/>
          <w:p>
            <w:pPr>
              <w:pStyle w:val="Compact"/>
              <w:jc w:val="right"/>
            </w:pPr>
            <w:r>
              <w:t xml:space="preserve">325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049</w:t>
            </w:r>
          </w:p>
        </w:tc>
        <w:tc>
          <w:tcPr/>
          <w:p>
            <w:pPr>
              <w:pStyle w:val="Compact"/>
              <w:jc w:val="left"/>
            </w:pPr>
            <w:r>
              <w:t xml:space="preserve">IX</w:t>
            </w:r>
          </w:p>
        </w:tc>
        <w:tc>
          <w:tcPr/>
          <w:p>
            <w:pPr>
              <w:pStyle w:val="Compact"/>
              <w:jc w:val="left"/>
            </w:pPr>
            <w:r>
              <w:t xml:space="preserve">a</w:t>
            </w:r>
          </w:p>
        </w:tc>
        <w:tc>
          <w:tcPr/>
          <w:p>
            <w:pPr>
              <w:pStyle w:val="Compact"/>
              <w:jc w:val="right"/>
            </w:pPr>
            <w:r>
              <w:t xml:space="preserve">3</w:t>
            </w:r>
          </w:p>
        </w:tc>
        <w:tc>
          <w:tcPr/>
          <w:p>
            <w:pPr>
              <w:pStyle w:val="Compact"/>
              <w:jc w:val="right"/>
            </w:pPr>
            <w:r>
              <w:t xml:space="preserve">29</w:t>
            </w:r>
          </w:p>
        </w:tc>
        <w:tc>
          <w:tcPr/>
          <w:p>
            <w:pPr>
              <w:pStyle w:val="Compact"/>
              <w:jc w:val="right"/>
            </w:pPr>
            <w:r>
              <w:t xml:space="preserve">69</w:t>
            </w:r>
          </w:p>
        </w:tc>
        <w:tc>
          <w:tcPr/>
          <w:p>
            <w:pPr>
              <w:pStyle w:val="Compact"/>
              <w:jc w:val="right"/>
            </w:pPr>
            <w:r>
              <w:t xml:space="preserve">3</w:t>
            </w:r>
          </w:p>
        </w:tc>
        <w:tc>
          <w:tcPr/>
          <w:p>
            <w:pPr>
              <w:pStyle w:val="Compact"/>
              <w:jc w:val="right"/>
            </w:pPr>
            <w:r>
              <w:t xml:space="preserve">104</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0</w:t>
            </w:r>
          </w:p>
        </w:tc>
        <w:tc>
          <w:tcPr/>
          <w:p>
            <w:pPr>
              <w:pStyle w:val="Compact"/>
              <w:jc w:val="right"/>
            </w:pPr>
            <w:r>
              <w:t xml:space="preserve">34</w:t>
            </w:r>
          </w:p>
        </w:tc>
        <w:tc>
          <w:tcPr/>
          <w:p>
            <w:pPr>
              <w:pStyle w:val="Compact"/>
              <w:jc w:val="right"/>
            </w:pPr>
            <w:r>
              <w:t xml:space="preserve">113</w:t>
            </w:r>
          </w:p>
        </w:tc>
        <w:tc>
          <w:tcPr/>
          <w:p>
            <w:pPr>
              <w:pStyle w:val="Compact"/>
              <w:jc w:val="right"/>
            </w:pPr>
            <w:r>
              <w:t xml:space="preserve">3</w:t>
            </w:r>
          </w:p>
        </w:tc>
        <w:tc>
          <w:tcPr/>
          <w:p>
            <w:pPr>
              <w:pStyle w:val="Compact"/>
              <w:jc w:val="right"/>
            </w:pPr>
            <w:r>
              <w:t xml:space="preserve">150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82</w:t>
            </w:r>
          </w:p>
        </w:tc>
        <w:tc>
          <w:tcPr/>
          <w:p>
            <w:pPr>
              <w:pStyle w:val="Compact"/>
              <w:jc w:val="right"/>
            </w:pPr>
            <w:r>
              <w:t xml:space="preserve">4</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063</w:t>
            </w:r>
          </w:p>
        </w:tc>
        <w:tc>
          <w:tcPr/>
          <w:p>
            <w:pPr>
              <w:pStyle w:val="Compact"/>
              <w:jc w:val="left"/>
            </w:pPr>
            <w:r>
              <w:t xml:space="preserve">IX</w:t>
            </w:r>
          </w:p>
        </w:tc>
        <w:tc>
          <w:tcPr/>
          <w:p>
            <w:pPr>
              <w:pStyle w:val="Compact"/>
              <w:jc w:val="left"/>
            </w:pPr>
            <w:r>
              <w:t xml:space="preserve">p</w:t>
            </w:r>
          </w:p>
        </w:tc>
        <w:tc>
          <w:tcPr/>
          <w:p>
            <w:pPr>
              <w:pStyle w:val="Compact"/>
              <w:jc w:val="right"/>
            </w:pPr>
            <w:r>
              <w:t xml:space="preserve">0</w:t>
            </w:r>
          </w:p>
        </w:tc>
        <w:tc>
          <w:tcPr/>
          <w:p>
            <w:pPr>
              <w:pStyle w:val="Compact"/>
              <w:jc w:val="right"/>
            </w:pPr>
            <w:r>
              <w:t xml:space="preserve">3</w:t>
            </w:r>
          </w:p>
        </w:tc>
        <w:tc>
          <w:tcPr/>
          <w:p>
            <w:pPr>
              <w:pStyle w:val="Compact"/>
              <w:jc w:val="right"/>
            </w:pPr>
            <w:r>
              <w:t xml:space="preserve">15</w:t>
            </w:r>
          </w:p>
        </w:tc>
        <w:tc>
          <w:tcPr/>
          <w:p>
            <w:pPr>
              <w:pStyle w:val="Compact"/>
              <w:jc w:val="right"/>
            </w:pPr>
            <w:r>
              <w:t xml:space="preserve">0</w:t>
            </w:r>
          </w:p>
        </w:tc>
        <w:tc>
          <w:tcPr/>
          <w:p>
            <w:pPr>
              <w:pStyle w:val="Compact"/>
              <w:jc w:val="right"/>
            </w:pPr>
            <w:r>
              <w:t xml:space="preserve">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0150</w:t>
            </w:r>
          </w:p>
        </w:tc>
        <w:tc>
          <w:tcPr/>
          <w:p>
            <w:pPr>
              <w:pStyle w:val="Compact"/>
              <w:jc w:val="left"/>
            </w:pPr>
            <w:r>
              <w:t xml:space="preserve">IX</w:t>
            </w:r>
          </w:p>
        </w:tc>
        <w:tc>
          <w:tcPr/>
          <w:p>
            <w:pPr>
              <w:pStyle w:val="Compact"/>
              <w:jc w:val="left"/>
            </w:pPr>
            <w:r>
              <w:t xml:space="preserve">p</w:t>
            </w:r>
          </w:p>
        </w:tc>
        <w:tc>
          <w:tcPr/>
          <w:p>
            <w:pPr>
              <w:pStyle w:val="Compact"/>
              <w:jc w:val="right"/>
            </w:pPr>
            <w:r>
              <w:t xml:space="preserve">65</w:t>
            </w:r>
          </w:p>
        </w:tc>
        <w:tc>
          <w:tcPr/>
          <w:p>
            <w:pPr>
              <w:pStyle w:val="Compact"/>
              <w:jc w:val="right"/>
            </w:pPr>
            <w:r>
              <w:t xml:space="preserve">34</w:t>
            </w:r>
          </w:p>
        </w:tc>
        <w:tc>
          <w:tcPr/>
          <w:p>
            <w:pPr>
              <w:pStyle w:val="Compact"/>
              <w:jc w:val="right"/>
            </w:pPr>
            <w:r>
              <w:t xml:space="preserve">101</w:t>
            </w:r>
          </w:p>
        </w:tc>
        <w:tc>
          <w:tcPr/>
          <w:p>
            <w:pPr>
              <w:pStyle w:val="Compact"/>
              <w:jc w:val="right"/>
            </w:pPr>
            <w:r>
              <w:t xml:space="preserve">23</w:t>
            </w:r>
          </w:p>
        </w:tc>
        <w:tc>
          <w:tcPr/>
          <w:p>
            <w:pPr>
              <w:pStyle w:val="Compact"/>
              <w:jc w:val="right"/>
            </w:pPr>
            <w:r>
              <w:t xml:space="preserve">223</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0151</w:t>
            </w:r>
          </w:p>
        </w:tc>
        <w:tc>
          <w:tcPr/>
          <w:p>
            <w:pPr>
              <w:pStyle w:val="Compact"/>
              <w:jc w:val="left"/>
            </w:pPr>
            <w:r>
              <w:t xml:space="preserve">IX</w:t>
            </w:r>
          </w:p>
        </w:tc>
        <w:tc>
          <w:tcPr/>
          <w:p>
            <w:pPr>
              <w:pStyle w:val="Compact"/>
              <w:jc w:val="left"/>
            </w:pPr>
            <w:r>
              <w:t xml:space="preserve">p</w:t>
            </w:r>
          </w:p>
        </w:tc>
        <w:tc>
          <w:tcPr/>
          <w:p>
            <w:pPr>
              <w:pStyle w:val="Compact"/>
              <w:jc w:val="right"/>
            </w:pPr>
            <w:r>
              <w:t xml:space="preserve">9</w:t>
            </w:r>
          </w:p>
        </w:tc>
        <w:tc>
          <w:tcPr/>
          <w:p>
            <w:pPr>
              <w:pStyle w:val="Compact"/>
              <w:jc w:val="right"/>
            </w:pPr>
            <w:r>
              <w:t xml:space="preserve">44</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234</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33</w:t>
            </w:r>
          </w:p>
        </w:tc>
        <w:tc>
          <w:tcPr/>
          <w:p>
            <w:pPr>
              <w:pStyle w:val="Compact"/>
              <w:jc w:val="left"/>
            </w:pPr>
            <w:r>
              <w:t xml:space="preserve">IX</w:t>
            </w:r>
          </w:p>
        </w:tc>
        <w:tc>
          <w:tcPr/>
          <w:p>
            <w:pPr>
              <w:pStyle w:val="Compact"/>
              <w:jc w:val="left"/>
            </w:pPr>
            <w:r>
              <w:t xml:space="preserve">e</w:t>
            </w:r>
          </w:p>
        </w:tc>
        <w:tc>
          <w:tcPr/>
          <w:p>
            <w:pPr>
              <w:pStyle w:val="Compact"/>
              <w:jc w:val="right"/>
            </w:pPr>
            <w:r>
              <w:t xml:space="preserve">57</w:t>
            </w:r>
          </w:p>
        </w:tc>
        <w:tc>
          <w:tcPr/>
          <w:p>
            <w:pPr>
              <w:pStyle w:val="Compact"/>
              <w:jc w:val="right"/>
            </w:pPr>
            <w:r>
              <w:t xml:space="preserve">73</w:t>
            </w:r>
          </w:p>
        </w:tc>
        <w:tc>
          <w:tcPr/>
          <w:p>
            <w:pPr>
              <w:pStyle w:val="Compact"/>
              <w:jc w:val="right"/>
            </w:pPr>
            <w:r>
              <w:t xml:space="preserve">54</w:t>
            </w:r>
          </w:p>
        </w:tc>
        <w:tc>
          <w:tcPr/>
          <w:p>
            <w:pPr>
              <w:pStyle w:val="Compact"/>
              <w:jc w:val="right"/>
            </w:pPr>
            <w:r>
              <w:t xml:space="preserve">44</w:t>
            </w:r>
          </w:p>
        </w:tc>
        <w:tc>
          <w:tcPr/>
          <w:p>
            <w:pPr>
              <w:pStyle w:val="Compact"/>
              <w:jc w:val="right"/>
            </w:pPr>
            <w:r>
              <w:t xml:space="preserve">228</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34</w:t>
            </w:r>
          </w:p>
        </w:tc>
        <w:tc>
          <w:tcPr/>
          <w:p>
            <w:pPr>
              <w:pStyle w:val="Compact"/>
              <w:jc w:val="right"/>
            </w:pPr>
            <w:r>
              <w:t xml:space="preserve">19</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85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129</w:t>
            </w:r>
          </w:p>
        </w:tc>
        <w:tc>
          <w:tcPr/>
          <w:p>
            <w:pPr>
              <w:pStyle w:val="Compact"/>
              <w:jc w:val="right"/>
            </w:pPr>
            <w:r>
              <w:t xml:space="preserve">35</w:t>
            </w:r>
          </w:p>
        </w:tc>
        <w:tc>
          <w:tcPr/>
          <w:p>
            <w:pPr>
              <w:pStyle w:val="Compact"/>
              <w:jc w:val="right"/>
            </w:pPr>
            <w:r>
              <w:t xml:space="preserve">47</w:t>
            </w:r>
          </w:p>
        </w:tc>
        <w:tc>
          <w:tcPr/>
          <w:p>
            <w:pPr>
              <w:pStyle w:val="Compact"/>
              <w:jc w:val="right"/>
            </w:pPr>
            <w:r>
              <w:t xml:space="preserve">36</w:t>
            </w:r>
          </w:p>
        </w:tc>
        <w:tc>
          <w:tcPr/>
          <w:p>
            <w:pPr>
              <w:pStyle w:val="Compact"/>
              <w:jc w:val="right"/>
            </w:pPr>
            <w:r>
              <w:t xml:space="preserve">247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45</w:t>
            </w:r>
          </w:p>
        </w:tc>
        <w:tc>
          <w:tcPr/>
          <w:p>
            <w:pPr>
              <w:pStyle w:val="Compact"/>
              <w:jc w:val="right"/>
            </w:pPr>
            <w:r>
              <w:t xml:space="preserve">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83</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461</w:t>
            </w:r>
          </w:p>
        </w:tc>
        <w:tc>
          <w:tcPr/>
          <w:p>
            <w:pPr>
              <w:pStyle w:val="Compact"/>
              <w:jc w:val="left"/>
            </w:pPr>
            <w:r>
              <w:t xml:space="preserve">835</w:t>
            </w:r>
          </w:p>
        </w:tc>
        <w:tc>
          <w:tcPr/>
          <w:p>
            <w:pPr>
              <w:pStyle w:val="Compact"/>
              <w:jc w:val="left"/>
            </w:pPr>
            <w:r>
              <w:t xml:space="preserve">e</w:t>
            </w:r>
          </w:p>
        </w:tc>
        <w:tc>
          <w:tcPr/>
          <w:p>
            <w:pPr>
              <w:pStyle w:val="Compact"/>
              <w:jc w:val="right"/>
            </w:pPr>
            <w:r>
              <w:t xml:space="preserve">3</w:t>
            </w:r>
          </w:p>
        </w:tc>
        <w:tc>
          <w:tcPr/>
          <w:p>
            <w:pPr>
              <w:pStyle w:val="Compact"/>
              <w:jc w:val="right"/>
            </w:pPr>
            <w:r>
              <w:t xml:space="preserve">102</w:t>
            </w:r>
          </w:p>
        </w:tc>
        <w:tc>
          <w:tcPr/>
          <w:p>
            <w:pPr>
              <w:pStyle w:val="Compact"/>
              <w:jc w:val="right"/>
            </w:pPr>
            <w:r>
              <w:t xml:space="preserve">219</w:t>
            </w:r>
          </w:p>
        </w:tc>
        <w:tc>
          <w:tcPr/>
          <w:p>
            <w:pPr>
              <w:pStyle w:val="Compact"/>
              <w:jc w:val="right"/>
            </w:pPr>
            <w:r>
              <w:t xml:space="preserve">5</w:t>
            </w:r>
          </w:p>
        </w:tc>
        <w:tc>
          <w:tcPr/>
          <w:p>
            <w:pPr>
              <w:pStyle w:val="Compact"/>
              <w:jc w:val="right"/>
            </w:pPr>
            <w:r>
              <w:t xml:space="preserve">329</w:t>
            </w:r>
          </w:p>
        </w:tc>
        <w:tc>
          <w:tcPr/>
          <w:p>
            <w:pPr>
              <w:pStyle w:val="Compact"/>
              <w:jc w:val="left"/>
            </w:pPr>
            <w:r>
              <w:t xml:space="preserve">M++++</w:t>
            </w:r>
          </w:p>
        </w:tc>
        <w:tc>
          <w:tcPr/>
          <w:p>
            <w:pPr>
              <w:pStyle w:val="Compact"/>
              <w:jc w:val="left"/>
            </w:pPr>
            <w:r>
              <w:t xml:space="preserve">V</w:t>
            </w:r>
          </w:p>
        </w:tc>
      </w:tr>
    </w:tbl>
    <w:p>
      <w:pPr>
        <w:pStyle w:val="BodyText"/>
      </w:pPr>
      <w:r>
        <w:t xml:space="preserve">(Aland podaje</w:t>
      </w:r>
      <w:r>
        <w:t xml:space="preserve"> </w:t>
      </w:r>
      <w:r>
        <w:rPr>
          <w:bCs/>
          <w:b/>
        </w:rPr>
        <w:t xml:space="preserve">ap</w:t>
      </w:r>
      <w:r>
        <w:t xml:space="preserve">, lecz nie podaje liczb dla</w:t>
      </w:r>
      <w:r>
        <w:t xml:space="preserve"> </w:t>
      </w:r>
      <w:r>
        <w:rPr>
          <w:bCs/>
          <w:b/>
        </w:rPr>
        <w:t xml:space="preserve">a</w:t>
      </w:r>
      <w:r>
        <w:t xml:space="preserve">).</w:t>
      </w:r>
    </w:p>
    <w:p>
      <w:pPr>
        <w:pStyle w:val="BodyText"/>
      </w:pPr>
      <w:r>
        <w:t xml:space="preserve">Czego zatem możemy się nauczyć z tej tabeli? Być może dobrym punktem wyjścia jest korelacja między „Kat.” i „klasą” pod względem wartości, które każdy z nas przypisał konkretnym manuskryptom: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w:t>
            </w:r>
          </w:p>
        </w:tc>
        <w:tc>
          <w:tcPr/>
          <w:p>
            <w:pPr>
              <w:pStyle w:val="Compact"/>
              <w:jc w:val="left"/>
            </w:pPr>
            <w:r>
              <w:t xml:space="preserve">II</w:t>
            </w:r>
          </w:p>
        </w:tc>
        <w:tc>
          <w:tcPr/>
          <w:p>
            <w:pPr>
              <w:pStyle w:val="Compact"/>
              <w:jc w:val="left"/>
            </w:pPr>
            <w:r>
              <w:t xml:space="preserve">III</w:t>
            </w:r>
          </w:p>
        </w:tc>
        <w:tc>
          <w:tcPr/>
          <w:p>
            <w:pPr>
              <w:pStyle w:val="Compact"/>
              <w:jc w:val="left"/>
            </w:pPr>
            <w:r>
              <w:t xml:space="preserve">IV</w:t>
            </w:r>
          </w:p>
        </w:tc>
        <w:tc>
          <w:tcPr/>
          <w:p>
            <w:pPr>
              <w:pStyle w:val="Compact"/>
              <w:jc w:val="left"/>
            </w:pPr>
            <w:r>
              <w:t xml:space="preserve">V</w:t>
            </w:r>
          </w:p>
        </w:tc>
      </w:tr>
      <w:tr>
        <w:tc>
          <w:tcPr/>
          <w:p>
            <w:pPr>
              <w:pStyle w:val="Compact"/>
              <w:jc w:val="left"/>
            </w:pPr>
            <w:r>
              <w:t xml:space="preserve">E++</w:t>
            </w:r>
            <w:r>
              <w:t xml:space="preserve">E+</w:t>
            </w:r>
            <w:r>
              <w:t xml:space="preserve">E</w:t>
            </w:r>
          </w:p>
        </w:tc>
        <w:tc>
          <w:tcPr/>
          <w:p>
            <w:pPr>
              <w:pStyle w:val="Compact"/>
              <w:jc w:val="left"/>
            </w:pPr>
            <w:r>
              <w:t xml:space="preserve">E+++</w:t>
            </w:r>
            <w:r>
              <w:t xml:space="preserve">M-</w:t>
            </w:r>
            <w:r>
              <w:t xml:space="preserve">O-</w:t>
            </w:r>
            <w:r>
              <w:t xml:space="preserve">E+</w:t>
            </w:r>
            <w:r>
              <w:t xml:space="preserve">E</w:t>
            </w:r>
            <w:r>
              <w:t xml:space="preserve">E-</w:t>
            </w:r>
          </w:p>
        </w:tc>
        <w:tc>
          <w:tcPr/>
          <w:p>
            <w:pPr>
              <w:pStyle w:val="Compact"/>
              <w:jc w:val="left"/>
            </w:pPr>
            <w:r>
              <w:t xml:space="preserve">E+</w:t>
            </w:r>
            <w:r>
              <w:t xml:space="preserve">M++</w:t>
            </w:r>
            <w:r>
              <w:t xml:space="preserve">E</w:t>
            </w:r>
            <w:r>
              <w:t xml:space="preserve">M</w:t>
            </w:r>
            <w:r>
              <w:t xml:space="preserve">E-</w:t>
            </w:r>
            <w:r>
              <w:t xml:space="preserve">M-</w:t>
            </w:r>
            <w:r>
              <w:t xml:space="preserve">E/M</w:t>
            </w:r>
          </w:p>
        </w:tc>
        <w:tc>
          <w:tcPr/>
          <w:p>
            <w:pPr>
              <w:pStyle w:val="Compact"/>
              <w:jc w:val="left"/>
            </w:pPr>
            <w:r>
              <w:t xml:space="preserve">O-</w:t>
            </w:r>
          </w:p>
        </w:tc>
        <w:tc>
          <w:tcPr/>
          <w:p>
            <w:pPr>
              <w:pStyle w:val="Compact"/>
              <w:jc w:val="left"/>
            </w:pPr>
            <w:r>
              <w:t xml:space="preserve">M+++++</w:t>
            </w:r>
            <w:r>
              <w:t xml:space="preserve">M++++</w:t>
            </w:r>
            <w:r>
              <w:t xml:space="preserve">M+++</w:t>
            </w:r>
            <w:r>
              <w:t xml:space="preserve">M++</w:t>
            </w:r>
            <w:r>
              <w:t xml:space="preserve">M+</w:t>
            </w:r>
          </w:p>
        </w:tc>
      </w:tr>
    </w:tbl>
    <w:p>
      <w:pPr>
        <w:pStyle w:val="BodyText"/>
      </w:pPr>
      <w:r>
        <w:t xml:space="preserve">Kategorie I, IV i V są rozsądnie spójne, jak jednak mamy interpretować II i III? Jest to kłopotliwe, ponieważ w książce Alanda (s. 156–159) bardzo wiele manuskryptów wymieniono w III, a niemało w II. Pomocne może być sprawdzenie, ile manuskryptów albo części zawartości znajduje się na przecięciach obu parametrów:</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right"/>
            </w:pPr>
            <w:r>
              <w:t xml:space="preserve">I</w:t>
            </w:r>
          </w:p>
        </w:tc>
        <w:tc>
          <w:tcPr/>
          <w:p>
            <w:pPr>
              <w:pStyle w:val="Compact"/>
              <w:jc w:val="right"/>
            </w:pPr>
            <w:r>
              <w:t xml:space="preserve">II</w:t>
            </w:r>
          </w:p>
        </w:tc>
        <w:tc>
          <w:tcPr/>
          <w:p>
            <w:pPr>
              <w:pStyle w:val="Compact"/>
              <w:jc w:val="right"/>
            </w:pPr>
            <w:r>
              <w:t xml:space="preserve">III</w:t>
            </w:r>
          </w:p>
        </w:tc>
        <w:tc>
          <w:tcPr/>
          <w:p>
            <w:pPr>
              <w:pStyle w:val="Compact"/>
              <w:jc w:val="right"/>
            </w:pPr>
            <w:r>
              <w:t xml:space="preserve">IV</w:t>
            </w:r>
          </w:p>
        </w:tc>
        <w:tc>
          <w:tcPr/>
          <w:p>
            <w:pPr>
              <w:pStyle w:val="Compact"/>
              <w:jc w:val="right"/>
            </w:pPr>
            <w:r>
              <w:t xml:space="preserve">V</w:t>
            </w:r>
          </w:p>
        </w:tc>
        <w:tc>
          <w:tcPr/>
          <w:p>
            <w:pPr>
              <w:pStyle w:val="Compact"/>
              <w:jc w:val="right"/>
            </w:pPr>
            <w:r>
              <w:t xml:space="preserve">Łącznie</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E++</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w:t>
            </w:r>
          </w:p>
        </w:tc>
      </w:tr>
      <w:tr>
        <w:tc>
          <w:tcPr/>
          <w:p>
            <w:pPr>
              <w:pStyle w:val="Compact"/>
              <w:jc w:val="left"/>
            </w:pPr>
            <w:r>
              <w:t xml:space="preserve">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8</w:t>
            </w:r>
          </w:p>
        </w:tc>
      </w:tr>
      <w:tr>
        <w:tc>
          <w:tcPr/>
          <w:p>
            <w:pPr>
              <w:pStyle w:val="Compact"/>
              <w:jc w:val="left"/>
            </w:pPr>
            <w:r>
              <w:t xml:space="preserve">E</w:t>
            </w:r>
          </w:p>
        </w:tc>
        <w:tc>
          <w:tcPr/>
          <w:p>
            <w:pPr>
              <w:pStyle w:val="Compact"/>
              <w:jc w:val="right"/>
            </w:pPr>
            <w:r>
              <w:t xml:space="preserve">6</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13</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O-</w:t>
            </w: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3</w:t>
            </w:r>
          </w:p>
        </w:tc>
      </w:tr>
      <w:tr>
        <w:tc>
          <w:tcPr/>
          <w:p>
            <w:pPr>
              <w:pStyle w:val="Compact"/>
              <w:jc w:val="left"/>
            </w:pPr>
            <w:r>
              <w:t xml:space="preserve">E/M</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M-</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5</w:t>
            </w:r>
          </w:p>
        </w:tc>
        <w:tc>
          <w:tcPr/>
          <w:p>
            <w:pPr>
              <w:pStyle w:val="Compact"/>
            </w:pPr>
          </w:p>
        </w:tc>
        <w:tc>
          <w:tcPr/>
          <w:p>
            <w:pPr>
              <w:pStyle w:val="Compact"/>
            </w:pP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10</w:t>
            </w:r>
          </w:p>
        </w:tc>
        <w:tc>
          <w:tcPr/>
          <w:p>
            <w:pPr>
              <w:pStyle w:val="Compact"/>
              <w:jc w:val="right"/>
            </w:pPr>
            <w:r>
              <w:t xml:space="preserve">10</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8</w:t>
            </w:r>
          </w:p>
        </w:tc>
        <w:tc>
          <w:tcPr/>
          <w:p>
            <w:pPr>
              <w:pStyle w:val="Compact"/>
              <w:jc w:val="right"/>
            </w:pPr>
            <w:r>
              <w:t xml:space="preserve">8</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r>
    </w:tbl>
    <w:p>
      <w:pPr>
        <w:pStyle w:val="BodyText"/>
      </w:pPr>
      <w:r>
        <w:t xml:space="preserve">0274 i 063 są fragmentaryczne, co przypuszczalnie odpowiada za ich wyjątkowe wyniki, odpowiednio E+++ i M+++++, gdyby były bardziej kompletne, każdy z nich prawdopodobnie spadłby o jeden poziom. Spośród 45 części M 31 osiąga wynik ponad 80%, a 9 jest „czystych” w ponad 95%. Powinno być możliwe odtworzenie większej części „bizantyjskiego” archetypu z dostateczną pewnością. Trzeba jednak zastanowić się, jak Aland doszedł do „egipskiej” normy w Ewangeliach, skoro najlepszy świadek egipski (z wyjątkiem fragmentarycznego 0274, który ma mniej niż 10% tekstu, lecz osiąga 90%), Kodeks B, ledwie przekracza 70%. (W</w:t>
      </w:r>
      <w:r>
        <w:t xml:space="preserve"> </w:t>
      </w:r>
      <w:r>
        <w:rPr>
          <w:iCs/>
          <w:i/>
        </w:rPr>
        <w:t xml:space="preserve">The Text</w:t>
      </w:r>
      <w:r>
        <w:t xml:space="preserve">, s. 95, Aland podaje podsumowanie dla P</w:t>
      </w:r>
      <w:r>
        <w:rPr>
          <w:vertAlign w:val="superscript"/>
        </w:rPr>
        <w:t xml:space="preserve">75</w:t>
      </w:r>
      <w:r>
        <w:t xml:space="preserve"> </w:t>
      </w:r>
      <w:r>
        <w:t xml:space="preserve">w Ewangelii Łukasza — osiąga on 77%). Co więcej, oprócz B i 0274 P</w:t>
      </w:r>
      <w:r>
        <w:rPr>
          <w:vertAlign w:val="superscript"/>
        </w:rPr>
        <w:t xml:space="preserve">75</w:t>
      </w:r>
      <w:r>
        <w:t xml:space="preserve"> </w:t>
      </w:r>
      <w:r>
        <w:t xml:space="preserve">i Z (oba również fragmentaryczne) są jedynymi greckimi manuskryptami, które osiągają w Ewangeliach choćby E+. Przypomina się wniosek E.C. Colwella po próbie odtworzenia „przeciętnego” albo średniego tekstu aleksandryjskiego dla pierwszego rozdziału Ewangelii Marka: „Wyniki te przekonująco pokazują, że każda próba odtworzenia archetypu typu tekstu Beta (aleksandryjskiego) na podstawie ilościowej jest skazana na niepowodzenie. Tak odtworzony tekst nie jest odtworzony, lecz skonstruowany, jest sztuczną jednostką, która nigdy nie istniała”.</w:t>
      </w:r>
      <w:r>
        <w:rPr>
          <w:rStyle w:val="FootnoteReference"/>
        </w:rPr>
        <w:footnoteReference w:id="570"/>
      </w:r>
    </w:p>
    <w:p>
      <w:pPr>
        <w:pStyle w:val="BodyText"/>
      </w:pPr>
      <w:r>
        <w:t xml:space="preserve">W przypadku pozostałych obszarów zawartości sytuacja nie jest wiele lepsza. Tylko P</w:t>
      </w:r>
      <w:r>
        <w:rPr>
          <w:vertAlign w:val="superscript"/>
        </w:rPr>
        <w:t xml:space="preserve">74</w:t>
      </w:r>
      <w:r>
        <w:t xml:space="preserve"> </w:t>
      </w:r>
      <w:r>
        <w:t xml:space="preserve">(86%), B (85%) i 81 (80%) mają ocenę E++ w</w:t>
      </w:r>
      <w:r>
        <w:t xml:space="preserve"> </w:t>
      </w:r>
      <w:r>
        <w:rPr>
          <w:bCs/>
          <w:b/>
        </w:rPr>
        <w:t xml:space="preserve">a</w:t>
      </w:r>
      <w:r>
        <w:t xml:space="preserve">, poza nimi jedynie A i Alef osiągają choćby E+. Kodeks B jest jedynym E++ (80%) w</w:t>
      </w:r>
      <w:r>
        <w:t xml:space="preserve"> </w:t>
      </w:r>
      <w:r>
        <w:rPr>
          <w:bCs/>
          <w:b/>
        </w:rPr>
        <w:t xml:space="preserve">p</w:t>
      </w:r>
      <w:r>
        <w:t xml:space="preserve">, a jedynie P</w:t>
      </w:r>
      <w:r>
        <w:rPr>
          <w:vertAlign w:val="superscript"/>
        </w:rPr>
        <w:t xml:space="preserve">46</w:t>
      </w:r>
      <w:r>
        <w:t xml:space="preserve">, A, C, 048 i 1739 osiągają E+. Poza 88% B w</w:t>
      </w:r>
      <w:r>
        <w:t xml:space="preserve"> </w:t>
      </w:r>
      <w:r>
        <w:rPr>
          <w:bCs/>
          <w:b/>
        </w:rPr>
        <w:t xml:space="preserve">c</w:t>
      </w:r>
      <w:r>
        <w:t xml:space="preserve">, jedynie P</w:t>
      </w:r>
      <w:r>
        <w:rPr>
          <w:vertAlign w:val="superscript"/>
        </w:rPr>
        <w:t xml:space="preserve">74</w:t>
      </w:r>
      <w:r>
        <w:t xml:space="preserve">, A i 1739 osiągają choćby E+. Jak Aland doszedł do swojej „egipskiej” normy w tych obszarach? Czy ta „norma” może być fikcją, jak twierdził Colwell?</w:t>
      </w:r>
    </w:p>
    <w:p>
      <w:pPr>
        <w:pStyle w:val="BodyText"/>
      </w:pPr>
      <w:r>
        <w:t xml:space="preserve">Kodeks A</w:t>
      </w:r>
      <w:r>
        <w:rPr>
          <w:vertAlign w:val="superscript"/>
        </w:rPr>
        <w:t xml:space="preserve">e</w:t>
      </w:r>
      <w:r>
        <w:t xml:space="preserve"> </w:t>
      </w:r>
      <w:r>
        <w:t xml:space="preserve">jest w 82% bizantyjski i musiał opierać się na egzemplarzu bizantyjskim, który przypuszczalnie należałby do IV wieku. Kodeks W w Ewangelii Mateusza także jest wyraźnie bizantyjski i musiał mieć egzemplarz bizantyjski. Rozproszenie odczytów bizantyjskich w B jest na tyle nieznaczne, że przypuszczam, iż można by przypisać je przypadkowi, lecz wyjaśnienie to raczej nie wystarczy w przypadku Alefa. Przynajmniej w</w:t>
      </w:r>
      <w:r>
        <w:t xml:space="preserve"> </w:t>
      </w:r>
      <w:r>
        <w:rPr>
          <w:bCs/>
          <w:b/>
        </w:rPr>
        <w:t xml:space="preserve">p</w:t>
      </w:r>
      <w:r>
        <w:t xml:space="preserve">, jeśli nie wszędzie, kopista Alefa musiał mieć dostęp do egzemplarza bizantyjskiego, który mógł należeć do III wieku. Asteriusz dostarcza jednak znacznie silniejszych dowodów: zmarł w 341 roku, przypuszczalnie więc pisał nieco wcześniej, wydaje się prawdopodobne, że jego manuskrypty pochodziłyby z III wieku — skoro wykazuje 90% preferencji dla odczytów bizantyjskich, manuskrypty te musiały być</w:t>
      </w:r>
      <w:r>
        <w:t xml:space="preserve"> </w:t>
      </w:r>
      <w:r>
        <w:rPr>
          <w:bCs/>
          <w:b/>
        </w:rPr>
        <w:t xml:space="preserve">bizantyjskie</w:t>
      </w:r>
      <w:r>
        <w:t xml:space="preserve">. (Przy użyciu mojej klasyfikacji Asteriusz byłby M++, a preferencja bizantyjska wynosiłaby 83%. W ujęciu procentowym Asteriusz jest równie silnie bizantyjski, jak B jest egipski). Adamantiusz zmarł w 300 roku, pisał więc wcześniej. Czy jego manuskrypty mogły pochodzić z pierwszej połowy III wieku? Skoro wykazuje 52% preferencji dla odczytów bizantyjskich (albo 39% przy użyciu mojej klasyfikacji), przynajmniej niektóre z jego manuskryptów były przypuszczalnie bizantyjskie. Zresztą P</w:t>
      </w:r>
      <w:r>
        <w:rPr>
          <w:vertAlign w:val="superscript"/>
        </w:rPr>
        <w:t xml:space="preserve">66</w:t>
      </w:r>
      <w:r>
        <w:t xml:space="preserve"> </w:t>
      </w:r>
      <w:r>
        <w:t xml:space="preserve">ma tak wiele odczytów bizantyjskich, że</w:t>
      </w:r>
      <w:r>
        <w:t xml:space="preserve"> </w:t>
      </w:r>
      <w:r>
        <w:rPr>
          <w:bCs/>
          <w:b/>
        </w:rPr>
        <w:t xml:space="preserve">jego</w:t>
      </w:r>
      <w:r>
        <w:t xml:space="preserve"> </w:t>
      </w:r>
      <w:r>
        <w:t xml:space="preserve">kopista musiał mieć dostęp do egzemplarza bizantyjskiego, który z konieczności należałby do</w:t>
      </w:r>
      <w:r>
        <w:t xml:space="preserve"> </w:t>
      </w:r>
      <w:r>
        <w:rPr>
          <w:bCs/>
          <w:b/>
        </w:rPr>
        <w:t xml:space="preserve">II</w:t>
      </w:r>
      <w:r>
        <w:t xml:space="preserve"> </w:t>
      </w:r>
      <w:r>
        <w:t xml:space="preserve">wieku! Okoliczność, że niektóre odczyty bizantyjskie w P</w:t>
      </w:r>
      <w:r>
        <w:rPr>
          <w:vertAlign w:val="superscript"/>
        </w:rPr>
        <w:t xml:space="preserve">66</w:t>
      </w:r>
      <w:r>
        <w:rPr>
          <w:iCs/>
          <w:i/>
          <w:vertAlign w:val="superscript"/>
        </w:rPr>
        <w:t xml:space="preserve">^ poprawiono na odczyty egipskie, a niektóre odczyty egipskie w P^66</w:t>
      </w:r>
      <w:r>
        <w:t xml:space="preserve"> </w:t>
      </w:r>
      <w:r>
        <w:t xml:space="preserve">poprawiono na odczyty bizantyjskie, zdaje się naprawdę wymagać, byśmy założyli egzemplarze obu typów — obie ręce wspólnie dostarczają jasnego dowodu, że tekst bizantyjski jako taki istniał w ich czasach.</w:t>
      </w:r>
      <w:r>
        <w:rPr>
          <w:rStyle w:val="FootnoteReference"/>
        </w:rPr>
        <w:footnoteReference w:id="571"/>
      </w:r>
    </w:p>
    <w:p>
      <w:pPr>
        <w:pStyle w:val="BodyText"/>
      </w:pPr>
      <w:r>
        <w:t xml:space="preserve">Wracając do powyższej tabeli uncjałów, w IV wieku E prowadzi we wszystkich czterech obszarach, chociaż w Alefie E jest słabe, a M zyskuje. Jeśli W pochodzi z IV wieku,</w:t>
      </w:r>
      <w:r>
        <w:rPr>
          <w:rStyle w:val="FootnoteReference"/>
        </w:rPr>
        <w:footnoteReference w:id="572"/>
      </w:r>
      <w:r>
        <w:t xml:space="preserve"> </w:t>
      </w:r>
      <w:r>
        <w:t xml:space="preserve">M zyskało jeszcze więcej. Przypominam czytelnikowi, że odnoszę się wyłącznie do informacji w tabeli podanej powyżej. W rzeczywistości zakładam, że IV wiek, podobnie jak wszystkie pozostałe, był zdominowany przez manuskrypty bizantyjskie. Ponieważ były dobrymi kopiami, używano ich i zużywano, przez co ginęły. Kopie takie jak B i Alef przetrwały, ponieważ były „odmienne”, a zatem nie były używane. Przez „używane” rozumiem zwykłe cele — dobrze wiem, że Alef ćwiczył pomysłowość pewnej liczby korektorów na przestrzeni wieków, lecz nie pozostawił potomków. W V wieku M przejmuje prowadzenie w</w:t>
      </w:r>
      <w:r>
        <w:t xml:space="preserve"> </w:t>
      </w:r>
      <w:r>
        <w:rPr>
          <w:bCs/>
          <w:b/>
        </w:rPr>
        <w:t xml:space="preserve">e</w:t>
      </w:r>
      <w:r>
        <w:t xml:space="preserve">, podczas gdy E zachowuje</w:t>
      </w:r>
      <w:r>
        <w:t xml:space="preserve"> </w:t>
      </w:r>
      <w:r>
        <w:rPr>
          <w:bCs/>
          <w:b/>
        </w:rPr>
        <w:t xml:space="preserve">apc</w:t>
      </w:r>
      <w:r>
        <w:t xml:space="preserve"> </w:t>
      </w:r>
      <w:r>
        <w:t xml:space="preserve">(dla niektórych zaskoczeniem może być, że C</w:t>
      </w:r>
      <w:r>
        <w:rPr>
          <w:vertAlign w:val="superscript"/>
        </w:rPr>
        <w:t xml:space="preserve">e</w:t>
      </w:r>
      <w:r>
        <w:t xml:space="preserve"> </w:t>
      </w:r>
      <w:r>
        <w:t xml:space="preserve">jest bardziej M niż czymkolwiek innym). W VI wieku M umacnia swoją pozycję w</w:t>
      </w:r>
      <w:r>
        <w:t xml:space="preserve"> </w:t>
      </w:r>
      <w:r>
        <w:rPr>
          <w:bCs/>
          <w:b/>
        </w:rPr>
        <w:t xml:space="preserve">e</w:t>
      </w:r>
      <w:r>
        <w:t xml:space="preserve"> </w:t>
      </w:r>
      <w:r>
        <w:t xml:space="preserve">i wkracza do</w:t>
      </w:r>
      <w:r>
        <w:t xml:space="preserve"> </w:t>
      </w:r>
      <w:r>
        <w:rPr>
          <w:bCs/>
          <w:b/>
        </w:rPr>
        <w:t xml:space="preserve">a</w:t>
      </w:r>
      <w:r>
        <w:t xml:space="preserve"> </w:t>
      </w:r>
      <w:r>
        <w:t xml:space="preserve">(dla niektórych zaskoczeniem może być, że D</w:t>
      </w:r>
      <w:r>
        <w:rPr>
          <w:vertAlign w:val="superscript"/>
        </w:rPr>
        <w:t xml:space="preserve">p</w:t>
      </w:r>
      <w:r>
        <w:t xml:space="preserve"> </w:t>
      </w:r>
      <w:r>
        <w:t xml:space="preserve">jest bardziej M niż czymkolwiek innym). Po V wieku, z jedynym wyjątkiem fragmentarycznego Z, wszyscy świadkowie „egipscy” są słabi — nawet „królowa rękopisów kursywnych”, 33, nie osiąga E+. Spośród uncjałów z X wieku, dla których Aland przedstawia podsumowanie, wszystkie są wyraźnie bizantyjskie (028, 033, 036, 056, 075 i 0124), z wyjątkiem 0243, który osiąga E.</w:t>
      </w:r>
      <w:r>
        <w:rPr>
          <w:rStyle w:val="FootnoteReference"/>
        </w:rPr>
        <w:footnoteReference w:id="573"/>
      </w:r>
    </w:p>
    <w:bookmarkEnd w:id="574"/>
    <w:bookmarkStart w:id="576" w:name="rękopisy-kursywne"/>
    <w:p>
      <w:pPr>
        <w:pStyle w:val="Heading3"/>
      </w:pPr>
      <w:r>
        <w:t xml:space="preserve">Rękopisy kursywne</w:t>
      </w:r>
    </w:p>
    <w:p>
      <w:pPr>
        <w:pStyle w:val="FirstParagraph"/>
      </w:pPr>
      <w:r>
        <w:t xml:space="preserve">Gdy przechodzimy do rękopisów kursywnych, Aland przedstawia podsumowania dla 150 wybranych na podstawie ich „niezależności” od normy bizantyjskiej. Wymienia 900 manuskryptów tylko według numerów, ponieważ „minuskuły te wykazują czysto albo przeważnie bizantyjski tekst”, a zatem uważa, że „wszystkie są nieistotne dla krytyki tekstu” (</w:t>
      </w:r>
      <w:r>
        <w:rPr>
          <w:iCs/>
          <w:i/>
        </w:rPr>
        <w:t xml:space="preserve">The Text</w:t>
      </w:r>
      <w:r>
        <w:t xml:space="preserve">, s. 155). Wykonanie dla 150 „niezależnych” rękopisów kursywnych tego, co zrobiłem dla uncjałów, zajęłoby zbyt wiele miejsca, dlatego podsumuję statystyki Alanda w formie tabeli, używając mojej klasyfikacji:</w:t>
      </w:r>
    </w:p>
    <w:tbl>
      <w:tblPr>
        <w:tblStyle w:val="Table"/>
        <w:tblW w:type="pct" w:w="5000"/>
        <w:tblLook w:firstRow="1" w:lastRow="0" w:firstColumn="0" w:lastColumn="0" w:noHBand="0" w:noVBand="0" w:val="0020"/>
        <w:jc w:val="start"/>
      </w:tblPr>
      <w:tblGrid>
        <w:gridCol w:w="465"/>
        <w:gridCol w:w="621"/>
        <w:gridCol w:w="621"/>
        <w:gridCol w:w="621"/>
        <w:gridCol w:w="621"/>
        <w:gridCol w:w="621"/>
        <w:gridCol w:w="621"/>
        <w:gridCol w:w="621"/>
        <w:gridCol w:w="621"/>
        <w:gridCol w:w="621"/>
        <w:gridCol w:w="621"/>
        <w:gridCol w:w="621"/>
        <w:gridCol w:w="621"/>
      </w:tblGrid>
      <w:tr>
        <w:trPr>
          <w:tblHeader w:val="true"/>
        </w:trPr>
        <w:tc>
          <w:tcPr/>
          <w:p>
            <w:pPr>
              <w:pStyle w:val="Compact"/>
              <w:jc w:val="left"/>
            </w:pPr>
            <w:r>
              <w:t xml:space="preserve">Zaw.</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r>
      <w:tr>
        <w:tc>
          <w:tcPr/>
          <w:p>
            <w:pPr>
              <w:pStyle w:val="Compact"/>
              <w:jc w:val="left"/>
            </w:pPr>
            <w:r>
              <w:t xml:space="preserve">e</w:t>
            </w:r>
          </w:p>
        </w:tc>
        <w:tc>
          <w:tcPr/>
          <w:p>
            <w:pPr>
              <w:pStyle w:val="Compact"/>
            </w:pPr>
          </w:p>
        </w:tc>
        <w:tc>
          <w:tcPr/>
          <w:p>
            <w:pPr>
              <w:pStyle w:val="Compact"/>
              <w:jc w:val="right"/>
            </w:pPr>
            <w:r>
              <w:t xml:space="preserve">10</w:t>
            </w:r>
          </w:p>
        </w:tc>
        <w:tc>
          <w:tcPr/>
          <w:p>
            <w:pPr>
              <w:pStyle w:val="Compact"/>
              <w:jc w:val="right"/>
            </w:pPr>
            <w:r>
              <w:t xml:space="preserve">23</w:t>
            </w:r>
          </w:p>
        </w:tc>
        <w:tc>
          <w:tcPr/>
          <w:p>
            <w:pPr>
              <w:pStyle w:val="Compact"/>
              <w:jc w:val="right"/>
            </w:pPr>
            <w:r>
              <w:t xml:space="preserve">12</w:t>
            </w:r>
          </w:p>
        </w:tc>
        <w:tc>
          <w:tcPr/>
          <w:p>
            <w:pPr>
              <w:pStyle w:val="Compact"/>
              <w:jc w:val="right"/>
            </w:pPr>
            <w:r>
              <w:t xml:space="preserve">6</w:t>
            </w:r>
          </w:p>
        </w:tc>
        <w:tc>
          <w:tcPr/>
          <w:p>
            <w:pPr>
              <w:pStyle w:val="Compact"/>
              <w:jc w:val="right"/>
            </w:pPr>
            <w:r>
              <w:t xml:space="preserve">16</w:t>
            </w: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r>
      <w:tr>
        <w:tc>
          <w:tcPr/>
          <w:p>
            <w:pPr>
              <w:pStyle w:val="Compact"/>
              <w:jc w:val="left"/>
            </w:pPr>
            <w:r>
              <w:t xml:space="preserve">a</w:t>
            </w:r>
          </w:p>
        </w:tc>
        <w:tc>
          <w:tcPr/>
          <w:p>
            <w:pPr>
              <w:pStyle w:val="Compact"/>
            </w:pPr>
          </w:p>
        </w:tc>
        <w:tc>
          <w:tcPr/>
          <w:p>
            <w:pPr>
              <w:pStyle w:val="Compact"/>
              <w:jc w:val="right"/>
            </w:pPr>
            <w:r>
              <w:t xml:space="preserve">12</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r>
      <w:tr>
        <w:tc>
          <w:tcPr/>
          <w:p>
            <w:pPr>
              <w:pStyle w:val="Compact"/>
              <w:jc w:val="left"/>
            </w:pPr>
            <w:r>
              <w:t xml:space="preserve">p</w:t>
            </w:r>
          </w:p>
        </w:tc>
        <w:tc>
          <w:tcPr/>
          <w:p>
            <w:pPr>
              <w:pStyle w:val="Compact"/>
              <w:jc w:val="right"/>
            </w:pPr>
            <w:r>
              <w:t xml:space="preserve">1</w:t>
            </w:r>
          </w:p>
        </w:tc>
        <w:tc>
          <w:tcPr/>
          <w:p>
            <w:pPr>
              <w:pStyle w:val="Compact"/>
              <w:jc w:val="right"/>
            </w:pPr>
            <w:r>
              <w:t xml:space="preserve">25</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28</w:t>
            </w:r>
          </w:p>
        </w:tc>
        <w:tc>
          <w:tcPr/>
          <w:p>
            <w:pPr>
              <w:pStyle w:val="Compact"/>
              <w:jc w:val="right"/>
            </w:pPr>
            <w:r>
              <w:t xml:space="preserve">19</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r>
      <w:tr>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18</w:t>
            </w:r>
          </w:p>
        </w:tc>
        <w:tc>
          <w:tcPr/>
          <w:p>
            <w:pPr>
              <w:pStyle w:val="Compact"/>
              <w:jc w:val="right"/>
            </w:pPr>
            <w:r>
              <w:t xml:space="preserve">6</w:t>
            </w:r>
          </w:p>
        </w:tc>
        <w:tc>
          <w:tcPr/>
          <w:p>
            <w:pPr>
              <w:pStyle w:val="Compact"/>
              <w:jc w:val="right"/>
            </w:pPr>
            <w:r>
              <w:t xml:space="preserve">30</w:t>
            </w:r>
          </w:p>
        </w:tc>
        <w:tc>
          <w:tcPr/>
          <w:p>
            <w:pPr>
              <w:pStyle w:val="Compact"/>
              <w:jc w:val="right"/>
            </w:pPr>
            <w:r>
              <w:t xml:space="preserve">21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5</w:t>
            </w:r>
          </w:p>
        </w:tc>
        <w:tc>
          <w:tcPr/>
          <w:p>
            <w:pPr>
              <w:pStyle w:val="Compact"/>
              <w:jc w:val="right"/>
            </w:pPr>
            <w:r>
              <w:t xml:space="preserve">10</w:t>
            </w:r>
          </w:p>
        </w:tc>
        <w:tc>
          <w:tcPr/>
          <w:p>
            <w:pPr>
              <w:pStyle w:val="Compact"/>
              <w:jc w:val="right"/>
            </w:pPr>
            <w:r>
              <w:t xml:space="preserve">1</w:t>
            </w:r>
          </w:p>
        </w:tc>
        <w:tc>
          <w:tcPr/>
          <w:p>
            <w:pPr>
              <w:pStyle w:val="Compact"/>
            </w:pPr>
          </w:p>
        </w:tc>
      </w:tr>
      <w:tr>
        <w:tc>
          <w:tcPr/>
          <w:p>
            <w:pPr>
              <w:pStyle w:val="Compact"/>
              <w:jc w:val="left"/>
            </w:pPr>
            <w:r>
              <w:t xml:space="preserve">łącznie</w:t>
            </w:r>
          </w:p>
        </w:tc>
        <w:tc>
          <w:tcPr/>
          <w:p>
            <w:pPr>
              <w:pStyle w:val="Compact"/>
              <w:jc w:val="right"/>
            </w:pPr>
            <w:r>
              <w:t xml:space="preserve">2</w:t>
            </w:r>
          </w:p>
        </w:tc>
        <w:tc>
          <w:tcPr/>
          <w:p>
            <w:pPr>
              <w:pStyle w:val="Compact"/>
              <w:jc w:val="right"/>
            </w:pPr>
            <w:r>
              <w:t xml:space="preserve">56</w:t>
            </w:r>
          </w:p>
        </w:tc>
        <w:tc>
          <w:tcPr/>
          <w:p>
            <w:pPr>
              <w:pStyle w:val="Compact"/>
              <w:jc w:val="right"/>
            </w:pPr>
            <w:r>
              <w:t xml:space="preserve">73</w:t>
            </w:r>
          </w:p>
        </w:tc>
        <w:tc>
          <w:tcPr/>
          <w:p>
            <w:pPr>
              <w:pStyle w:val="Compact"/>
              <w:jc w:val="right"/>
            </w:pPr>
            <w:r>
              <w:t xml:space="preserve">58</w:t>
            </w:r>
          </w:p>
        </w:tc>
        <w:tc>
          <w:tcPr/>
          <w:p>
            <w:pPr>
              <w:pStyle w:val="Compact"/>
              <w:jc w:val="right"/>
            </w:pPr>
            <w:r>
              <w:t xml:space="preserve">85</w:t>
            </w:r>
          </w:p>
        </w:tc>
        <w:tc>
          <w:tcPr/>
          <w:p>
            <w:pPr>
              <w:pStyle w:val="Compact"/>
              <w:jc w:val="right"/>
            </w:pPr>
            <w:r>
              <w:t xml:space="preserve">70</w:t>
            </w:r>
          </w:p>
        </w:tc>
        <w:tc>
          <w:tcPr/>
          <w:p>
            <w:pPr>
              <w:pStyle w:val="Compact"/>
              <w:jc w:val="right"/>
            </w:pPr>
            <w:r>
              <w:t xml:space="preserve">27</w:t>
            </w:r>
          </w:p>
        </w:tc>
        <w:tc>
          <w:tcPr/>
          <w:p>
            <w:pPr>
              <w:pStyle w:val="Compact"/>
              <w:jc w:val="right"/>
            </w:pPr>
            <w:r>
              <w:t xml:space="preserve">2</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2</w:t>
            </w:r>
          </w:p>
        </w:tc>
        <w:tc>
          <w:tcPr/>
          <w:p>
            <w:pPr>
              <w:pStyle w:val="Compact"/>
              <w:jc w:val="right"/>
            </w:pPr>
            <w:r>
              <w:t xml:space="preserve">1</w:t>
            </w:r>
          </w:p>
        </w:tc>
      </w:tr>
    </w:tbl>
    <w:p>
      <w:pPr>
        <w:pStyle w:val="BodyText"/>
      </w:pPr>
      <w:r>
        <w:t xml:space="preserve">Nawet wśród tych „niezależnych” rękopisów kursywnych istnieją dwie części zawartości, które w rzeczywistości osiągają stuprocentowy wynik bizantyjski! (Wyobraź sobie tylko, ile więcej musi ich być wśród 900 tak bizantyjskich, że Aland je zignorował). Najlepszym przedstawicielem egipskim jest 81 w Dziejach Apostolskich, osiągający równe 80%. 1739 osiąga 70% (E+) w</w:t>
      </w:r>
      <w:r>
        <w:t xml:space="preserve"> </w:t>
      </w:r>
      <w:r>
        <w:rPr>
          <w:bCs/>
          <w:b/>
        </w:rPr>
        <w:t xml:space="preserve">c</w:t>
      </w:r>
      <w:r>
        <w:t xml:space="preserve"> </w:t>
      </w:r>
      <w:r>
        <w:t xml:space="preserve">i 68% (E+) w</w:t>
      </w:r>
      <w:r>
        <w:t xml:space="preserve"> </w:t>
      </w:r>
      <w:r>
        <w:rPr>
          <w:bCs/>
          <w:b/>
        </w:rPr>
        <w:t xml:space="preserve">p</w:t>
      </w:r>
      <w:r>
        <w:t xml:space="preserve">. Są to jedyne trzy części, które nazwałbym „wyraźnie egipskimi”. Istnieje szesnaście części osiągających wynik między 50 a 66% (E). Zestawiając M do M+++++ z E do E++, otrzymujemy 344 do 19, i to wśród „niezależnych” minuskułów. Jeśli dodamy 900 „przeważnie bizantyjskich” manuskryptów, z których każdy będzie miał średnio ponad dwie części zawartości, rzeczywisty stosunek znacznie przekracza 100 do jednego. Zakładam, że niemal wszystkie spośród tych 900 osiągną co najmniej M++, a większość bez wątpienia osiągnie M+++ albo więcej. Gdybyśmy obliczyli tylko części osiągające co najmniej 80%, stosunek bizantyjskich do egipskich wynosiłby raczej</w:t>
      </w:r>
      <w:r>
        <w:t xml:space="preserve"> </w:t>
      </w:r>
      <w:r>
        <w:rPr>
          <w:bCs/>
          <w:b/>
        </w:rPr>
        <w:t xml:space="preserve">1000</w:t>
      </w:r>
      <w:r>
        <w:t xml:space="preserve"> </w:t>
      </w:r>
      <w:r>
        <w:t xml:space="preserve">do jednego — manuskrypty, które zostały sklasyfikowane na podstawie „kolacjonowania testowego” Alanda, jak podano w jego książce, stanowią być może 40% ogółu (z wyłączeniem lekcjonarzy), możemy jednak rozsądnie założyć, że większość „niezależnych” została już rozpoznana i przedstawiona. Wynika z tego, że pozostałe manuskrypty, co najmniej 1500, mogą tylko zwiększyć bizantyjską stronę stosunku. Jeśli tekst bizantyjski jest „najgorszy”, to na przestrzeni stuleci kopiowania manuskryptów Kościół masowo się mylił!</w:t>
      </w:r>
    </w:p>
    <w:p>
      <w:pPr>
        <w:pStyle w:val="BodyText"/>
      </w:pPr>
      <w:r>
        <w:t xml:space="preserve">Manuskrypty omówione w książce Alanda (wydanie pierwsze) odzwierciedlają kolacjonowanie przeprowadzone w jego Instytucie do 1981 roku. Od tamtego czasu bez wątpienia skolacjonowano znacznie więcej, lecz ogólne proporcje prawdopodobnie nie zmienią się znacząco. Rozważmy badanie przeprowadzone przez Frederika Wissego. Skolacjonował i porównał</w:t>
      </w:r>
      <w:r>
        <w:t xml:space="preserve"> </w:t>
      </w:r>
      <w:r>
        <w:rPr>
          <w:bCs/>
          <w:b/>
        </w:rPr>
        <w:t xml:space="preserve">1386</w:t>
      </w:r>
      <w:r>
        <w:t xml:space="preserve"> </w:t>
      </w:r>
      <w:r>
        <w:t xml:space="preserve">manuskryptów w rozdziałach 1, 10 i 20 Ewangelii Łukasza i znalazł tylko cztery uncjały (spośród 34) i cztery rękopisy kursywne (spośród 1352), które wykazywały egipski typ tekstu, a ponadto kolejne dwa z każdego rodzaju, które były egipskie w jednym z trzech rozdziałów.</w:t>
      </w:r>
      <w:r>
        <w:rPr>
          <w:rStyle w:val="FootnoteReference"/>
        </w:rPr>
        <w:footnoteReference w:id="575"/>
      </w:r>
    </w:p>
    <w:bookmarkEnd w:id="576"/>
    <w:bookmarkStart w:id="581" w:name="uwagi-końcowe-1"/>
    <w:p>
      <w:pPr>
        <w:pStyle w:val="Heading3"/>
      </w:pPr>
      <w:r>
        <w:t xml:space="preserve">Uwagi końcowe</w:t>
      </w:r>
    </w:p>
    <w:p>
      <w:pPr>
        <w:pStyle w:val="FirstParagraph"/>
      </w:pPr>
      <w:r>
        <w:t xml:space="preserve">Omówienie przekazu tekstu Nowego Testamentu w książce Alanda jest przeniknięte założeniem, że tekst bizantyjski był wtórnym rozwinięciem, które stopniowo skaziło czysty tekst egipski („aleksandryjski”).</w:t>
      </w:r>
      <w:r>
        <w:rPr>
          <w:rStyle w:val="FootnoteReference"/>
        </w:rPr>
        <w:footnoteReference w:id="577"/>
      </w:r>
      <w:r>
        <w:t xml:space="preserve"> </w:t>
      </w:r>
      <w:r>
        <w:t xml:space="preserve">Główni „aleksandryjscy” świadkowie, B, A (z wyjątkiem</w:t>
      </w:r>
      <w:r>
        <w:t xml:space="preserve"> </w:t>
      </w:r>
      <w:r>
        <w:rPr>
          <w:bCs/>
          <w:b/>
        </w:rPr>
        <w:t xml:space="preserve">e</w:t>
      </w:r>
      <w:r>
        <w:t xml:space="preserve">) i ℵ (</w:t>
      </w:r>
      <w:r>
        <w:rPr>
          <w:iCs/>
          <w:i/>
        </w:rPr>
        <w:t xml:space="preserve">The Text</w:t>
      </w:r>
      <w:r>
        <w:t xml:space="preserve">, s. 107), nieustannie i znacząco nie zgadzają się jednak między sobą, do tego stopnia, że nie istnieje obiektywny sposób odtworzenia archetypu. 150 lat wcześniej obraz jest taki sam, P</w:t>
      </w:r>
      <w:r>
        <w:rPr>
          <w:vertAlign w:val="superscript"/>
        </w:rPr>
        <w:t xml:space="preserve">45</w:t>
      </w:r>
      <w:r>
        <w:t xml:space="preserve">, P</w:t>
      </w:r>
      <w:r>
        <w:rPr>
          <w:vertAlign w:val="superscript"/>
        </w:rPr>
        <w:t xml:space="preserve">66</w:t>
      </w:r>
      <w:r>
        <w:t xml:space="preserve"> </w:t>
      </w:r>
      <w:r>
        <w:t xml:space="preserve">i P</w:t>
      </w:r>
      <w:r>
        <w:rPr>
          <w:vertAlign w:val="superscript"/>
        </w:rPr>
        <w:t xml:space="preserve">75</w:t>
      </w:r>
      <w:r>
        <w:t xml:space="preserve"> </w:t>
      </w:r>
      <w:r>
        <w:t xml:space="preserve">są całkiem odmienne i nie odzwierciedlają jednej tradycji. W roku 200 po Chrystusie „nie było króla w (Egipcie), każdy czynił to, co było słuszne w jego oczach”, a przynajmniej tak się wydaje. Co jednak, gdybyśmy rozważyli hipotezę, że tradycja bizantyjska jest najstarsza, a manuskrypty „zachodnie” i „aleksandryjskie” reprezentują rozmaite zaburzenia na obrzeżach głównego nurtu przekazu? Czy nie nadawałoby to zachowanym dowodom więcej sensu? Nie byłoby wówczas żadnych archetypów „zachodnich” ani „egipskich”, tylko rozmaite źródła skażenia, które działały tak przypadkowo, że każdy zachowany manuskrypt „zachodni” albo „egipski” ma inną „mozaikę”. Dla kontrastu rzeczywiście istniałby archetyp „bizantyjski”, który odzwierciedlałby oryginał. Przeciętny tekst zachowanych manuskryptów poprawia się z wieku na wiek, przy czym XIV jest najlepszy, ponieważ najgorszych manuskryptów nie kopiowano ani nie zużywano wskutek używania, podczas gdy dobre były używane i kopiowane, a po zużyciu wyrzucane.</w:t>
      </w:r>
    </w:p>
    <w:p>
      <w:pPr>
        <w:pStyle w:val="BodyText"/>
      </w:pPr>
      <w:r>
        <w:t xml:space="preserve">Ci, którzy katalogują manuskrypty Nowego Testamentu, informują nas, że pod względem zachowanych manuskryptów prowadzą wieki XII i XIII, po których następują w tej kolejności XIV, XI, XV, XVI i X. Manuskryptów z XIII wieku jest ponad cztery razy więcej niż z X, lecz greka koine była oczywiście w większym stopniu żywym językiem w X wieku niż w XIII, istniałoby więc większe zapotrzebowanie, a tym samym większa podaż. Innymi słowy, wiele setek naprawdę czystych manuskryptów z X wieku zginęło. Przetrwał wyższy odsetek naprawdę dobrych manuskryptów sporządzonych w XIV wieku niż tych sporządzonych w XI, i tak dalej. Dlatego istnieje wzrastający poziom zgodności wśród manuskryptów bizantyjskich, przy czym w XIV wieku odsetek zgodności jest wyższy niż w X. Gdybyśmy jednak żyli w X wieku i przeprowadzili szerokie badanie manuskryptów, znaleźlibyśmy niemal taki sam poziom zgodności (być może 98%). To samo zachodzi, gdybyśmy żyli w VIII, VI, IV albo II wieku. Innymi słowy, ZACHOWANE MANUSKRYPTY Z PIERWSZYCH DZIESIĘCIU STULECI NIE SĄ REPREZENTATYWNE DLA RZECZYWISTEGO STANU RZECZY W TAMTYM CZASIE.</w:t>
      </w:r>
      <w:r>
        <w:rPr>
          <w:rStyle w:val="FootnoteReference"/>
        </w:rPr>
        <w:footnoteReference w:id="578"/>
      </w:r>
    </w:p>
    <w:p>
      <w:pPr>
        <w:pStyle w:val="BodyText"/>
      </w:pPr>
      <w:r>
        <w:t xml:space="preserve">Aland zdaje się przyznawać, że przez stulecia historii Kościoła tekst bizantyjski uznawano za „tekst Kościoła”, a początek tego stanu rzeczy wywodzi od Lucjana.</w:t>
      </w:r>
      <w:r>
        <w:rPr>
          <w:rStyle w:val="FootnoteReference"/>
        </w:rPr>
        <w:footnoteReference w:id="579"/>
      </w:r>
      <w:r>
        <w:t xml:space="preserve"> </w:t>
      </w:r>
      <w:r>
        <w:t xml:space="preserve">Wielokrotnie wspomina o „szkole z Antiochii/w Antiochii” i o Azji Mniejszej. Wszystko to jest bardzo interesujące, ponieważ w swojej książce zgadza się z Adolfem Harnackiem, że „około roku 180 największe skupienie kościołów znajdowało się w Azji Mniejszej i wzdłuż egejskiego wybrzeża Grecji”.</w:t>
      </w:r>
      <w:r>
        <w:rPr>
          <w:rStyle w:val="FootnoteReference"/>
        </w:rPr>
        <w:footnoteReference w:id="580"/>
      </w:r>
      <w:r>
        <w:t xml:space="preserve"> </w:t>
      </w:r>
      <w:r>
        <w:t xml:space="preserve">Jest to obszar, na którym greka była językiem ojczystym i gdzie nadal jej używano. Jest to również obszar, który na początku posiadał większość Autografów. Aland kontynuuje jednak: „Nawet około roku 325 po Chrystusie sytuacja nadal była w znacznej mierze niezmieniona. Azja Mniejsza nadal była sercem Kościoła”. „Sercem Kościoła” — kto zatem byłby w lepszym położeniu, by rozpoznać poprawny tekst Nowego Testamentu? Kto mógłby „sprzedać” sfabrykowany tekst w Azji Mniejszej na początku IV wieku? Twierdzę, że tekst bizantyjski dominował w historii przekazu, ponieważ kościoły w Azji Mniejszej za niego ręczyły. Czyniły tak od samego początku, ponieważ wiedziały, że jest prawdziwym tekstem, otrzymawszy go od Apostołów. Tekst Większościowy jest tym, czym jest, właśnie dlatego, że zawsze był</w:t>
      </w:r>
      <w:r>
        <w:t xml:space="preserve"> </w:t>
      </w:r>
      <w:r>
        <w:rPr>
          <w:bCs/>
          <w:b/>
        </w:rPr>
        <w:t xml:space="preserve">Tekstem Kościoła</w:t>
      </w:r>
      <w:r>
        <w:t xml:space="preserve">.</w:t>
      </w:r>
    </w:p>
    <w:bookmarkEnd w:id="581"/>
    <w:bookmarkEnd w:id="582"/>
    <w:bookmarkEnd w:id="5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 'h' -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 "która" powstała z "kto", wówczas to drugie musi być starsze. Odczyt "kto" jest co prawda najtrudniejszy, do tego stopnia, że stosowanie zasady "trudniejszego odczytu" 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 w:id="206">
    <w:p>
      <w:pPr>
        <w:pStyle w:val="FootnoteText"/>
      </w:pPr>
      <w:r>
        <w:rPr>
          <w:rStyle w:val="FootnoteReference"/>
        </w:rPr>
        <w:footnoteRef/>
      </w:r>
      <w:r>
        <w:t xml:space="preserve"> </w:t>
      </w:r>
      <w:r>
        <w:t xml:space="preserve">To jest jedyne miejsce w całym Nowym Testamencie, gdzie Rodzina 35 się rozszczepia — występuje pięć istotnych wariantów (plus dwa drobne). Zwykle, gdy rodzina jest podzielona, występują tylko dwa warianty. Szczegółowe omówienie tego zestawu wariantów znajduje się w moim artykule „Where to place a comma—Acts 12:25”, dostępnym na mojej stronie: www.prunch.org. Znajduje się on również w „Dodatku” do</w:t>
      </w:r>
      <w:r>
        <w:t xml:space="preserve"> </w:t>
      </w:r>
      <w:r>
        <w:rPr>
          <w:iCs/>
          <w:i/>
        </w:rPr>
        <w:t xml:space="preserve">The Sovereign Creator Has Spoken</w:t>
      </w:r>
      <w:r>
        <w:t xml:space="preserve">, a także w „Dodatku II” w</w:t>
      </w:r>
      <w:r>
        <w:t xml:space="preserve"> </w:t>
      </w:r>
      <w:r>
        <w:rPr>
          <w:iCs/>
          <w:i/>
        </w:rPr>
        <w:t xml:space="preserve">The Greek New Testament According to Family 35</w:t>
      </w:r>
      <w:r>
        <w:t xml:space="preserve">.</w:t>
      </w:r>
    </w:p>
  </w:footnote>
  <w:footnote w:id="208">
    <w:p>
      <w:pPr>
        <w:pStyle w:val="FootnoteText"/>
      </w:pPr>
      <w:r>
        <w:rPr>
          <w:rStyle w:val="FootnoteReference"/>
        </w:rPr>
        <w:footnoteRef/>
      </w:r>
      <w:r>
        <w:t xml:space="preserve"> </w:t>
      </w:r>
      <w:r>
        <w:t xml:space="preserve">Pamiętasz Kartezjusza? „Myślę, więc jestem”.</w:t>
      </w:r>
    </w:p>
  </w:footnote>
  <w:footnote w:id="209">
    <w:p>
      <w:pPr>
        <w:pStyle w:val="FootnoteText"/>
      </w:pPr>
      <w:r>
        <w:rPr>
          <w:rStyle w:val="FootnoteReference"/>
        </w:rPr>
        <w:footnoteRef/>
      </w:r>
      <w:r>
        <w:t xml:space="preserve"> </w:t>
      </w:r>
      <w:r>
        <w:t xml:space="preserve">Pisałem obszernie na temat biblijnej walki duchowej. Większość tych treści można znaleźć w mojej książce</w:t>
      </w:r>
      <w:r>
        <w:t xml:space="preserve"> </w:t>
      </w:r>
      <w:r>
        <w:rPr>
          <w:iCs/>
          <w:i/>
        </w:rPr>
        <w:t xml:space="preserve">Essays on Discipleship, Missions and Spiritual Warfare</w:t>
      </w:r>
      <w:r>
        <w:t xml:space="preserve">, wydanie drugie, 2017. Jest ona również dostępna na mojej stronie internetowej www.prunch.org (lub www.prunch.com.br). Na początek powinieneś rozważyć List do Efezjan 2,2 wraz z Ewangelią Łukasza 8,12 oraz 2 Listem do Koryntian 4,3-4.</w:t>
      </w:r>
    </w:p>
  </w:footnote>
  <w:footnote w:id="210">
    <w:p>
      <w:pPr>
        <w:pStyle w:val="FootnoteText"/>
      </w:pPr>
      <w:r>
        <w:rPr>
          <w:rStyle w:val="FootnoteReference"/>
        </w:rPr>
        <w:footnoteRef/>
      </w:r>
      <w:r>
        <w:t xml:space="preserve"> </w:t>
      </w:r>
      <w:r>
        <w:t xml:space="preserve">E.M. Goulburn,</w:t>
      </w:r>
      <w:r>
        <w:t xml:space="preserve"> </w:t>
      </w:r>
      <w:r>
        <w:rPr>
          <w:iCs/>
          <w:i/>
        </w:rPr>
        <w:t xml:space="preserve">Life of Dean Burgon</w:t>
      </w:r>
      <w:r>
        <w:t xml:space="preserve"> </w:t>
      </w:r>
      <w:r>
        <w:t xml:space="preserve">(Londyn: John Murray, 1892, 2 tomy), I, vii.</w:t>
      </w:r>
    </w:p>
  </w:footnote>
  <w:footnote w:id="211">
    <w:p>
      <w:pPr>
        <w:pStyle w:val="FootnoteText"/>
      </w:pPr>
      <w:r>
        <w:rPr>
          <w:rStyle w:val="FootnoteReference"/>
        </w:rPr>
        <w:footnoteRef/>
      </w:r>
      <w:r>
        <w:t xml:space="preserve"> </w:t>
      </w:r>
      <w:r>
        <w:t xml:space="preserve">Leo Vaganay,</w:t>
      </w:r>
      <w:r>
        <w:t xml:space="preserve"> </w:t>
      </w:r>
      <w:r>
        <w:rPr>
          <w:iCs/>
          <w:i/>
        </w:rPr>
        <w:t xml:space="preserve">An Introduction to the Textual Criticism of the New Testament</w:t>
      </w:r>
      <w:r>
        <w:t xml:space="preserve">, tłum. B.V. Miller (Londyn: Sands and Co., Ltd., 1937), s. 48.</w:t>
      </w:r>
    </w:p>
  </w:footnote>
  <w:footnote w:id="212">
    <w:p>
      <w:pPr>
        <w:pStyle w:val="FootnoteText"/>
      </w:pPr>
      <w:r>
        <w:rPr>
          <w:rStyle w:val="FootnoteReference"/>
        </w:rPr>
        <w:footnoteRef/>
      </w:r>
      <w:r>
        <w:t xml:space="preserve"> </w:t>
      </w:r>
      <w:r>
        <w:t xml:space="preserve">Większość „uczonych” i profesorów to w rzeczywistości „papugi”, które jedynie powtarzają to, czego ich nauczono — nigdy nie wrócili do źródła, aby sprawdzić, czy to prawda. Ilu „uczonych” zajmujących się greckim Nowym Testamentem skolacjonowało choć jeden grecki manuskrypt? (Czy Hort skolacjonował jakiekolwiek manuskrypty?) Ślepo przyjmują to, co napisano na ten temat, być może nie zdając sobie sprawy, że większość tego, co napisano, została napisana przez „papugi”.</w:t>
      </w:r>
    </w:p>
  </w:footnote>
  <w:footnote w:id="213">
    <w:p>
      <w:pPr>
        <w:pStyle w:val="FootnoteText"/>
      </w:pPr>
      <w:r>
        <w:rPr>
          <w:rStyle w:val="FootnoteReference"/>
        </w:rPr>
        <w:footnoteRef/>
      </w:r>
      <w:r>
        <w:t xml:space="preserve"> </w:t>
      </w:r>
      <w:r>
        <w:t xml:space="preserve">Gdy byłem studentem seminarium teologicznego, uczono nas, że nigdy nie powinniśmy kwestionować motywów innej osoby. Naprawdę, jak sądzisz, skąd wzięła się ta „doktryna”?</w:t>
      </w:r>
    </w:p>
  </w:footnote>
  <w:footnote w:id="214">
    <w:p>
      <w:pPr>
        <w:pStyle w:val="FootnoteText"/>
      </w:pPr>
      <w:r>
        <w:rPr>
          <w:rStyle w:val="FootnoteReference"/>
        </w:rPr>
        <w:footnoteRef/>
      </w:r>
      <w:r>
        <w:t xml:space="preserve"> </w:t>
      </w:r>
      <w:r>
        <w:t xml:space="preserve">To prawda. Uważam się za badacza tekstu, Tekst stoi nade mną. Krytyk stoi nad tekstem. Nie mam teorii krytyki tekstu, moja teoria dotyczy zachowania tekstu.</w:t>
      </w:r>
    </w:p>
  </w:footnote>
  <w:footnote w:id="215">
    <w:p>
      <w:pPr>
        <w:pStyle w:val="FootnoteText"/>
      </w:pPr>
      <w:r>
        <w:rPr>
          <w:rStyle w:val="FootnoteReference"/>
        </w:rPr>
        <w:footnoteRef/>
      </w:r>
      <w:r>
        <w:t xml:space="preserve"> </w:t>
      </w:r>
      <w:r>
        <w:t xml:space="preserve">Ponieważ Szatan zmusza swoje sługi do mijania się z prawdą, nie oczekuję, że będą mnie traktować uczciwie.</w:t>
      </w:r>
    </w:p>
  </w:footnote>
  <w:footnote w:id="216">
    <w:p>
      <w:pPr>
        <w:pStyle w:val="FootnoteText"/>
      </w:pPr>
      <w:r>
        <w:rPr>
          <w:rStyle w:val="FootnoteReference"/>
        </w:rPr>
        <w:footnoteRef/>
      </w:r>
      <w:r>
        <w:t xml:space="preserve"> </w:t>
      </w:r>
      <w:r>
        <w:t xml:space="preserve">List do Hebrajczyków 1,10, Ewangelia Jana 1,10 oraz List do Kolosan 1,16 wyjaśniają, że spośród trzech Osób tworzących Bóstwo Jehowa Syn był głównym sprawcą stworzenia naszej planety i naszej rasy. Jest zatem Źródłem wszelkiej prawdziwej wiedzy dotyczącej życia na tej planecie, jak jasno stwierdza List do Kolosan 2,3: „w którym ukryte są wszystkie skarby mądrości i wiedzy”.</w:t>
      </w:r>
    </w:p>
  </w:footnote>
  <w:footnote w:id="218">
    <w:p>
      <w:pPr>
        <w:pStyle w:val="FootnoteText"/>
      </w:pPr>
      <w:r>
        <w:rPr>
          <w:rStyle w:val="FootnoteReference"/>
        </w:rPr>
        <w:footnoteRef/>
      </w:r>
      <w:r>
        <w:t xml:space="preserve"> </w:t>
      </w:r>
      <w:r>
        <w:t xml:space="preserve">„Preliminary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referat przedstawiony Evangelical Theological Society w listopadzie 1998 roku, s. 12-13. Otrzymałem jednak od Maurice’a Robinsona następujące wyjaśnienie: „Prosiłbym, aby w przypadku cytowania mojego nazwiska w związku z różnymi artykułami dotyczącymi</w:t>
      </w:r>
      <w:r>
        <w:t xml:space="preserve"> </w:t>
      </w:r>
      <w:r>
        <w:rPr>
          <w:bCs/>
          <w:b/>
        </w:rPr>
        <w:t xml:space="preserve">K</w:t>
      </w:r>
      <w:r>
        <w:rPr>
          <w:vertAlign w:val="superscript"/>
          <w:bCs/>
          <w:b/>
        </w:rPr>
        <w:t xml:space="preserve">r</w:t>
      </w:r>
      <w:r>
        <w:t xml:space="preserve"> </w:t>
      </w:r>
      <w:r>
        <w:t xml:space="preserve">lub</w:t>
      </w:r>
      <w:r>
        <w:t xml:space="preserve"> </w:t>
      </w:r>
      <w:r>
        <w:rPr>
          <w:bCs/>
          <w:b/>
        </w:rPr>
        <w:t xml:space="preserve">M</w:t>
      </w:r>
      <w:r>
        <w:rPr>
          <w:vertAlign w:val="superscript"/>
          <w:bCs/>
          <w:b/>
        </w:rPr>
        <w:t xml:space="preserve">7</w:t>
      </w:r>
      <w:r>
        <w:t xml:space="preserve"> </w:t>
      </w:r>
      <w:r>
        <w:t xml:space="preserve">jasno zaznaczać, że nie zgadzam się z pańską oceną</w:t>
      </w:r>
      <w:r>
        <w:t xml:space="preserve"> </w:t>
      </w:r>
      <w:r>
        <w:rPr>
          <w:bCs/>
          <w:b/>
        </w:rPr>
        <w:t xml:space="preserve">K</w:t>
      </w:r>
      <w:r>
        <w:rPr>
          <w:vertAlign w:val="superscript"/>
          <w:bCs/>
          <w:b/>
        </w:rPr>
        <w:t xml:space="preserve">r</w:t>
      </w:r>
      <w:r>
        <w:t xml:space="preserve"> </w:t>
      </w:r>
      <w:r>
        <w:t xml:space="preserve">ani</w:t>
      </w:r>
      <w:r>
        <w:t xml:space="preserve"> </w:t>
      </w:r>
      <w:r>
        <w:rPr>
          <w:bCs/>
          <w:b/>
        </w:rPr>
        <w:t xml:space="preserve">M</w:t>
      </w:r>
      <w:r>
        <w:rPr>
          <w:vertAlign w:val="superscript"/>
          <w:bCs/>
          <w:b/>
        </w:rPr>
        <w:t xml:space="preserve">7</w:t>
      </w:r>
      <w:r>
        <w:t xml:space="preserve">. Dotyczy to w szczególności artykułu «Preliminary Considerations regarding the</w:t>
      </w:r>
      <w:r>
        <w:t xml:space="preserve"> </w:t>
      </w:r>
      <w:r>
        <w:rPr>
          <w:iCs/>
          <w:i/>
        </w:rPr>
        <w:t xml:space="preserve">Pericope Adulterae</w:t>
      </w:r>
      <w:r>
        <w:t xml:space="preserve">», nie należy się nim posługiwać, aby sugerować, że uważam linię</w:t>
      </w:r>
      <w:r>
        <w:t xml:space="preserve"> </w:t>
      </w:r>
      <w:r>
        <w:rPr>
          <w:bCs/>
          <w:b/>
        </w:rPr>
        <w:t xml:space="preserve">M</w:t>
      </w:r>
      <w:r>
        <w:rPr>
          <w:vertAlign w:val="superscript"/>
          <w:bCs/>
          <w:b/>
        </w:rPr>
        <w:t xml:space="preserve">7</w:t>
      </w:r>
      <w:r>
        <w:t xml:space="preserve"> </w:t>
      </w:r>
      <w:r>
        <w:t xml:space="preserve">lub tekst</w:t>
      </w:r>
      <w:r>
        <w:t xml:space="preserve"> </w:t>
      </w:r>
      <w:r>
        <w:rPr>
          <w:bCs/>
          <w:b/>
        </w:rPr>
        <w:t xml:space="preserve">K</w:t>
      </w:r>
      <w:r>
        <w:rPr>
          <w:vertAlign w:val="superscript"/>
          <w:bCs/>
          <w:b/>
        </w:rPr>
        <w:t xml:space="preserve">r</w:t>
      </w:r>
      <w:r>
        <w:t xml:space="preserve"> </w:t>
      </w:r>
      <w:r>
        <w:t xml:space="preserve">za wczesne. Byłoby to całkowicie błędne, ponieważ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(Zakładając, że był szczery, gdy pisał ten artykuł, zastanawiam się, jaki nowy dowód otrzymał, że zmienił zdanie — jego język jest tam z pewnością dostatecznie jasny. Co więcej, przez dwa miesiące miałem w rękach kopię jego kolacjonowań, spędziłem wiele z tego czasu na ich dokładnym studiowaniu i nie znalazłem powodu, by kwestionować jego wnioski z artykułu z listopada 1998 roku).</w:t>
      </w:r>
    </w:p>
  </w:footnote>
  <w:footnote w:id="219">
    <w:p>
      <w:pPr>
        <w:pStyle w:val="FootnoteText"/>
      </w:pPr>
      <w:r>
        <w:rPr>
          <w:rStyle w:val="FootnoteReference"/>
        </w:rPr>
        <w:footnoteRef/>
      </w:r>
      <w:r>
        <w:t xml:space="preserve"> </w:t>
      </w:r>
      <w:r>
        <w:rPr>
          <w:iCs/>
          <w:i/>
        </w:rPr>
        <w:t xml:space="preserve">Tamże</w:t>
      </w:r>
      <w:r>
        <w:t xml:space="preserve">, s. 13.</w:t>
      </w:r>
    </w:p>
  </w:footnote>
  <w:footnote w:id="220">
    <w:p>
      <w:pPr>
        <w:pStyle w:val="FootnoteText"/>
      </w:pPr>
      <w:r>
        <w:rPr>
          <w:rStyle w:val="FootnoteReference"/>
        </w:rPr>
        <w:footnoteRef/>
      </w:r>
      <w:r>
        <w:t xml:space="preserve"> </w:t>
      </w:r>
      <w:r>
        <w:t xml:space="preserve">W przypadku przykładów z Listu Jakuba korzystałem również z</w:t>
      </w:r>
      <w:r>
        <w:t xml:space="preserve"> </w:t>
      </w:r>
      <w:r>
        <w:rPr>
          <w:iCs/>
          <w:i/>
        </w:rPr>
        <w:t xml:space="preserve">Editio Critica Maior</w:t>
      </w:r>
      <w:r>
        <w:t xml:space="preserve">.</w:t>
      </w:r>
    </w:p>
  </w:footnote>
  <w:footnote w:id="221">
    <w:p>
      <w:pPr>
        <w:pStyle w:val="FootnoteText"/>
      </w:pPr>
      <w:r>
        <w:rPr>
          <w:rStyle w:val="FootnoteReference"/>
        </w:rPr>
        <w:footnoteRef/>
      </w:r>
      <w:r>
        <w:t xml:space="preserve"> </w:t>
      </w:r>
      <w:r>
        <w:t xml:space="preserve">Ktoś może zaprotestować, że starożytne są odczyty, a nie typy tekstu, lecz jeśli dany typ tekstu jest wyraźnie niezależny, a powiązania między wczesnymi świadkami nieustannie się zmieniają, to ma on starożytne odczyty, ponieważ sam jest starożytny. W przypadku</w:t>
      </w:r>
      <w:r>
        <w:t xml:space="preserve"> </w:t>
      </w:r>
      <w:r>
        <w:rPr>
          <w:bCs/>
          <w:b/>
        </w:rPr>
        <w:t xml:space="preserve">K</w:t>
      </w:r>
      <w:r>
        <w:rPr>
          <w:vertAlign w:val="superscript"/>
          <w:bCs/>
          <w:b/>
        </w:rPr>
        <w:t xml:space="preserve">r</w:t>
      </w:r>
      <w:r>
        <w:t xml:space="preserve"> </w:t>
      </w:r>
      <w:r>
        <w:t xml:space="preserve">istnieją zaś setki zestawów wariantów, w których jego odczyt ma wyraźne wczesne poświadczenie. (Przypomnij sobie, że</w:t>
      </w:r>
      <w:r>
        <w:t xml:space="preserve"> </w:t>
      </w:r>
      <w:r>
        <w:rPr>
          <w:bCs/>
          <w:b/>
        </w:rPr>
        <w:t xml:space="preserve">M</w:t>
      </w:r>
      <w:r>
        <w:t xml:space="preserve"> </w:t>
      </w:r>
      <w:r>
        <w:t xml:space="preserve">Alanda oraz</w:t>
      </w:r>
      <w:r>
        <w:t xml:space="preserve"> </w:t>
      </w:r>
      <w:r>
        <w:rPr>
          <w:bCs/>
          <w:b/>
        </w:rPr>
        <w:t xml:space="preserve">K</w:t>
      </w:r>
      <w:r>
        <w:t xml:space="preserve"> </w:t>
      </w:r>
      <w:r>
        <w:t xml:space="preserve">Sodena obejmują</w:t>
      </w:r>
      <w:r>
        <w:t xml:space="preserve"> </w:t>
      </w:r>
      <w:r>
        <w:rPr>
          <w:bCs/>
          <w:b/>
        </w:rPr>
        <w:t xml:space="preserve">K</w:t>
      </w:r>
      <w:r>
        <w:rPr>
          <w:vertAlign w:val="superscript"/>
          <w:bCs/>
          <w:b/>
        </w:rPr>
        <w:t xml:space="preserve">r</w:t>
      </w:r>
      <w:r>
        <w:t xml:space="preserve"> </w:t>
      </w:r>
      <w:r>
        <w:t xml:space="preserve">— biednego typu tekstu nie należy obarczać odpowiedzialnością za sposób, w jaki traktują go współcześni uczeni). Jeśli można obiektywnie wykazać, że typ tekstu ma setki wczesnych odczytów, lecz nie można obiektywnie wykazać, że ma choć jeden późny, na jakiej podstawie można uznać go za późny?</w:t>
      </w:r>
    </w:p>
  </w:footnote>
  <w:footnote w:id="222">
    <w:p>
      <w:pPr>
        <w:pStyle w:val="FootnoteText"/>
      </w:pPr>
      <w:r>
        <w:rPr>
          <w:rStyle w:val="FootnoteReference"/>
        </w:rPr>
        <w:footnoteRef/>
      </w:r>
      <w:r>
        <w:t xml:space="preserve"> </w:t>
      </w:r>
      <w:r>
        <w:t xml:space="preserve">Mam również co najmniej stronę przykładów z Objawienia Jana, które potwierdzają, że</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c</w:t>
      </w:r>
      <w:r>
        <w:t xml:space="preserve">) także w tej księdze jest niezależny i pochodzi z III wieku.</w:t>
      </w:r>
    </w:p>
  </w:footnote>
  <w:footnote w:id="223">
    <w:p>
      <w:pPr>
        <w:pStyle w:val="FootnoteText"/>
      </w:pPr>
      <w:r>
        <w:rPr>
          <w:rStyle w:val="FootnoteReference"/>
        </w:rPr>
        <w:footnoteRef/>
      </w:r>
      <w:r>
        <w:t xml:space="preserve"> </w:t>
      </w:r>
      <w:r>
        <w:rPr>
          <w:iCs/>
          <w:i/>
        </w:rPr>
        <w:t xml:space="preserve">Tamże</w:t>
      </w:r>
      <w:r>
        <w:t xml:space="preserve">.</w:t>
      </w:r>
    </w:p>
  </w:footnote>
  <w:footnote w:id="225">
    <w:p>
      <w:pPr>
        <w:pStyle w:val="FootnoteText"/>
      </w:pPr>
      <w:r>
        <w:rPr>
          <w:rStyle w:val="FootnoteReference"/>
        </w:rPr>
        <w:footnoteRef/>
      </w:r>
      <w:r>
        <w:t xml:space="preserve"> </w:t>
      </w:r>
      <w:r>
        <w:t xml:space="preserve">„External Evidence and New Testament Criticism”,</w:t>
      </w:r>
      <w:r>
        <w:t xml:space="preserve"> </w:t>
      </w:r>
      <w:r>
        <w:rPr>
          <w:iCs/>
          <w:i/>
        </w:rPr>
        <w:t xml:space="preserve">Studies in the History of the Text of the New Testament</w:t>
      </w:r>
      <w:r>
        <w:t xml:space="preserve">, red. B.L. Daniels i M.J. Suggs (Salt Lake City: University of Utah Press, 1967), s. 8.</w:t>
      </w:r>
    </w:p>
  </w:footnote>
  <w:footnote w:id="226">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w:t>
      </w:r>
    </w:p>
  </w:footnote>
  <w:footnote w:id="227">
    <w:p>
      <w:pPr>
        <w:pStyle w:val="FootnoteText"/>
      </w:pPr>
      <w:r>
        <w:rPr>
          <w:rStyle w:val="FootnoteReference"/>
        </w:rPr>
        <w:footnoteRef/>
      </w:r>
      <w:r>
        <w:t xml:space="preserve"> </w:t>
      </w:r>
      <w:r>
        <w:t xml:space="preserve">Colwell, „The Significance of Grouping of New Testament Manuscripts”,</w:t>
      </w:r>
      <w:r>
        <w:t xml:space="preserve"> </w:t>
      </w:r>
      <w:r>
        <w:rPr>
          <w:iCs/>
          <w:i/>
        </w:rPr>
        <w:t xml:space="preserve">New Testament Studies</w:t>
      </w:r>
      <w:r>
        <w:t xml:space="preserve">, IV (1957-1958), s. 86-87.</w:t>
      </w:r>
    </w:p>
  </w:footnote>
  <w:footnote w:id="228">
    <w:p>
      <w:pPr>
        <w:pStyle w:val="FootnoteText"/>
      </w:pPr>
      <w:r>
        <w:rPr>
          <w:rStyle w:val="FootnoteReference"/>
        </w:rPr>
        <w:footnoteRef/>
      </w:r>
      <w:r>
        <w:t xml:space="preserve"> </w:t>
      </w:r>
      <w:r>
        <w:t xml:space="preserve">„The Text of the Church?”,</w:t>
      </w:r>
      <w:r>
        <w:t xml:space="preserve"> </w:t>
      </w:r>
      <w:r>
        <w:rPr>
          <w:iCs/>
          <w:i/>
        </w:rPr>
        <w:t xml:space="preserve">Trinity Journal</w:t>
      </w:r>
      <w:r>
        <w:t xml:space="preserve">, 1987, 8NS:138.</w:t>
      </w:r>
    </w:p>
  </w:footnote>
  <w:footnote w:id="229">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1981), s. 52-53.</w:t>
      </w:r>
    </w:p>
  </w:footnote>
  <w:footnote w:id="230">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31">
    <w:p>
      <w:pPr>
        <w:pStyle w:val="FootnoteText"/>
      </w:pPr>
      <w:r>
        <w:rPr>
          <w:rStyle w:val="FootnoteReference"/>
        </w:rPr>
        <w:footnoteRef/>
      </w:r>
      <w:r>
        <w:t xml:space="preserve"> </w:t>
      </w:r>
      <w:r>
        <w:rPr>
          <w:iCs/>
          <w:i/>
        </w:rPr>
        <w:t xml:space="preserve">Concerning the Text of the Apocalypse</w:t>
      </w:r>
      <w:r>
        <w:t xml:space="preserve">, 2 tomy (Londyn: Bernard Quaritch, 1929).</w:t>
      </w:r>
    </w:p>
  </w:footnote>
  <w:footnote w:id="232">
    <w:p>
      <w:pPr>
        <w:pStyle w:val="FootnoteText"/>
      </w:pPr>
      <w:r>
        <w:rPr>
          <w:rStyle w:val="FootnoteReference"/>
        </w:rPr>
        <w:footnoteRef/>
      </w:r>
      <w:r>
        <w:t xml:space="preserve"> </w:t>
      </w:r>
      <w:r>
        <w:t xml:space="preserve">Fragmenty oraz manuskrypty idiosynkratyczne wykazują jednak, że wszelkie zawarte w nich warianty istniały w czasie, gdy je wytworzono. Wykazują istnienie, a nie wartość.</w:t>
      </w:r>
    </w:p>
  </w:footnote>
  <w:footnote w:id="233">
    <w:p>
      <w:pPr>
        <w:pStyle w:val="FootnoteText"/>
      </w:pPr>
      <w:r>
        <w:rPr>
          <w:rStyle w:val="FootnoteReference"/>
        </w:rPr>
        <w:footnoteRef/>
      </w:r>
      <w:r>
        <w:t xml:space="preserve"> </w:t>
      </w:r>
      <w:r>
        <w:t xml:space="preserve">Na podstawie badań przeprowadzonych przeze mnie w INTF dodałem 10 manuskryptów do tych 33. Spośród 43 jeden jest zaledwie fragmentem, ale zawiera pierwszy diagnostyczny odczyt rodziny.</w:t>
      </w:r>
    </w:p>
  </w:footnote>
  <w:footnote w:id="234">
    <w:p>
      <w:pPr>
        <w:pStyle w:val="FootnoteText"/>
      </w:pPr>
      <w:r>
        <w:rPr>
          <w:rStyle w:val="FootnoteReference"/>
        </w:rPr>
        <w:footnoteRef/>
      </w:r>
      <w:r>
        <w:t xml:space="preserve"> </w:t>
      </w:r>
      <w:r>
        <w:t xml:space="preserve">Powinienem wspomnieć, że Hoskier skolacjonował 14 manuskryptów, których nie włączyłem do dziewięciu grup (z różnych powodów). Jeśli nie należą do linii przekazu ani same nie tworzą odrębnej grupy, są bez znaczenia.</w:t>
      </w:r>
    </w:p>
  </w:footnote>
  <w:footnote w:id="235">
    <w:p>
      <w:pPr>
        <w:pStyle w:val="FootnoteText"/>
      </w:pPr>
      <w:r>
        <w:rPr>
          <w:rStyle w:val="FootnoteReference"/>
        </w:rPr>
        <w:footnoteRef/>
      </w:r>
      <w:r>
        <w:t xml:space="preserve"> </w:t>
      </w:r>
      <w:r>
        <w:t xml:space="preserve">Dla porządku, wydanie</w:t>
      </w:r>
      <w:r>
        <w:t xml:space="preserve"> </w:t>
      </w:r>
      <w:r>
        <w:rPr>
          <w:iCs/>
          <w:i/>
        </w:rPr>
        <w:t xml:space="preserve">TuT</w:t>
      </w:r>
      <w:r>
        <w:t xml:space="preserve"> </w:t>
      </w:r>
      <w:r>
        <w:t xml:space="preserve">posługuje się „większością względną”. Aby dojść do tej „</w:t>
      </w:r>
      <w:r>
        <w:rPr>
          <w:iCs/>
          <w:i/>
        </w:rPr>
        <w:t xml:space="preserve">rM</w:t>
      </w:r>
      <w:r>
        <w:t xml:space="preserve">”, dodano NA</w:t>
      </w:r>
      <w:r>
        <w:rPr>
          <w:vertAlign w:val="superscript"/>
        </w:rPr>
        <w:t xml:space="preserve">28</w:t>
      </w:r>
      <w:r>
        <w:t xml:space="preserve"> </w:t>
      </w:r>
      <w:r>
        <w:t xml:space="preserve">jako czwartą linię, ale posłużono się także względami „wewnętrznymi”. Za „Koine” opowiedziano się 98 razy, za „kompluteńskim” 95 razy, za „Andreasem” 79 razy, a za NA</w:t>
      </w:r>
      <w:r>
        <w:rPr>
          <w:vertAlign w:val="superscript"/>
        </w:rPr>
        <w:t xml:space="preserve">28</w:t>
      </w:r>
      <w:r>
        <w:t xml:space="preserve"> </w:t>
      </w:r>
      <w:r>
        <w:t xml:space="preserve">41 razy (wyodrębniono to z dwunastu kombinacji). Jedenaście razy opowiedziano się wyłącznie za „Koine”, jedyną linią potraktowaną w ten sposób.</w:t>
      </w:r>
    </w:p>
  </w:footnote>
  <w:footnote w:id="237">
    <w:p>
      <w:pPr>
        <w:pStyle w:val="FootnoteText"/>
      </w:pPr>
      <w:r>
        <w:rPr>
          <w:rStyle w:val="FootnoteReference"/>
        </w:rPr>
        <w:footnoteRef/>
      </w:r>
      <w:r>
        <w:t xml:space="preserve"> </w:t>
      </w:r>
      <w:r>
        <w:rPr>
          <w:iCs/>
          <w:i/>
        </w:rPr>
        <w:t xml:space="preserve">Editio Critica Maior</w:t>
      </w:r>
      <w:r>
        <w:t xml:space="preserve">, red. The Institute for New Testament Textual Research (Stuttgart: Deutsche Bibelgesellschaft, 1997), tom IV, Listy Ogólne.</w:t>
      </w:r>
    </w:p>
  </w:footnote>
  <w:footnote w:id="238">
    <w:p>
      <w:pPr>
        <w:pStyle w:val="FootnoteText"/>
      </w:pPr>
      <w:r>
        <w:rPr>
          <w:rStyle w:val="FootnoteReference"/>
        </w:rPr>
        <w:footnoteRef/>
      </w:r>
      <w:r>
        <w:t xml:space="preserve"> </w:t>
      </w:r>
      <w:r>
        <w:t xml:space="preserve">Ta liczba jest poprawna, po prostu tak się składa, że jest taka sama.</w:t>
      </w:r>
    </w:p>
  </w:footnote>
  <w:footnote w:id="239">
    <w:p>
      <w:pPr>
        <w:pStyle w:val="FootnoteText"/>
      </w:pPr>
      <w:r>
        <w:rPr>
          <w:rStyle w:val="FootnoteReference"/>
        </w:rPr>
        <w:footnoteRef/>
      </w:r>
      <w:r>
        <w:t xml:space="preserve"> </w:t>
      </w:r>
      <w:r>
        <w:t xml:space="preserve">Jako dalszy dowód ich niezależności wymieniam odczyty singularne każdego z tych uncjałów (pięć nie ma żadnych):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t xml:space="preserve">P</w:t>
            </w:r>
            <w:r>
              <w:rPr>
                <w:vertAlign w:val="superscript"/>
              </w:rPr>
              <w:t xml:space="preserve">72</w:t>
            </w:r>
          </w:p>
        </w:tc>
        <w:tc>
          <w:tcPr/>
          <w:p>
            <w:pPr>
              <w:pStyle w:val="Compact"/>
            </w:pPr>
          </w:p>
        </w:tc>
        <w:tc>
          <w:tcPr/>
          <w:p>
            <w:pPr>
              <w:pStyle w:val="Compact"/>
              <w:jc w:val="right"/>
            </w:pPr>
            <w:r>
              <w:t xml:space="preserve">33</w:t>
            </w:r>
          </w:p>
        </w:tc>
        <w:tc>
          <w:tcPr/>
          <w:p>
            <w:pPr>
              <w:pStyle w:val="Compact"/>
              <w:jc w:val="right"/>
            </w:pPr>
            <w:r>
              <w:t xml:space="preserve">12</w:t>
            </w:r>
          </w:p>
        </w:tc>
        <w:tc>
          <w:tcPr/>
          <w:p>
            <w:pPr>
              <w:pStyle w:val="Compact"/>
            </w:pPr>
          </w:p>
        </w:tc>
        <w:tc>
          <w:tcPr/>
          <w:p>
            <w:pPr>
              <w:pStyle w:val="Compact"/>
            </w:pPr>
          </w:p>
        </w:tc>
        <w:tc>
          <w:tcPr/>
          <w:p>
            <w:pPr>
              <w:pStyle w:val="Compact"/>
              <w:jc w:val="right"/>
            </w:pPr>
            <w:r>
              <w:t xml:space="preserve">17</w:t>
            </w:r>
          </w:p>
        </w:tc>
        <w:tc>
          <w:tcPr/>
          <w:p>
            <w:pPr>
              <w:pStyle w:val="Compact"/>
              <w:jc w:val="right"/>
            </w:pPr>
            <w:r>
              <w:rPr>
                <w:bCs/>
                <w:b/>
              </w:rPr>
              <w:t xml:space="preserve">62</w:t>
            </w:r>
          </w:p>
        </w:tc>
      </w:tr>
      <w:tr>
        <w:tc>
          <w:tcPr/>
          <w:p>
            <w:pPr>
              <w:pStyle w:val="Compact"/>
              <w:jc w:val="left"/>
            </w:pPr>
            <w:r>
              <w:t xml:space="preserve">P</w:t>
            </w:r>
            <w:r>
              <w:rPr>
                <w:vertAlign w:val="superscript"/>
              </w:rPr>
              <w:t xml:space="preserve">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jc w:val="right"/>
            </w:pPr>
            <w:r>
              <w:rPr>
                <w:bCs/>
                <w:b/>
              </w:rPr>
              <w:t xml:space="preserve">2</w:t>
            </w:r>
          </w:p>
        </w:tc>
      </w:tr>
      <w:tr>
        <w:tc>
          <w:tcPr/>
          <w:p>
            <w:pPr>
              <w:pStyle w:val="Compact"/>
              <w:jc w:val="left"/>
            </w:pPr>
            <w:r>
              <w:t xml:space="preserve">ℵ</w:t>
            </w:r>
          </w:p>
        </w:tc>
        <w:tc>
          <w:tcPr/>
          <w:p>
            <w:pPr>
              <w:pStyle w:val="Compact"/>
              <w:jc w:val="right"/>
            </w:pPr>
            <w:r>
              <w:t xml:space="preserve">11</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rPr>
                <w:bCs/>
                <w:b/>
              </w:rPr>
              <w:t xml:space="preserve">76</w:t>
            </w:r>
          </w:p>
        </w:tc>
      </w:tr>
      <w:tr>
        <w:tc>
          <w:tcPr/>
          <w:p>
            <w:pPr>
              <w:pStyle w:val="Compact"/>
              <w:jc w:val="left"/>
            </w:pPr>
            <w:r>
              <w:t xml:space="preserve">A</w:t>
            </w:r>
          </w:p>
        </w:tc>
        <w:tc>
          <w:tcPr/>
          <w:p>
            <w:pPr>
              <w:pStyle w:val="Compact"/>
              <w:jc w:val="right"/>
            </w:pPr>
            <w:r>
              <w:t xml:space="preserve">8</w:t>
            </w:r>
          </w:p>
        </w:tc>
        <w:tc>
          <w:tcPr/>
          <w:p>
            <w:pPr>
              <w:pStyle w:val="Compact"/>
            </w:pPr>
          </w:p>
        </w:tc>
        <w:tc>
          <w:tcPr/>
          <w:p>
            <w:pPr>
              <w:pStyle w:val="Compact"/>
              <w:jc w:val="right"/>
            </w:pPr>
            <w:r>
              <w:t xml:space="preserve">5</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27</w:t>
            </w:r>
          </w:p>
        </w:tc>
      </w:tr>
      <w:tr>
        <w:tc>
          <w:tcPr/>
          <w:p>
            <w:pPr>
              <w:pStyle w:val="Compact"/>
              <w:jc w:val="left"/>
            </w:pPr>
            <w:r>
              <w:t xml:space="preserve">B</w:t>
            </w:r>
          </w:p>
        </w:tc>
        <w:tc>
          <w:tcPr/>
          <w:p>
            <w:pPr>
              <w:pStyle w:val="Compact"/>
              <w:jc w:val="right"/>
            </w:pPr>
            <w:r>
              <w:t xml:space="preserve">7</w:t>
            </w:r>
          </w:p>
        </w:tc>
        <w:tc>
          <w:tcPr/>
          <w:p>
            <w:pPr>
              <w:pStyle w:val="Compact"/>
              <w:jc w:val="right"/>
            </w:pPr>
            <w:r>
              <w:t xml:space="preserve">10</w:t>
            </w:r>
          </w:p>
        </w:tc>
        <w:tc>
          <w:tcPr/>
          <w:p>
            <w:pPr>
              <w:pStyle w:val="Compact"/>
              <w:jc w:val="right"/>
            </w:pPr>
            <w:r>
              <w:t xml:space="preserve">3</w:t>
            </w:r>
          </w:p>
        </w:tc>
        <w:tc>
          <w:tcPr/>
          <w:p>
            <w:pPr>
              <w:pStyle w:val="Compact"/>
              <w:jc w:val="right"/>
            </w:pPr>
            <w:r>
              <w:t xml:space="preserve">8</w:t>
            </w:r>
          </w:p>
        </w:tc>
        <w:tc>
          <w:tcPr/>
          <w:p>
            <w:pPr>
              <w:pStyle w:val="Compact"/>
              <w:jc w:val="right"/>
            </w:pPr>
            <w:r>
              <w:t xml:space="preserve">4</w:t>
            </w:r>
          </w:p>
        </w:tc>
        <w:tc>
          <w:tcPr/>
          <w:p>
            <w:pPr>
              <w:pStyle w:val="Compact"/>
              <w:jc w:val="right"/>
            </w:pPr>
            <w:r>
              <w:t xml:space="preserve">5</w:t>
            </w:r>
          </w:p>
        </w:tc>
        <w:tc>
          <w:tcPr/>
          <w:p>
            <w:pPr>
              <w:pStyle w:val="Compact"/>
              <w:jc w:val="right"/>
            </w:pPr>
            <w:r>
              <w:rPr>
                <w:bCs/>
                <w:b/>
              </w:rPr>
              <w:t xml:space="preserve">37</w:t>
            </w:r>
          </w:p>
        </w:tc>
      </w:tr>
      <w:tr>
        <w:tc>
          <w:tcPr/>
          <w:p>
            <w:pPr>
              <w:pStyle w:val="Compact"/>
              <w:jc w:val="left"/>
            </w:pPr>
            <w:r>
              <w:t xml:space="preserve">C</w:t>
            </w:r>
          </w:p>
        </w:tc>
        <w:tc>
          <w:tcPr/>
          <w:p>
            <w:pPr>
              <w:pStyle w:val="Compact"/>
              <w:jc w:val="right"/>
            </w:pPr>
            <w:r>
              <w:t xml:space="preserve">3</w:t>
            </w:r>
          </w:p>
        </w:tc>
        <w:tc>
          <w:tcPr/>
          <w:p>
            <w:pPr>
              <w:pStyle w:val="Compact"/>
              <w:jc w:val="right"/>
            </w:pPr>
            <w:r>
              <w:t xml:space="preserve">7</w:t>
            </w:r>
          </w:p>
        </w:tc>
        <w:tc>
          <w:tcPr/>
          <w:p>
            <w:pPr>
              <w:pStyle w:val="Compact"/>
              <w:jc w:val="right"/>
            </w:pPr>
            <w:r>
              <w:t xml:space="preserve">7</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jc w:val="right"/>
            </w:pPr>
            <w:r>
              <w:rPr>
                <w:bCs/>
                <w:b/>
              </w:rPr>
              <w:t xml:space="preserve">24</w:t>
            </w:r>
          </w:p>
        </w:tc>
      </w:tr>
      <w:tr>
        <w:tc>
          <w:tcPr/>
          <w:p>
            <w:pPr>
              <w:pStyle w:val="Compact"/>
              <w:jc w:val="left"/>
            </w:pP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pPr>
          </w:p>
        </w:tc>
        <w:tc>
          <w:tcPr/>
          <w:p>
            <w:pPr>
              <w:pStyle w:val="Compact"/>
              <w:jc w:val="right"/>
            </w:pPr>
            <w:r>
              <w:rPr>
                <w:bCs/>
                <w:b/>
              </w:rPr>
              <w:t xml:space="preserve">9</w:t>
            </w:r>
          </w:p>
        </w:tc>
      </w:tr>
    </w:tbl>
  </w:footnote>
  <w:footnote w:id="241">
    <w:p>
      <w:pPr>
        <w:pStyle w:val="FootnoteText"/>
      </w:pPr>
      <w:r>
        <w:rPr>
          <w:rStyle w:val="FootnoteReference"/>
        </w:rPr>
        <w:footnoteRef/>
      </w:r>
      <w:r>
        <w:t xml:space="preserve"> </w:t>
      </w:r>
      <w:r>
        <w:t xml:space="preserve">Jest to jedyne miejsce w całym Nowym Testamencie, w którym Rodzina 35 się rozszczepia — występuje pięć istotnych wariantów (oraz dwa drobne). Zwykle tam, gdzie rodzina jest podzielona, występują tylko dwa warianty. Szczegółowe omówienie tego zestawu wariantów znajduje się w artykule „Where to place a comma—Acts 12:25”.</w:t>
      </w:r>
    </w:p>
  </w:footnote>
  <w:footnote w:id="244">
    <w:p>
      <w:pPr>
        <w:pStyle w:val="FootnoteText"/>
      </w:pPr>
      <w:r>
        <w:rPr>
          <w:rStyle w:val="FootnoteReference"/>
        </w:rPr>
        <w:footnoteRef/>
      </w:r>
      <w:r>
        <w:t xml:space="preserve"> </w:t>
      </w:r>
      <w:r>
        <w:t xml:space="preserve">Słowniki podają różne definicje terminu „kaczka dziennikarska”, ale wszystkie są zgodne, że jest to fałszywa informacja, i sugerują, że została stworzona ze złośliwym zamiarem. Oczywiście ci, którzy powtarzają taką kaczkę, mogą czynić to bez złej woli, choć robią to bez sprawdzenia dowodów.</w:t>
      </w:r>
    </w:p>
  </w:footnote>
  <w:footnote w:id="245">
    <w:p>
      <w:pPr>
        <w:pStyle w:val="FootnoteText"/>
      </w:pPr>
      <w:r>
        <w:rPr>
          <w:rStyle w:val="FootnoteReference"/>
        </w:rPr>
        <w:footnoteRef/>
      </w:r>
      <w:r>
        <w:t xml:space="preserve"> </w:t>
      </w:r>
      <w:r>
        <w:t xml:space="preserve">Kirsopp Lake,</w:t>
      </w:r>
      <w:r>
        <w:t xml:space="preserve"> </w:t>
      </w:r>
      <w:r>
        <w:rPr>
          <w:iCs/>
          <w:i/>
        </w:rPr>
        <w:t xml:space="preserve">The Text of the New Testament</w:t>
      </w:r>
      <w:r>
        <w:t xml:space="preserve">, wydanie szóste zrewidowane przez Silvę New (Londyn: Rivingtons, 1959), s. 53.</w:t>
      </w:r>
    </w:p>
  </w:footnote>
  <w:footnote w:id="246">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247">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248">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Nie obejmuje to lekcjonarzy, których również sprawdził sporą liczbę.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 Niestety, o ile wiem, Robinson nie opublikował dotąd swoich kolacjonowań, udostępniając je tym samym ogółowi.</w:t>
      </w:r>
    </w:p>
  </w:footnote>
  <w:footnote w:id="249">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50">
    <w:p>
      <w:pPr>
        <w:pStyle w:val="FootnoteText"/>
      </w:pPr>
      <w:r>
        <w:rPr>
          <w:rStyle w:val="FootnoteReference"/>
        </w:rPr>
        <w:footnoteRef/>
      </w:r>
      <w:r>
        <w:t xml:space="preserve"> </w:t>
      </w:r>
      <w:r>
        <w:rPr>
          <w:iCs/>
          <w:i/>
        </w:rPr>
        <w:t xml:space="preserve">Eight American Praxapostoloi</w:t>
      </w:r>
      <w:r>
        <w:t xml:space="preserve"> </w:t>
      </w:r>
      <w:r>
        <w:t xml:space="preserve">(Kenneth W. Clark, Chicago: The University of Chicago Press, 1941), s. 12.</w:t>
      </w:r>
    </w:p>
  </w:footnote>
  <w:footnote w:id="251">
    <w:p>
      <w:pPr>
        <w:pStyle w:val="FootnoteText"/>
      </w:pPr>
      <w:r>
        <w:rPr>
          <w:rStyle w:val="FootnoteReference"/>
        </w:rPr>
        <w:footnoteRef/>
      </w:r>
      <w:r>
        <w:t xml:space="preserve"> </w:t>
      </w:r>
      <w:r>
        <w:t xml:space="preserve">Zobacz także część „Archetyp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 w części III.</w:t>
      </w:r>
    </w:p>
  </w:footnote>
  <w:footnote w:id="252">
    <w:p>
      <w:pPr>
        <w:pStyle w:val="FootnoteText"/>
      </w:pPr>
      <w:r>
        <w:rPr>
          <w:rStyle w:val="FootnoteReference"/>
        </w:rPr>
        <w:footnoteRef/>
      </w:r>
      <w:r>
        <w:t xml:space="preserve"> </w:t>
      </w:r>
      <w:r>
        <w:t xml:space="preserve">Mam na myśli artykuł, który podejmie kwestię „poziomu wierności” i „współczynnika jakości”, porównując na tej podstawie różne linie przekazu. Dlaczego na przykład przeciętny manuskrypt</w:t>
      </w:r>
      <w:r>
        <w:t xml:space="preserve"> </w:t>
      </w:r>
      <w:r>
        <w:rPr>
          <w:bCs/>
          <w:b/>
        </w:rPr>
        <w:t xml:space="preserve">f</w:t>
      </w:r>
      <w:r>
        <w:rPr>
          <w:vertAlign w:val="superscript"/>
          <w:bCs/>
          <w:b/>
        </w:rPr>
        <w:t xml:space="preserve">35</w:t>
      </w:r>
      <w:r>
        <w:t xml:space="preserve"> </w:t>
      </w:r>
      <w:r>
        <w:t xml:space="preserve">ma tylko jeden wariant na każde dwie strony drukowanego tekstu greckiego, podczas gdy przeciętny manuskrypt masy bizantyjskiej ma co najmniej trzy warianty na stronę, a przeciętny manuskrypt aleksandryjski ponad piętnaście na stronę? Czy sugeruje to coś na temat postawy, poważnego traktowania swojej pracy? Przez „postawę” rozumiem konkretnie stosunek do kopiowanego egzemplarza — czy był on przedmiotem szacunku lub czci?</w:t>
      </w:r>
    </w:p>
  </w:footnote>
  <w:footnote w:id="253">
    <w:p>
      <w:pPr>
        <w:pStyle w:val="FootnoteText"/>
      </w:pPr>
      <w:r>
        <w:rPr>
          <w:rStyle w:val="FootnoteReference"/>
        </w:rPr>
        <w:footnoteRef/>
      </w:r>
      <w:r>
        <w:t xml:space="preserve"> </w:t>
      </w:r>
      <w:r>
        <w:rPr>
          <w:iCs/>
          <w:i/>
        </w:rPr>
        <w:t xml:space="preserve">The Identity of the New Testament Text IV</w:t>
      </w:r>
      <w:r>
        <w:t xml:space="preserve">, s. 84.</w:t>
      </w:r>
    </w:p>
  </w:footnote>
  <w:footnote w:id="254">
    <w:p>
      <w:pPr>
        <w:pStyle w:val="FootnoteText"/>
      </w:pPr>
      <w:r>
        <w:rPr>
          <w:rStyle w:val="FootnoteReference"/>
        </w:rPr>
        <w:footnoteRef/>
      </w:r>
      <w:r>
        <w:t xml:space="preserve"> </w:t>
      </w:r>
      <w:r>
        <w:t xml:space="preserve">J.W. Burgon,</w:t>
      </w:r>
      <w:r>
        <w:t xml:space="preserve"> </w:t>
      </w:r>
      <w:r>
        <w:rPr>
          <w:iCs/>
          <w:i/>
        </w:rPr>
        <w:t xml:space="preserve">The Revision Revised</w:t>
      </w:r>
      <w:r>
        <w:t xml:space="preserve"> </w:t>
      </w:r>
      <w:r>
        <w:t xml:space="preserve">(Londyn: John Murray, 1883), s. 293.</w:t>
      </w:r>
    </w:p>
  </w:footnote>
  <w:footnote w:id="255">
    <w:p>
      <w:pPr>
        <w:pStyle w:val="FootnoteText"/>
      </w:pPr>
      <w:r>
        <w:rPr>
          <w:rStyle w:val="FootnoteReference"/>
        </w:rPr>
        <w:footnoteRef/>
      </w:r>
      <w:r>
        <w:t xml:space="preserve"> </w:t>
      </w:r>
      <w:r>
        <w:t xml:space="preserve">F.G. Kenyon,</w:t>
      </w:r>
      <w:r>
        <w:t xml:space="preserve"> </w:t>
      </w:r>
      <w:r>
        <w:rPr>
          <w:iCs/>
          <w:i/>
        </w:rPr>
        <w:t xml:space="preserve">Handbook to the Textual Criticism of the Greek Bible</w:t>
      </w:r>
      <w:r>
        <w:t xml:space="preserve">, wyd. 2 (Grand Rapids: Wm. B. Eerdmans Publishing Co., 1951), s. 324-325. Podczas gdy Burgon był zdecydowanym obrońcą Tradycyjnego Tekstu Nowego Testamentu, Kenyon z całą pewnością nim nie był, będąc zwolennikiem tak zwanego „tekstu krytycznego”.</w:t>
      </w:r>
    </w:p>
  </w:footnote>
  <w:footnote w:id="257">
    <w:p>
      <w:pPr>
        <w:pStyle w:val="FootnoteText"/>
      </w:pPr>
      <w:r>
        <w:rPr>
          <w:rStyle w:val="FootnoteReference"/>
        </w:rPr>
        <w:footnoteRef/>
      </w:r>
      <w:r>
        <w:t xml:space="preserve"> </w:t>
      </w:r>
      <w:r>
        <w:t xml:space="preserve">Hermann F. von Soden,</w:t>
      </w:r>
      <w:r>
        <w:t xml:space="preserve"> </w:t>
      </w:r>
      <w:r>
        <w:rPr>
          <w:iCs/>
          <w:i/>
        </w:rPr>
        <w:t xml:space="preserve">Die Schriften des Neuen Testaments</w:t>
      </w:r>
      <w:r>
        <w:t xml:space="preserve">, 2 tomy (Getynga: Vandenhoeck und Ruprecht, 1911), s. 757-765. (Jego niemiecki jest trudny do czytania).</w:t>
      </w:r>
    </w:p>
  </w:footnote>
  <w:footnote w:id="258">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59">
    <w:p>
      <w:pPr>
        <w:pStyle w:val="FootnoteText"/>
      </w:pPr>
      <w:r>
        <w:rPr>
          <w:rStyle w:val="FootnoteReference"/>
        </w:rPr>
        <w:footnoteRef/>
      </w:r>
      <w:r>
        <w:t xml:space="preserve"> </w:t>
      </w:r>
      <w:r>
        <w:t xml:space="preserve">Alexander Roberts i James Donaldson, red.,</w:t>
      </w:r>
      <w:r>
        <w:t xml:space="preserve"> </w:t>
      </w:r>
      <w:r>
        <w:rPr>
          <w:iCs/>
          <w:i/>
        </w:rPr>
        <w:t xml:space="preserve">The Ante-Nicean Fathers</w:t>
      </w:r>
      <w:r>
        <w:t xml:space="preserve">, wydanie amerykańskie (Nowy Jork: Christian Literature Co., 1906), t. I, s. 186.</w:t>
      </w:r>
    </w:p>
  </w:footnote>
  <w:footnote w:id="260">
    <w:p>
      <w:pPr>
        <w:pStyle w:val="FootnoteText"/>
      </w:pPr>
      <w:r>
        <w:rPr>
          <w:rStyle w:val="FootnoteReference"/>
        </w:rPr>
        <w:footnoteRef/>
      </w:r>
      <w:r>
        <w:t xml:space="preserve"> </w:t>
      </w:r>
      <w:r>
        <w:t xml:space="preserve">Osobista wiadomość od dr. Michaela C. Loehrera.</w:t>
      </w:r>
    </w:p>
  </w:footnote>
  <w:footnote w:id="261">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(Berlin: Walter de Gruyter, 1994).</w:t>
      </w:r>
    </w:p>
  </w:footnote>
  <w:footnote w:id="262">
    <w:p>
      <w:pPr>
        <w:pStyle w:val="FootnoteText"/>
      </w:pPr>
      <w:r>
        <w:rPr>
          <w:rStyle w:val="FootnoteReference"/>
        </w:rPr>
        <w:footnoteRef/>
      </w:r>
      <w:r>
        <w:t xml:space="preserve"> </w:t>
      </w:r>
      <w:r>
        <w:t xml:space="preserve">Barbara Aland, Gerd Mink i Klaus Wachtel, red.,</w:t>
      </w:r>
      <w:r>
        <w:t xml:space="preserve"> </w:t>
      </w:r>
      <w:r>
        <w:rPr>
          <w:iCs/>
          <w:i/>
        </w:rPr>
        <w:t xml:space="preserve">Novum Testamentum Graecum, Editio Critica Maior</w:t>
      </w:r>
      <w:r>
        <w:t xml:space="preserve"> </w:t>
      </w:r>
      <w:r>
        <w:t xml:space="preserve">(Stuttgart: Deutsche Bibelgesellschaft, 1997).</w:t>
      </w:r>
    </w:p>
  </w:footnote>
  <w:footnote w:id="263">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tekstu ciągłego sprawdzonych przez Robinsona. Sprawdził on również pewną liczbę lekcjonarzy.</w:t>
      </w:r>
    </w:p>
  </w:footnote>
  <w:footnote w:id="264">
    <w:p>
      <w:pPr>
        <w:pStyle w:val="FootnoteText"/>
      </w:pPr>
      <w:r>
        <w:rPr>
          <w:rStyle w:val="FootnoteReference"/>
        </w:rPr>
        <w:footnoteRef/>
      </w:r>
      <w:r>
        <w:t xml:space="preserve"> </w:t>
      </w:r>
      <w:r>
        <w:t xml:space="preserve">Ponieważ nie da się obiektywnie wykazać, że</w:t>
      </w:r>
      <w:r>
        <w:t xml:space="preserve"> </w:t>
      </w:r>
      <w:r>
        <w:rPr>
          <w:bCs/>
          <w:b/>
        </w:rPr>
        <w:t xml:space="preserve">M</w:t>
      </w:r>
      <w:r>
        <w:rPr>
          <w:vertAlign w:val="superscript"/>
          <w:bCs/>
          <w:b/>
        </w:rPr>
        <w:t xml:space="preserve">7</w:t>
      </w:r>
      <w:r>
        <w:t xml:space="preserve"> </w:t>
      </w:r>
      <w:r>
        <w:t xml:space="preserve">zależy od</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nie powinno się przywoływać tej wyimaginowanej zależności jako istotnej dla wieku i natury tego typu tekstu.</w:t>
      </w:r>
    </w:p>
  </w:footnote>
  <w:footnote w:id="265">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66">
    <w:p>
      <w:pPr>
        <w:pStyle w:val="FootnoteText"/>
      </w:pPr>
      <w:r>
        <w:rPr>
          <w:rStyle w:val="FootnoteReference"/>
        </w:rPr>
        <w:footnoteRef/>
      </w:r>
      <w:r>
        <w:t xml:space="preserve"> </w:t>
      </w:r>
      <w:r>
        <w:t xml:space="preserve">Ignorowanie jasnych dowodów, na które zwrócono komuś uwagę, i dalsze rozpowszechnianie twierdzenia, o którym wie się, że jest fałszywe, jest przewrotnością.</w:t>
      </w:r>
    </w:p>
  </w:footnote>
  <w:footnote w:id="267">
    <w:p>
      <w:pPr>
        <w:pStyle w:val="FootnoteText"/>
      </w:pPr>
      <w:r>
        <w:rPr>
          <w:rStyle w:val="FootnoteReference"/>
        </w:rPr>
        <w:footnoteRef/>
      </w:r>
      <w:r>
        <w:t xml:space="preserve"> </w:t>
      </w:r>
      <w:r>
        <w:t xml:space="preserve">Nawiasem mówiąc, powszechnie wiadomo, że lekcjonarze nie zawierają lekcji z Objawienia Jana. Niewiele osób wie, że niektóre manuskrypty</w:t>
      </w:r>
      <w:r>
        <w:t xml:space="preserve"> </w:t>
      </w:r>
      <w:r>
        <w:rPr>
          <w:bCs/>
          <w:b/>
        </w:rPr>
        <w:t xml:space="preserve">f</w:t>
      </w:r>
      <w:r>
        <w:rPr>
          <w:vertAlign w:val="superscript"/>
          <w:bCs/>
          <w:b/>
        </w:rPr>
        <w:t xml:space="preserve">35</w:t>
      </w:r>
      <w:r>
        <w:t xml:space="preserve"> </w:t>
      </w:r>
      <w:r>
        <w:t xml:space="preserve">zawierają aparat liturgiczny w Objawieniu Jana. Czy nie jest to coś, co zasługuje na dalsze badanie?</w:t>
      </w:r>
    </w:p>
  </w:footnote>
  <w:footnote w:id="269">
    <w:p>
      <w:pPr>
        <w:pStyle w:val="FootnoteText"/>
      </w:pPr>
      <w:r>
        <w:rPr>
          <w:rStyle w:val="FootnoteReference"/>
        </w:rPr>
        <w:footnoteRef/>
      </w:r>
      <w:r>
        <w:t xml:space="preserve"> </w:t>
      </w:r>
      <w:r>
        <w:t xml:space="preserve">Ustaliłem archetypalną formę</w:t>
      </w:r>
      <w:r>
        <w:t xml:space="preserve"> </w:t>
      </w:r>
      <w:r>
        <w:rPr>
          <w:bCs/>
          <w:b/>
        </w:rPr>
        <w:t xml:space="preserve">f</w:t>
      </w:r>
      <w:r>
        <w:rPr>
          <w:vertAlign w:val="superscript"/>
          <w:bCs/>
          <w:b/>
        </w:rPr>
        <w:t xml:space="preserve">35</w:t>
      </w:r>
      <w:r>
        <w:t xml:space="preserve"> </w:t>
      </w:r>
      <w:r>
        <w:t xml:space="preserve">dla Ewangelii Marka na podstawie pełnych kolacjonowań 53 przedstawicieli rodziny przedstawionych w poniższej tabeli. Wyniki zapisano w moim pełnym aparacie</w:t>
      </w:r>
      <w:r>
        <w:t xml:space="preserve"> </w:t>
      </w:r>
      <w:r>
        <w:rPr>
          <w:bCs/>
          <w:b/>
        </w:rPr>
        <w:t xml:space="preserve">f</w:t>
      </w:r>
      <w:r>
        <w:rPr>
          <w:vertAlign w:val="superscript"/>
          <w:bCs/>
          <w:b/>
        </w:rPr>
        <w:t xml:space="preserve">35</w:t>
      </w:r>
      <w:r>
        <w:t xml:space="preserve"> </w:t>
      </w:r>
      <w:r>
        <w:t xml:space="preserve">dla Ewangelii Marka. Istnieje siedem podziałów oscylujących wokół 20%, przy czym cztery z nich są alternatywnymi pisowniami tego samego słowa. Istnieją dwa podziały oscylujące wokół 25%. Żaden z tych dziewięciu nie jest poważnym kandydatem do formy archetypalnej. Istnieje tylko jeden poważny podział, oscylujący wokół 40%, w 13,31. Czy czasownik odnoszący się do „nieba i ziemi” ma liczbę pojedynczą czy mnogą? W języku angielskim tłumaczeniem obu jest „przeminą”, są to więc dwa sposoby powiedzenia tego samego. Chociaż liczba mnoga ma znaczne rozmieszczenie geograficzne, liczba pojedyncza ma znacznie większe. Po obu stronach są dobrzy przedstawiciele, lecz pięć najlepszych kopii ma liczbę pojedynczą. Spośród pięciu manuskryptów z XI wieku cztery mają liczbę pojedynczą. Po zsumowaniu wszystkiego pierwszeństwo otrzymuje liczba pojedyncza.</w:t>
      </w:r>
    </w:p>
  </w:footnote>
  <w:footnote w:id="270">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Ewangelii Marka zajmuje kilka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Ewangelia Marka była jedynie fragmentem zwykłej literatury starożytnej, precyzyjne oryginalne sformułowania nie miałyby większego znaczenia. I co z tego? Jaką czyniłoby to różnicę?</w:t>
      </w:r>
    </w:p>
  </w:footnote>
  <w:footnote w:id="271">
    <w:p>
      <w:pPr>
        <w:pStyle w:val="FootnoteText"/>
      </w:pPr>
      <w:r>
        <w:rPr>
          <w:rStyle w:val="FootnoteReference"/>
        </w:rPr>
        <w:footnoteRef/>
      </w:r>
      <w:r>
        <w:t xml:space="preserve"> </w:t>
      </w:r>
      <w:r>
        <w:t xml:space="preserve">Zauważ, że jego „średni” tekst nie obejmowałby odczytu tam, gdzie podział wewnętrzny był taki, iż nie istniała większość, a skoro użył tylko sześciu manuskryptów, co robił, gdy dzieliły się po równo?</w:t>
      </w:r>
    </w:p>
  </w:footnote>
  <w:footnote w:id="27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w:t>
      </w:r>
      <w:r>
        <w:t xml:space="preserve">IV (1957-1958), s. 86-87. Por. także Colwell, „Genealogical Method”, s. 119-123. Colwell podąża za Kenyonem i używa określenia „typ tekstu Beta” w odniesieniu do dzisiejszego tekstu „aleksandryjskiego”, podczas gdy Hort używał określenia „grupa b” w odniesieniu do swojego tekstu „zachodniego”.</w:t>
      </w:r>
    </w:p>
  </w:footnote>
  <w:footnote w:id="273">
    <w:p>
      <w:pPr>
        <w:pStyle w:val="FootnoteText"/>
      </w:pPr>
      <w:r>
        <w:rPr>
          <w:rStyle w:val="FootnoteReference"/>
        </w:rPr>
        <w:footnoteRef/>
      </w:r>
      <w:r>
        <w:t xml:space="preserve"> </w:t>
      </w:r>
      <w:r>
        <w:t xml:space="preserve">Zauważ, że łączna reprezentacja tego typu tekstu wynosi zaledwie trzynaście manuskryptów (w Ewangeliach) i liczba ta nie wzrosła znacząco od czasów Colwella (sześćdziesiąt lat temu) — przypomnijmy jednak, że nie ma on możliwego do wykazania archetypu. Dla kontrastu skolacjonowane przeze mnie pięćdziesiąt jeden manuskryptów</w:t>
      </w:r>
      <w:r>
        <w:t xml:space="preserve"> </w:t>
      </w:r>
      <w:r>
        <w:rPr>
          <w:bCs/>
          <w:b/>
        </w:rPr>
        <w:t xml:space="preserve">f</w:t>
      </w:r>
      <w:r>
        <w:rPr>
          <w:vertAlign w:val="superscript"/>
          <w:bCs/>
          <w:b/>
        </w:rPr>
        <w:t xml:space="preserve">35</w:t>
      </w:r>
      <w:r>
        <w:t xml:space="preserve"> </w:t>
      </w:r>
      <w:r>
        <w:t xml:space="preserve">reprezentuje tylko około 20% zachowanych przedstawicieli rodziny w Ewangeliach (około 250 manuskryptów). Pozostaje się przekonać, ile dalszych rodzin w obrębie masy bizantyjskiej można zidentyfikować jako mające jedną możliwą do wykazania formę archetypalną, na podstawie pełnego kolacjonowania wszystkich jej przedstawicieli (albo przynajmniej wystarczającej ich części, by ustalić archetyp). Dla tomów</w:t>
      </w:r>
      <w:r>
        <w:t xml:space="preserve"> </w:t>
      </w:r>
      <w:r>
        <w:rPr>
          <w:iCs/>
          <w:i/>
        </w:rPr>
        <w:t xml:space="preserve">TuT</w:t>
      </w:r>
      <w:r>
        <w:t xml:space="preserve"> </w:t>
      </w:r>
      <w:r>
        <w:t xml:space="preserve">obejmujących pierwszych dziesięć rozdziałów Ewangelii Jana</w:t>
      </w:r>
      <w:r>
        <w:t xml:space="preserve"> </w:t>
      </w:r>
      <w:r>
        <w:rPr>
          <w:iCs/>
          <w:i/>
        </w:rPr>
        <w:t xml:space="preserve">INTF</w:t>
      </w:r>
      <w:r>
        <w:t xml:space="preserve"> </w:t>
      </w:r>
      <w:r>
        <w:t xml:space="preserve">skolacjonował około 1875 manuskryptów dla 153 zestawów wariantów. Strony 54-90 pierwszego tomu zawierają listę „grupowań” manuskryptów, poza ich</w:t>
      </w:r>
      <w:r>
        <w:t xml:space="preserve"> </w:t>
      </w:r>
      <w:r>
        <w:rPr>
          <w:bCs/>
          <w:b/>
        </w:rPr>
        <w:t xml:space="preserve">K</w:t>
      </w:r>
      <w:r>
        <w:rPr>
          <w:vertAlign w:val="superscript"/>
          <w:bCs/>
          <w:b/>
        </w:rPr>
        <w:t xml:space="preserve">r</w:t>
      </w:r>
      <w:r>
        <w:t xml:space="preserve"> </w:t>
      </w:r>
      <w:r>
        <w:t xml:space="preserve">największa grupa ma 53 manuskrypty i przewodzi jej manuskrypt 2103. Liczba grup jest oszałamiająca. Ponadto, z nielicznymi wyjątkami, grupy lub rodziny zidentyfikowane przez von Sodena i innych ograniczają się do Ewangelii, nie istnieją w 27 księgach tworzących nasz kanon Nowego Testamentu. Jeśli jednak Bóg natchnął wszystkie 27 ksiąg, musiał zachować wszystkie 27 ksiąg (bo po co w przeciwnym razie je natchnąć). Ponieważ Autograf jest archetypem w najpełniejszym znaczeniu, każdy kandydat do tego zachowania powinien mieć archetyp, archetyp ustalony empirycznie, i to dla wszystkich 27 ksiąg — w chwili pisania tych słów istnieje tylko jeden: Rodzina 35.</w:t>
      </w:r>
    </w:p>
  </w:footnote>
  <w:footnote w:id="274">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75">
    <w:p>
      <w:pPr>
        <w:pStyle w:val="FootnoteText"/>
      </w:pPr>
      <w:r>
        <w:rPr>
          <w:rStyle w:val="FootnoteReference"/>
        </w:rPr>
        <w:footnoteRef/>
      </w:r>
      <w:r>
        <w:t xml:space="preserve"> </w:t>
      </w:r>
      <w:r>
        <w:t xml:space="preserve">Powtarzam tutaj zdanie z akapitu Colwella: „Wyniki te przekonująco pokazują, że każda próba odtworzenia archetypu typu tekstu Beta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77">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79">
    <w:p>
      <w:pPr>
        <w:pStyle w:val="FootnoteText"/>
      </w:pPr>
      <w:r>
        <w:rPr>
          <w:rStyle w:val="FootnoteReference"/>
        </w:rPr>
        <w:footnoteRef/>
      </w:r>
      <w:r>
        <w:t xml:space="preserve"> </w:t>
      </w:r>
      <w:r>
        <w:t xml:space="preserve">11 manuskryptów × 16 rozdziałów = 171 rozdziałów, tych jedenaście manuskryptów razem potrzebowało aż 171 rozdziałów, aby wprowadzić tyle wariantów, ile Kodeks B zdołał wprowadzić w jednym! Oznacza to, że Kodeks B jest 171 razy gorszy niż jedenastu przedstawicieli</w:t>
      </w:r>
      <w:r>
        <w:t xml:space="preserve"> </w:t>
      </w:r>
      <w:r>
        <w:rPr>
          <w:bCs/>
          <w:b/>
        </w:rPr>
        <w:t xml:space="preserve">f</w:t>
      </w:r>
      <w:r>
        <w:rPr>
          <w:vertAlign w:val="superscript"/>
          <w:bCs/>
          <w:b/>
        </w:rPr>
        <w:t xml:space="preserve">35</w:t>
      </w:r>
      <w:r>
        <w:t xml:space="preserve"> </w:t>
      </w:r>
      <w:r>
        <w:t xml:space="preserve">razem wziętych. A jednak są tacy, którzy twierdzili, że B jest naszym „najlepszym” manuskryptem!</w:t>
      </w:r>
    </w:p>
  </w:footnote>
  <w:footnote w:id="280">
    <w:p>
      <w:pPr>
        <w:pStyle w:val="FootnoteText"/>
      </w:pPr>
      <w:r>
        <w:rPr>
          <w:rStyle w:val="FootnoteReference"/>
        </w:rPr>
        <w:footnoteRef/>
      </w:r>
      <w:r>
        <w:t xml:space="preserve"> </w:t>
      </w:r>
      <w:r>
        <w:t xml:space="preserve">To znaczy, że jedenaście manuskryptów ma między sobą szesnaście wariantów w całej księdze, czyli średnio po 1,5 wariantu na każdy manuskrypt w całej księdze.</w:t>
      </w:r>
    </w:p>
  </w:footnote>
  <w:footnote w:id="284">
    <w:p>
      <w:pPr>
        <w:pStyle w:val="FootnoteText"/>
      </w:pPr>
      <w:r>
        <w:rPr>
          <w:rStyle w:val="FootnoteReference"/>
        </w:rPr>
        <w:footnoteRef/>
      </w:r>
      <w:r>
        <w:t xml:space="preserve"> </w:t>
      </w:r>
      <w:r>
        <w:rPr>
          <w:iCs/>
          <w:i/>
        </w:rPr>
        <w:t xml:space="preserve">New Testament Greek Manuscripts—Romans</w:t>
      </w:r>
      <w:r>
        <w:t xml:space="preserve"> </w:t>
      </w:r>
      <w:r>
        <w:t xml:space="preserve">(Pasadena, Kalifornia: William Carey International University Press, 2001). W Ewangeliach Kodeks A jest marginalnie bizantyjski, lecz w Listach uznaje się go za dobrej jakości manuskrypt aleksandryjski. (Wydaje mi się, że pamiętam wyrażoną opinię, iż jest lepszy niż Alef, a nawet B).</w:t>
      </w:r>
    </w:p>
  </w:footnote>
  <w:footnote w:id="285">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Listu do Rzymian może zająć dwa pełne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List do Rzymian był jedynie fragmentem zwykłej literatury starożytnej, precyzyjne oryginalne sformułowania nie miałyby większego znaczenia. I co z tego? Jaką czyniłoby to różnicę?</w:t>
      </w:r>
    </w:p>
  </w:footnote>
  <w:footnote w:id="286">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87">
    <w:p>
      <w:pPr>
        <w:pStyle w:val="FootnoteText"/>
      </w:pPr>
      <w:r>
        <w:rPr>
          <w:rStyle w:val="FootnoteReference"/>
        </w:rPr>
        <w:footnoteRef/>
      </w:r>
      <w:r>
        <w:t xml:space="preserve"> </w:t>
      </w:r>
      <w:r>
        <w:t xml:space="preserve">Zawiera tylko 1,1-11,22.</w:t>
      </w:r>
    </w:p>
  </w:footnote>
  <w:footnote w:id="288">
    <w:p>
      <w:pPr>
        <w:pStyle w:val="FootnoteText"/>
      </w:pPr>
      <w:r>
        <w:rPr>
          <w:rStyle w:val="FootnoteReference"/>
        </w:rPr>
        <w:footnoteRef/>
      </w:r>
      <w:r>
        <w:t xml:space="preserve"> </w:t>
      </w:r>
      <w:r>
        <w:t xml:space="preserve">Jeśli mogę zapożyczyć stwierdzenie Colwella: „Wyniki te przekonująco pokazują, że każda próba odtworzenia archetypu typu tekstu Beta (aleksandryjskiego)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90">
    <w:p>
      <w:pPr>
        <w:pStyle w:val="FootnoteText"/>
      </w:pPr>
      <w:r>
        <w:rPr>
          <w:rStyle w:val="FootnoteReference"/>
        </w:rPr>
        <w:footnoteRef/>
      </w:r>
      <w:r>
        <w:t xml:space="preserve"> </w:t>
      </w:r>
      <w:r>
        <w:t xml:space="preserve">Patrząc na powyższą listę, widać, że współczynnik staranności kopisty się zmieniał, około połowa zmian wystąpiła w ostatnich dwóch rozdziałach, między 5,13 a 9,15 nie ma żadnych zmian, przez cztery rozdziały wykonywał więc doskonałą pracę. W rozdziale 16 najwyraźniej uległ jakiemuś wpływowi zewnętrznemu. Mimo wszystko 1892 jest odpowiednim przedstawicielem oryginalnych sformułowań Listu do Rzymian.</w:t>
      </w:r>
    </w:p>
  </w:footnote>
  <w:footnote w:id="291">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92">
    <w:p>
      <w:pPr>
        <w:pStyle w:val="FootnoteText"/>
      </w:pPr>
      <w:r>
        <w:rPr>
          <w:rStyle w:val="FootnoteReference"/>
        </w:rPr>
        <w:footnoteRef/>
      </w:r>
      <w:r>
        <w:t xml:space="preserve"> </w:t>
      </w:r>
      <w:r>
        <w:t xml:space="preserve">Dobrze jednak pamiętać o tym, co napisano w 2 Liście do Koryntian 4,7: mamy „skarb” w „glinianych naczyniach”. Nawet mając w ręku doskonały Tekst, z powodu naszych wrodzonych ograniczeń nie jesteśmy zdolni w pełni go wykorzystać. Kto z nas może zagwarantować doskonałą interpretację tego doskonałego Tekstu? Potrzebna jest pokora.</w:t>
      </w:r>
    </w:p>
  </w:footnote>
  <w:footnote w:id="294">
    <w:p>
      <w:pPr>
        <w:pStyle w:val="FootnoteText"/>
      </w:pPr>
      <w:r>
        <w:rPr>
          <w:rStyle w:val="FootnoteReference"/>
        </w:rPr>
        <w:footnoteRef/>
      </w:r>
      <w:r>
        <w:t xml:space="preserve"> </w:t>
      </w:r>
      <w:r>
        <w:t xml:space="preserve">Jeśli podzielimy 43 przez 18, otrzymamy średnio około 2,4 wariantu dla każdego z osiemnastu manuskryptów w całej księdze. Jeśli weźmiemy przeciętny manuskrypt taki jak 204 (spośród tych 18), z jego trzema wariantami, i porównamy go z Kodeksem Alef, z jego 133 wariantami, 204 potrzebowałby aż 44 ksiąg wielkości Listu do Rzymian, aby wytworzyć tyle odejść od swojego archetypu, ile Alef wytworzył od swojego hipotetycznego archetypu w jednej księdze. 204 potrzebowałby aż 56 takich ksiąg, aby wytworzyć tyle takich odejść, co Kodeks B, i 68 w przypadku Kodeksu A! Naprawdę, łagodny czytelniku, jaką obiektywną podstawę może ktokolwiek przywołać dla preferowania tekstu „aleksandryjskiego”? Czynienie tego na podstawie subiektywnej preferencji jest zwykłym zabobonem.</w:t>
      </w:r>
    </w:p>
  </w:footnote>
  <w:footnote w:id="295">
    <w:p>
      <w:pPr>
        <w:pStyle w:val="FootnoteText"/>
      </w:pPr>
      <w:r>
        <w:rPr>
          <w:rStyle w:val="FootnoteReference"/>
        </w:rPr>
        <w:footnoteRef/>
      </w:r>
      <w:r>
        <w:t xml:space="preserve"> </w:t>
      </w:r>
      <w:r>
        <w:t xml:space="preserve">To znaczy, że osiemnaście manuskryptów ma między sobą piętnaście wariantów w całej księdze, czyli średnio po 0,83 wariantu na każdy manuskrypt w całej księdze — zaiste, niewiarygodnie staranny przekaz.</w:t>
      </w:r>
    </w:p>
  </w:footnote>
  <w:footnote w:id="301">
    <w:p>
      <w:pPr>
        <w:pStyle w:val="FootnoteText"/>
      </w:pPr>
      <w:r>
        <w:rPr>
          <w:rStyle w:val="FootnoteReference"/>
        </w:rPr>
        <w:footnoteRef/>
      </w:r>
      <w:r>
        <w:t xml:space="preserve"> </w:t>
      </w:r>
      <w:r>
        <w:t xml:space="preserve">Podaję miejsce i datę zgodnie z</w:t>
      </w:r>
      <w:r>
        <w:t xml:space="preserve"> </w:t>
      </w:r>
      <w:r>
        <w:rPr>
          <w:iCs/>
          <w:i/>
        </w:rPr>
        <w:t xml:space="preserve">Kurzgefasste Liste</w:t>
      </w:r>
      <w:r>
        <w:t xml:space="preserve"> </w:t>
      </w:r>
      <w:r>
        <w:t xml:space="preserve">(1994), chociaż muszę przyznać, że czasami mam wątpliwości co do dokładności datowania.</w:t>
      </w:r>
    </w:p>
  </w:footnote>
  <w:footnote w:id="302">
    <w:p>
      <w:pPr>
        <w:pStyle w:val="FootnoteText"/>
      </w:pPr>
      <w:r>
        <w:rPr>
          <w:rStyle w:val="FootnoteReference"/>
        </w:rPr>
        <w:footnoteRef/>
      </w:r>
      <w:r>
        <w:t xml:space="preserve"> </w:t>
      </w:r>
      <w:r>
        <w:t xml:space="preserve">Chociaż 18 znajduje się obecnie w Paryżu, został sporządzony w Konstantynopolu.</w:t>
      </w:r>
    </w:p>
  </w:footnote>
  <w:footnote w:id="303">
    <w:p>
      <w:pPr>
        <w:pStyle w:val="FootnoteText"/>
      </w:pPr>
      <w:r>
        <w:rPr>
          <w:rStyle w:val="FootnoteReference"/>
        </w:rPr>
        <w:footnoteRef/>
      </w:r>
      <w:r>
        <w:t xml:space="preserve"> </w:t>
      </w:r>
      <w:r>
        <w:t xml:space="preserve">Chociaż 35 znajduje się obecnie w Paryżu, został pozyskany na obszarze egejskim.</w:t>
      </w:r>
    </w:p>
  </w:footnote>
  <w:footnote w:id="305">
    <w:p>
      <w:pPr>
        <w:pStyle w:val="FootnoteText"/>
      </w:pPr>
      <w:r>
        <w:rPr>
          <w:rStyle w:val="FootnoteReference"/>
        </w:rPr>
        <w:footnoteRef/>
      </w:r>
      <w:r>
        <w:t xml:space="preserve"> </w:t>
      </w:r>
      <w:r>
        <w:t xml:space="preserve">18, 928, 1864 i 2723 sporządzono odpowiednio w Konstantynopolu, Dionysiu, Stavronikicie i Trikali — uważam za praktycznie niemożliwe, by miały wspólny egzemplarz (oczywiście mogą łączyć się gdzieś dalej wstecz w linii).</w:t>
      </w:r>
    </w:p>
  </w:footnote>
  <w:footnote w:id="306">
    <w:p>
      <w:pPr>
        <w:pStyle w:val="FootnoteText"/>
      </w:pPr>
      <w:r>
        <w:rPr>
          <w:rStyle w:val="FootnoteReference"/>
        </w:rPr>
        <w:footnoteRef/>
      </w:r>
      <w:r>
        <w:t xml:space="preserve"> </w:t>
      </w:r>
      <w:r>
        <w:t xml:space="preserve">W rzeczywistości skolacjonowałem już 39 przedstawicieli rodziny dla 1 Listu do Tesaloniczan i 38 dla 2 Listu do Tesaloniczan. Prawdopodobnie reprezentują co najmniej 40% wszystkich zachowanych członków rodziny, naprawdę nie może więc być wątpliwości, że poprawnie reprezentują archetyp rodziny.</w:t>
      </w:r>
    </w:p>
  </w:footnote>
  <w:footnote w:id="307">
    <w:p>
      <w:pPr>
        <w:pStyle w:val="FootnoteText"/>
      </w:pPr>
      <w:r>
        <w:rPr>
          <w:rStyle w:val="FootnoteReference"/>
        </w:rPr>
        <w:footnoteRef/>
      </w:r>
      <w:r>
        <w:t xml:space="preserve"> </w:t>
      </w:r>
      <w:r>
        <w:t xml:space="preserve">Znalezienie na końcu manuskryptu kolofonu, w którym kopista wzywa Boga, prosząc Go o miłosierdzie, a nawet o uznanie i błogosławieństwo, nie jest niczym niezwykłym.</w:t>
      </w:r>
    </w:p>
  </w:footnote>
  <w:footnote w:id="309">
    <w:p>
      <w:pPr>
        <w:pStyle w:val="FootnoteText"/>
      </w:pPr>
      <w:r>
        <w:rPr>
          <w:rStyle w:val="FootnoteReference"/>
        </w:rPr>
        <w:footnoteRef/>
      </w:r>
      <w:r>
        <w:t xml:space="preserve"> </w:t>
      </w:r>
      <w:r>
        <w:t xml:space="preserve">444 jest manuskryptem mieszanym. W Liście Jakuba oraz 1 i 2 Liście Piotra w ogóle nie należy do</w:t>
      </w:r>
      <w:r>
        <w:t xml:space="preserve"> </w:t>
      </w:r>
      <w:r>
        <w:rPr>
          <w:bCs/>
          <w:b/>
        </w:rPr>
        <w:t xml:space="preserve">f</w:t>
      </w:r>
      <w:r>
        <w:rPr>
          <w:vertAlign w:val="superscript"/>
          <w:bCs/>
          <w:b/>
        </w:rPr>
        <w:t xml:space="preserve">35</w:t>
      </w:r>
      <w:r>
        <w:t xml:space="preserve">, natomiast w 1 Liście Jana jest bardzo marginalnym członkiem rodziny.</w:t>
      </w:r>
    </w:p>
  </w:footnote>
  <w:footnote w:id="311">
    <w:p>
      <w:pPr>
        <w:pStyle w:val="FootnoteText"/>
      </w:pPr>
      <w:r>
        <w:rPr>
          <w:rStyle w:val="FootnoteReference"/>
        </w:rPr>
        <w:footnoteRef/>
      </w:r>
      <w:r>
        <w:t xml:space="preserve"> </w:t>
      </w:r>
      <w:r>
        <w:t xml:space="preserve">Wykazałem to już wyżej dla Listów do Tesaloniczan i jestem w stanie uczynić to samo dla wszystkich ksiąg Nowego Testamentu. Oczywiście im dłuższa księga, tym większe prawdopodobieństwo, że kopista popełni jeden czy dwa nieumyślne błędy. Mimo to mam doskonałą kopię Listu do Rzymian (dość obszernego i złożonego) oraz jedną Ewangelii Mateusza (ni mniej, ni więcej, tylko Ewangelii!).</w:t>
      </w:r>
    </w:p>
  </w:footnote>
  <w:footnote w:id="312">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315">
    <w:p>
      <w:pPr>
        <w:pStyle w:val="FootnoteText"/>
      </w:pPr>
      <w:r>
        <w:rPr>
          <w:rStyle w:val="FootnoteReference"/>
        </w:rPr>
        <w:footnoteRef/>
      </w:r>
      <w:r>
        <w:t xml:space="preserve"> </w:t>
      </w:r>
      <w:r>
        <w:t xml:space="preserve">Profil Rodziny 35 znajduje się w Dodatku B do mojego</w:t>
      </w:r>
      <w:r>
        <w:t xml:space="preserve"> </w:t>
      </w:r>
      <w:r>
        <w:rPr>
          <w:iCs/>
          <w:i/>
        </w:rPr>
        <w:t xml:space="preserve">Identity IV</w:t>
      </w:r>
      <w:r>
        <w:t xml:space="preserve">, dostępnego bezpłatnie na mojej stronie www.prunch.org, lecz został również uwzględniony jako druga część niniejszej części II. Pełny archetyp jest wydrukowany w moim</w:t>
      </w:r>
      <w:r>
        <w:t xml:space="preserve"> </w:t>
      </w:r>
      <w:r>
        <w:rPr>
          <w:iCs/>
          <w:i/>
        </w:rPr>
        <w:t xml:space="preserve">The Greek New Testament according to Family 35</w:t>
      </w:r>
      <w:r>
        <w:t xml:space="preserve">.</w:t>
      </w:r>
    </w:p>
  </w:footnote>
  <w:footnote w:id="316">
    <w:p>
      <w:pPr>
        <w:pStyle w:val="FootnoteText"/>
      </w:pPr>
      <w:r>
        <w:rPr>
          <w:rStyle w:val="FootnoteReference"/>
        </w:rPr>
        <w:footnoteRef/>
      </w:r>
      <w:r>
        <w:t xml:space="preserve"> </w:t>
      </w:r>
      <w:r>
        <w:t xml:space="preserve">Zaledwie 49 w całym Nowym Testamencie jest po prostu zdumiewające.</w:t>
      </w:r>
    </w:p>
  </w:footnote>
  <w:footnote w:id="317">
    <w:p>
      <w:pPr>
        <w:pStyle w:val="FootnoteText"/>
      </w:pPr>
      <w:r>
        <w:rPr>
          <w:rStyle w:val="FootnoteReference"/>
        </w:rPr>
        <w:footnoteRef/>
      </w:r>
      <w:r>
        <w:t xml:space="preserve"> </w:t>
      </w:r>
      <w:r>
        <w:t xml:space="preserve">Wartości procentowe w nawiasach okrągłych zaczerpnięto z</w:t>
      </w:r>
      <w:r>
        <w:t xml:space="preserve"> </w:t>
      </w:r>
      <w:r>
        <w:rPr>
          <w:iCs/>
          <w:i/>
        </w:rPr>
        <w:t xml:space="preserve">Text und Textwert</w:t>
      </w:r>
      <w:r>
        <w:t xml:space="preserve">, natomiast te w nawiasach kwadratowych są moimi własnymi ekstrapolacjami.</w:t>
      </w:r>
    </w:p>
  </w:footnote>
  <w:footnote w:id="318">
    <w:p>
      <w:pPr>
        <w:pStyle w:val="FootnoteText"/>
      </w:pPr>
      <w:r>
        <w:rPr>
          <w:rStyle w:val="FootnoteReference"/>
        </w:rPr>
        <w:footnoteRef/>
      </w:r>
      <w:r>
        <w:t xml:space="preserve"> </w:t>
      </w:r>
      <w:r>
        <w:t xml:space="preserve">W Objawieniu Jana nie podaję wartości procentowych, ponieważ przedstawiam dowody w kategoriach rodzin, zainteresowany czytelnik powinien sprawdzić dowody w moim Tekście greckim.</w:t>
      </w:r>
    </w:p>
  </w:footnote>
  <w:footnote w:id="319">
    <w:p>
      <w:pPr>
        <w:pStyle w:val="FootnoteText"/>
      </w:pPr>
      <w:r>
        <w:rPr>
          <w:rStyle w:val="FootnoteReference"/>
        </w:rPr>
        <w:footnoteRef/>
      </w:r>
      <w:r>
        <w:t xml:space="preserve"> </w:t>
      </w:r>
      <w:r>
        <w:t xml:space="preserve">Dotyczy to wszystkich 49 powyższych przypadków. Czytelnik nie zostałby w żadnym miejscu całego Nowego Testamentu wprowadzony w błąd co do zamierzonego znaczenia!</w:t>
      </w:r>
    </w:p>
  </w:footnote>
  <w:footnote w:id="322">
    <w:p>
      <w:pPr>
        <w:pStyle w:val="FootnoteText"/>
      </w:pPr>
      <w:r>
        <w:rPr>
          <w:rStyle w:val="FootnoteReference"/>
        </w:rPr>
        <w:footnoteRef/>
      </w:r>
      <w:r>
        <w:t xml:space="preserve"> </w:t>
      </w:r>
      <w:r>
        <w:t xml:space="preserve">Czy wszystkie pojedyncze wzorce, a właściwie szeroka różnorodność wzorców (co najmniej 24), nie wskazują, że przekaz był normalny? Nie było narzuconej zgodności.</w:t>
      </w:r>
    </w:p>
  </w:footnote>
  <w:footnote w:id="324">
    <w:p>
      <w:pPr>
        <w:pStyle w:val="FootnoteText"/>
      </w:pPr>
      <w:r>
        <w:rPr>
          <w:rStyle w:val="FootnoteReference"/>
        </w:rPr>
        <w:footnoteRef/>
      </w:r>
      <w:r>
        <w:t xml:space="preserve"> </w:t>
      </w:r>
      <w:r>
        <w:t xml:space="preserve">„New Testament Textual Criticism: Search for Method”, praca magisterska M.Div., Princeton Theological Seminary, 1981, s. 40 — z kopii, którą przesłał mi osobiście.</w:t>
      </w:r>
    </w:p>
  </w:footnote>
  <w:footnote w:id="325">
    <w:p>
      <w:pPr>
        <w:pStyle w:val="FootnoteText"/>
      </w:pPr>
      <w:r>
        <w:rPr>
          <w:rStyle w:val="FootnoteReference"/>
        </w:rPr>
        <w:footnoteRef/>
      </w:r>
      <w:r>
        <w:t xml:space="preserve"> </w:t>
      </w:r>
      <w:r>
        <w:t xml:space="preserve">Istnieje stosunkowo niewiele manuskryptów (około 60) całego Nowego Testamentu (oraz około 150 dalszych, które mają wszystko oprócz Objawienia Jana), ze względu na objętość (oraz fizyczną i finansową trudność zgromadzenia wystarczającej ilości skóry) cztery Ewangelie kopiowano jako jednostkę, podobnie Listy Pawła (łącznie z Listem do Hebrajczyków) i Listy Ogólne. Dzieje Apostolskie zazwyczaj łączono z Listami Ogólnymi, lecz nie zawsze, istnieje też wiele manuskryptów (ponad 300), które łączą Dzieje Apostolskie, Pawła i Listy Ogólne. Objawienie Jana dodawano tu i ówdzie.</w:t>
      </w:r>
    </w:p>
  </w:footnote>
  <w:footnote w:id="326">
    <w:p>
      <w:pPr>
        <w:pStyle w:val="FootnoteText"/>
      </w:pPr>
      <w:r>
        <w:rPr>
          <w:rStyle w:val="FootnoteReference"/>
        </w:rPr>
        <w:footnoteRef/>
      </w:r>
      <w:r>
        <w:t xml:space="preserve"> </w:t>
      </w:r>
      <w:r>
        <w:t xml:space="preserve">Na pierwszy rzut oka, lecz po właściwym ponownym zdefiniowaniu druga może być łatwiejsza.</w:t>
      </w:r>
    </w:p>
  </w:footnote>
  <w:footnote w:id="327">
    <w:p>
      <w:pPr>
        <w:pStyle w:val="FootnoteText"/>
      </w:pPr>
      <w:r>
        <w:rPr>
          <w:rStyle w:val="FootnoteReference"/>
        </w:rPr>
        <w:footnoteRef/>
      </w:r>
      <w:r>
        <w:t xml:space="preserve"> </w:t>
      </w:r>
      <w:r>
        <w:t xml:space="preserve">Ponieważ Autografy nie zawierały podziałów na rozdziały ani wersety, a nawet podziału na słowa (sądząc po najwcześniejszych zachowanych manuskryptach), nic mniej niż cała księga nie będzie przekonujące.</w:t>
      </w:r>
    </w:p>
  </w:footnote>
  <w:footnote w:id="328">
    <w:p>
      <w:pPr>
        <w:pStyle w:val="FootnoteText"/>
      </w:pPr>
      <w:r>
        <w:rPr>
          <w:rStyle w:val="FootnoteReference"/>
        </w:rPr>
        <w:footnoteRef/>
      </w:r>
      <w:r>
        <w:t xml:space="preserve"> </w:t>
      </w:r>
      <w:r>
        <w:rPr>
          <w:iCs/>
          <w:i/>
        </w:rPr>
        <w:t xml:space="preserve">The Identity of the New Testament Text</w:t>
      </w:r>
      <w:r>
        <w:t xml:space="preserve"> </w:t>
      </w:r>
      <w:r>
        <w:t xml:space="preserve">(Nashville: Thomas Nelson Inc., Publishers, 1977) — obecnie jednak proszę zobaczyć niniejsze wydanie,</w:t>
      </w:r>
      <w:r>
        <w:t xml:space="preserve"> </w:t>
      </w:r>
      <w:r>
        <w:rPr>
          <w:iCs/>
          <w:i/>
        </w:rPr>
        <w:t xml:space="preserve">The Identity of the New Testament Text IV</w:t>
      </w:r>
      <w:r>
        <w:t xml:space="preserve">.</w:t>
      </w:r>
    </w:p>
  </w:footnote>
  <w:footnote w:id="329">
    <w:p>
      <w:pPr>
        <w:pStyle w:val="FootnoteText"/>
      </w:pPr>
      <w:r>
        <w:rPr>
          <w:rStyle w:val="FootnoteReference"/>
        </w:rPr>
        <w:footnoteRef/>
      </w:r>
      <w:r>
        <w:t xml:space="preserve"> </w:t>
      </w:r>
      <w:r>
        <w:t xml:space="preserve">Sam skolacjonowałem wszystkie czterdzieści trzy manuskrypty.</w:t>
      </w:r>
    </w:p>
  </w:footnote>
  <w:footnote w:id="330">
    <w:p>
      <w:pPr>
        <w:pStyle w:val="FootnoteText"/>
      </w:pPr>
      <w:r>
        <w:rPr>
          <w:rStyle w:val="FootnoteReference"/>
        </w:rPr>
        <w:footnoteRef/>
      </w:r>
      <w:r>
        <w:t xml:space="preserve"> </w:t>
      </w:r>
      <w:r>
        <w:t xml:space="preserve">Pomimo całej swojej nieokiełznanej odmienności 664 ma wszystkie diagnostyczne odczyty</w:t>
      </w:r>
      <w:r>
        <w:t xml:space="preserve"> </w:t>
      </w:r>
      <w:r>
        <w:rPr>
          <w:bCs/>
          <w:b/>
        </w:rPr>
        <w:t xml:space="preserve">f</w:t>
      </w:r>
      <w:r>
        <w:rPr>
          <w:vertAlign w:val="superscript"/>
          <w:bCs/>
          <w:b/>
        </w:rPr>
        <w:t xml:space="preserve">35</w:t>
      </w:r>
      <w:r>
        <w:t xml:space="preserve">, a zatem wyraźnie jest członkiem rodziny (choć niedbałym i rozwiązłym).</w:t>
      </w:r>
    </w:p>
  </w:footnote>
  <w:footnote w:id="331">
    <w:p>
      <w:pPr>
        <w:pStyle w:val="FootnoteText"/>
      </w:pPr>
      <w:r>
        <w:rPr>
          <w:rStyle w:val="FootnoteReference"/>
        </w:rPr>
        <w:footnoteRef/>
      </w:r>
      <w:r>
        <w:t xml:space="preserve"> </w:t>
      </w:r>
      <w:r>
        <w:t xml:space="preserve">W 986 brakuje 1 Listu Piotra 1,23-2,15.</w:t>
      </w:r>
    </w:p>
  </w:footnote>
  <w:footnote w:id="332">
    <w:p>
      <w:pPr>
        <w:pStyle w:val="FootnoteText"/>
      </w:pPr>
      <w:r>
        <w:rPr>
          <w:rStyle w:val="FootnoteReference"/>
        </w:rPr>
        <w:footnoteRef/>
      </w:r>
      <w:r>
        <w:t xml:space="preserve"> </w:t>
      </w:r>
      <w:r>
        <w:t xml:space="preserve">Manuskrypt 1754 ustępuje niedbałością jedynie 664, lecz wyraźnie jest członkiem rodziny.</w:t>
      </w:r>
    </w:p>
  </w:footnote>
  <w:footnote w:id="334">
    <w:p>
      <w:pPr>
        <w:pStyle w:val="FootnoteText"/>
      </w:pPr>
      <w:r>
        <w:rPr>
          <w:rStyle w:val="FootnoteReference"/>
        </w:rPr>
        <w:footnoteRef/>
      </w:r>
      <w:r>
        <w:t xml:space="preserve"> </w:t>
      </w:r>
      <w:r>
        <w:t xml:space="preserve">Zanim sam skolacjonowałem rękopis kursywny 18, byłem ograniczony do kolacjonowania odzwierciedlonego w</w:t>
      </w:r>
      <w:r>
        <w:t xml:space="preserve"> </w:t>
      </w:r>
      <w:r>
        <w:rPr>
          <w:iCs/>
          <w:i/>
        </w:rPr>
        <w:t xml:space="preserve">TuT</w:t>
      </w:r>
      <w:r>
        <w:t xml:space="preserve"> </w:t>
      </w:r>
      <w:r>
        <w:t xml:space="preserve">(</w:t>
      </w:r>
      <w:r>
        <w:rPr>
          <w:iCs/>
          <w:i/>
        </w:rPr>
        <w:t xml:space="preserve">Text und Textwert der Griechischen Handschriften des Neuen Testaments</w:t>
      </w:r>
      <w:r>
        <w:t xml:space="preserve"> </w:t>
      </w:r>
      <w:r>
        <w:t xml:space="preserve">[red. Kurt Aland, Berlin: Walter de Gruyter, 1987], tomy 9 i 11), które najwyraźniej przypisuje kopiście dwa błędy, jestem przekonany, że nie ma żadnego.</w:t>
      </w:r>
    </w:p>
  </w:footnote>
  <w:footnote w:id="335">
    <w:p>
      <w:pPr>
        <w:pStyle w:val="FootnoteText"/>
      </w:pPr>
      <w:r>
        <w:rPr>
          <w:rStyle w:val="FootnoteReference"/>
        </w:rPr>
        <w:footnoteRef/>
      </w:r>
      <w:r>
        <w:t xml:space="preserve"> </w:t>
      </w:r>
      <w:r>
        <w:t xml:space="preserve">W Liście Jakuba istnieją tylko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 znajdujących się w Dodatku.</w:t>
      </w:r>
    </w:p>
  </w:footnote>
  <w:footnote w:id="336">
    <w:p>
      <w:pPr>
        <w:pStyle w:val="FootnoteText"/>
      </w:pPr>
      <w:r>
        <w:rPr>
          <w:rStyle w:val="FootnoteReference"/>
        </w:rPr>
        <w:footnoteRef/>
      </w:r>
      <w:r>
        <w:t xml:space="preserve"> </w:t>
      </w:r>
      <w:r>
        <w:t xml:space="preserve">W 1 Liście Piotra istnieje osiem znaczących podziałów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7">
    <w:p>
      <w:pPr>
        <w:pStyle w:val="FootnoteText"/>
      </w:pPr>
      <w:r>
        <w:rPr>
          <w:rStyle w:val="FootnoteReference"/>
        </w:rPr>
        <w:footnoteRef/>
      </w:r>
      <w:r>
        <w:t xml:space="preserve"> </w:t>
      </w:r>
      <w:r>
        <w:t xml:space="preserve">W 2 Liście Piotra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8">
    <w:p>
      <w:pPr>
        <w:pStyle w:val="FootnoteText"/>
      </w:pPr>
      <w:r>
        <w:rPr>
          <w:rStyle w:val="FootnoteReference"/>
        </w:rPr>
        <w:footnoteRef/>
      </w:r>
      <w:r>
        <w:t xml:space="preserve"> </w:t>
      </w:r>
      <w:r>
        <w:t xml:space="preserve">W 1 Liście Jana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41">
    <w:p>
      <w:pPr>
        <w:pStyle w:val="FootnoteText"/>
      </w:pPr>
      <w:r>
        <w:rPr>
          <w:rStyle w:val="FootnoteReference"/>
        </w:rPr>
        <w:footnoteRef/>
      </w:r>
      <w:r>
        <w:t xml:space="preserve"> </w:t>
      </w:r>
      <w:r>
        <w:t xml:space="preserve">Jeśli ktoś chciałby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 — twierdzenie Horta, że jego tekst „syryjski” był wynikiem recenzji „lucjańskiej”, jest klasycznym przykładem (Burgon protestował wówczas przeciw całkowitemu brakowi dowodów i od tamtej pory nikt żadnych nie przedstawił). Przypominam czytelnikowi, że dowód należy rygorystycznie odróżniać od założenia wstępnego i interpretacji.</w:t>
      </w:r>
    </w:p>
  </w:footnote>
  <w:footnote w:id="342">
    <w:p>
      <w:pPr>
        <w:pStyle w:val="FootnoteText"/>
      </w:pPr>
      <w:r>
        <w:rPr>
          <w:rStyle w:val="FootnoteReference"/>
        </w:rPr>
        <w:footnoteRef/>
      </w:r>
      <w:r>
        <w:t xml:space="preserve"> </w:t>
      </w:r>
      <w:r>
        <w:t xml:space="preserve">Byłoby to prawdą dla tekstu archetypalnego każdej grupy 70-80 manuskryptów lub nawet mniejszej. Tym bardziej, jeśli archetyp jest Autografem.</w:t>
      </w:r>
    </w:p>
  </w:footnote>
  <w:footnote w:id="346">
    <w:p>
      <w:pPr>
        <w:pStyle w:val="FootnoteText"/>
      </w:pPr>
      <w:r>
        <w:rPr>
          <w:rStyle w:val="FootnoteReference"/>
        </w:rPr>
        <w:footnoteRef/>
      </w:r>
      <w:r>
        <w:t xml:space="preserve"> </w:t>
      </w:r>
      <w:r>
        <w:t xml:space="preserve">W rzeczy samej, dla Listu Jakuba redaktorzy uwzględnili 70 manuskryptów, które sklasyfikowali jako bizantyjskie, lecz dla 1 Listu Piotra zmniejszyli tę liczbę do 51, a dla 2 Listu Piotra do 44. Dla 1 Listu Jana zmniejszono ją do 41 — można by dojść do wniosku, że Barbara była jeszcze bardziej radykalna niż Kurt w swojej pogardzie dla manuskryptów bizantyjskich.</w:t>
      </w:r>
    </w:p>
  </w:footnote>
  <w:footnote w:id="347">
    <w:p>
      <w:pPr>
        <w:pStyle w:val="FootnoteText"/>
      </w:pPr>
      <w:r>
        <w:rPr>
          <w:rStyle w:val="FootnoteReference"/>
        </w:rPr>
        <w:footnoteRef/>
      </w:r>
      <w:r>
        <w:t xml:space="preserve"> </w:t>
      </w:r>
      <w:r>
        <w:t xml:space="preserve">Rozumiem, że ktoś może powiedzieć: „Chwileczkę, na jakiej podstawie mówi pan, że wszystkie te niezależne manuskrypty reprezentują linie przekazu?”. Otóż poświadczane przez nie odczyty nie są tego rodzaju, by kopista wymyślił je z własnej inicjatywy. Jeśli kopista go nie wymyślił, odczyt znajdował się w jego egzemplarzu. Jeśli odczyt znajdował się w jego egzemplarzu, mamy linię przekazu. Aby spróbować ocenić długość „linii” oraz wszelkie relacje między nimi, potrzebujemy pełnych kolacjonowań znacznie większej liczby manuskryptów.</w:t>
      </w:r>
    </w:p>
  </w:footnote>
  <w:footnote w:id="349">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w:t>
      </w:r>
    </w:p>
  </w:footnote>
  <w:footnote w:id="355">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356">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357">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 1987), tomy 9 i 11.</w:t>
      </w:r>
    </w:p>
  </w:footnote>
  <w:footnote w:id="359">
    <w:p>
      <w:pPr>
        <w:pStyle w:val="FootnoteText"/>
      </w:pPr>
      <w:r>
        <w:rPr>
          <w:rStyle w:val="FootnoteReference"/>
        </w:rPr>
        <w:footnoteRef/>
      </w:r>
      <w:r>
        <w:t xml:space="preserve"> </w:t>
      </w:r>
      <w:r>
        <w:t xml:space="preserve">Dla progu 95% tracimy kolejnych 35 manuskryptów, 385 ÷ 525 daje 73%. 75% manuskryptów odzwierciedla bardzo silną zgodność, a mimo to większość ma prywatne profile.</w:t>
      </w:r>
    </w:p>
  </w:footnote>
  <w:footnote w:id="360">
    <w:p>
      <w:pPr>
        <w:pStyle w:val="FootnoteText"/>
      </w:pPr>
      <w:r>
        <w:rPr>
          <w:rStyle w:val="FootnoteReference"/>
        </w:rPr>
        <w:footnoteRef/>
      </w:r>
      <w:r>
        <w:t xml:space="preserve"> </w:t>
      </w:r>
      <w:r>
        <w:t xml:space="preserve">K. Lake, R.P. Blake i Silva New, „The Caesarean Text of the Gospel of Mark”,</w:t>
      </w:r>
      <w:r>
        <w:t xml:space="preserve"> </w:t>
      </w:r>
      <w:r>
        <w:rPr>
          <w:iCs/>
          <w:i/>
        </w:rPr>
        <w:t xml:space="preserve">Harvard Theological Review</w:t>
      </w:r>
      <w:r>
        <w:t xml:space="preserve"> </w:t>
      </w:r>
      <w:r>
        <w:t xml:space="preserve">XXI (1928), s. 348-349.</w:t>
      </w:r>
    </w:p>
  </w:footnote>
  <w:footnote w:id="361">
    <w:p>
      <w:pPr>
        <w:pStyle w:val="FootnoteText"/>
      </w:pPr>
      <w:r>
        <w:rPr>
          <w:rStyle w:val="FootnoteReference"/>
        </w:rPr>
        <w:footnoteRef/>
      </w:r>
      <w:r>
        <w:t xml:space="preserve"> </w:t>
      </w:r>
      <w:r>
        <w:t xml:space="preserve">Osobiście odwiedziłem półwysep góry Athos w 2014 roku i mogę zagwarantować, że istnieje tam dwadzieścia niezależnych klasztorów oraz pewna liczba podporządkowanych.</w:t>
      </w:r>
    </w:p>
  </w:footnote>
  <w:footnote w:id="362">
    <w:p>
      <w:pPr>
        <w:pStyle w:val="FootnoteText"/>
      </w:pPr>
      <w:r>
        <w:rPr>
          <w:rStyle w:val="FootnoteReference"/>
        </w:rPr>
        <w:footnoteRef/>
      </w:r>
      <w:r>
        <w:t xml:space="preserve"> </w:t>
      </w:r>
      <w:r>
        <w:rPr>
          <w:iCs/>
          <w:i/>
        </w:rPr>
        <w:t xml:space="preserve">TuT</w:t>
      </w:r>
      <w:r>
        <w:t xml:space="preserve"> </w:t>
      </w:r>
      <w:r>
        <w:t xml:space="preserve">wymienia po jednym manuskrypcie dla Andreas i Dimitriu, lecz ich nie skolacjonował. Esfigmenu ma dodatkowe trzy manuskrypty, których nie skolacjonowano.</w:t>
      </w:r>
    </w:p>
  </w:footnote>
  <w:footnote w:id="364">
    <w:p>
      <w:pPr>
        <w:pStyle w:val="FootnoteText"/>
      </w:pPr>
      <w:r>
        <w:rPr>
          <w:rStyle w:val="FootnoteReference"/>
        </w:rPr>
        <w:footnoteRef/>
      </w:r>
      <w:r>
        <w:t xml:space="preserve"> </w:t>
      </w:r>
      <w:r>
        <w:t xml:space="preserve">Uważam wysoki współczynnik „chaotyczności” za cechę definiującą „aleksandryjskość”.</w:t>
      </w:r>
    </w:p>
  </w:footnote>
  <w:footnote w:id="365">
    <w:p>
      <w:pPr>
        <w:pStyle w:val="FootnoteText"/>
      </w:pPr>
      <w:r>
        <w:rPr>
          <w:rStyle w:val="FootnoteReference"/>
        </w:rPr>
        <w:footnoteRef/>
      </w:r>
      <w:r>
        <w:t xml:space="preserve"> </w:t>
      </w:r>
      <w:r>
        <w:rPr>
          <w:iCs/>
          <w:i/>
        </w:rPr>
        <w:t xml:space="preserve">TuT</w:t>
      </w:r>
      <w:r>
        <w:t xml:space="preserve"> </w:t>
      </w:r>
      <w:r>
        <w:t xml:space="preserve">uwzględnia dwa fragmenty uncjalne z VI wieku: 0285 ma jeden odczyt (spośród 98), a 0296 dwa. Tak skąpa podstawa pozwala nam jedynie zgadywać, że nie są bizantyjskie.</w:t>
      </w:r>
    </w:p>
  </w:footnote>
  <w:footnote w:id="366">
    <w:p>
      <w:pPr>
        <w:pStyle w:val="FootnoteText"/>
      </w:pPr>
      <w:r>
        <w:rPr>
          <w:rStyle w:val="FootnoteReference"/>
        </w:rPr>
        <w:footnoteRef/>
      </w:r>
      <w:r>
        <w:t xml:space="preserve"> </w:t>
      </w:r>
      <w:r>
        <w:t xml:space="preserve">Oczywiście Alef znajduje się obecnie w Londynie, lecz stał się zachowanym manuskryptem na Synaju, do dziś mnisi w klasztorze św. Katarzyny nazywają Tischendorfa „złodziejem”.</w:t>
      </w:r>
    </w:p>
  </w:footnote>
  <w:footnote w:id="367">
    <w:p>
      <w:pPr>
        <w:pStyle w:val="FootnoteText"/>
      </w:pPr>
      <w:r>
        <w:rPr>
          <w:rStyle w:val="FootnoteReference"/>
        </w:rPr>
        <w:footnoteRef/>
      </w:r>
      <w:r>
        <w:t xml:space="preserve"> </w:t>
      </w:r>
      <w:r>
        <w:t xml:space="preserve">Trzy ostatnie manuskrypty mają bardzo odmienne profile.</w:t>
      </w:r>
    </w:p>
  </w:footnote>
  <w:footnote w:id="368">
    <w:p>
      <w:pPr>
        <w:pStyle w:val="FootnoteText"/>
      </w:pPr>
      <w:r>
        <w:rPr>
          <w:rStyle w:val="FootnoteReference"/>
        </w:rPr>
        <w:footnoteRef/>
      </w:r>
      <w:r>
        <w:t xml:space="preserve"> </w:t>
      </w:r>
      <w:r>
        <w:t xml:space="preserve">Zauważ, że żaden manuskrypt nie osiąga doskonałego wyniku 87 dla LESART 1, a tylko cztery osiągają doskonały wynik 11 dla LESART 1/2.</w:t>
      </w:r>
    </w:p>
  </w:footnote>
  <w:footnote w:id="369">
    <w:p>
      <w:pPr>
        <w:pStyle w:val="FootnoteText"/>
      </w:pPr>
      <w:r>
        <w:rPr>
          <w:rStyle w:val="FootnoteReference"/>
        </w:rPr>
        <w:footnoteRef/>
      </w:r>
      <w:r>
        <w:t xml:space="preserve"> </w:t>
      </w:r>
      <w:r>
        <w:t xml:space="preserve">Pamiętaj, że patrzymy tylko na 98 zestawów wariantów — gdybyśmy mieli pełne kolacjonowania siedmiu ksiąg, niemal pewne jest, że żadne dwa manuskrypty nie byłyby identyczne (ze wszystkich źródeł), być może dla jednej księgi, im mniejszej, tym lepiej, można by znaleźć kilka. (Napisałem powyższe w 2004 roku, gdy dopiero zaczynałem naprawdę zwracać uwagę na</w:t>
      </w:r>
      <w:r>
        <w:t xml:space="preserve"> </w:t>
      </w:r>
      <w:r>
        <w:rPr>
          <w:bCs/>
          <w:b/>
        </w:rPr>
        <w:t xml:space="preserve">f</w:t>
      </w:r>
      <w:r>
        <w:rPr>
          <w:vertAlign w:val="superscript"/>
          <w:bCs/>
          <w:b/>
        </w:rPr>
        <w:t xml:space="preserve">35</w:t>
      </w:r>
      <w:r>
        <w:t xml:space="preserve"> </w:t>
      </w:r>
      <w:r>
        <w:t xml:space="preserve">— w rzeczywistości w obrębie</w:t>
      </w:r>
      <w:r>
        <w:t xml:space="preserve"> </w:t>
      </w:r>
      <w:r>
        <w:rPr>
          <w:u w:val="single"/>
        </w:rPr>
        <w:t xml:space="preserve">tej rodziny, biorąc pod uwagę tylko manuskrypty, które sam skolacjonowałem, możemy powiedzieć, co następuje</w:t>
      </w:r>
      <w:r>
        <w:t xml:space="preserve">: mam kopie trzydziestu identycznych manuskryptów zarówno dla 2, jak i 3 Listu Jana [nie są to identyczne listy], dwudziestu dziewięciu dla Listu do Filemona, dwudziestu dwóch dla Listu Judy, piętnastu dla 2 Listu do Tesaloniczan, dziewięciu dla Listu do Tytusa, po sześć dla Listu do Galacjan, Listu do Kolosan i 1 Listu do Tesaloniczan, po pięć dla Listu do Filipian i 2 Listu Piotra, po cztery dla Listu do Efezjan, Listu Jakuba i 1 Listu Jana, po trzy dla 2 Listu do Tymoteusza i 1 Listu Piotra oraz po dwa dla Listu do Rzymian i 1 Listu do Tymoteusza. W każdym przypadku nie jest to ten sam wybór manuskryptów, a pochodzą one ze wszystkich stron). Poza</w:t>
      </w:r>
      <w:r>
        <w:t xml:space="preserve"> </w:t>
      </w:r>
      <w:r>
        <w:rPr>
          <w:bCs/>
          <w:b/>
        </w:rPr>
        <w:t xml:space="preserve">f</w:t>
      </w:r>
      <w:r>
        <w:rPr>
          <w:vertAlign w:val="superscript"/>
          <w:bCs/>
          <w:b/>
        </w:rPr>
        <w:t xml:space="preserve">35</w:t>
      </w:r>
      <w:r>
        <w:t xml:space="preserve"> </w:t>
      </w:r>
      <w:r>
        <w:t xml:space="preserve">nadal zdziwiłbym się, gdybym znalazł identyczne kopie jakiejkolwiek księgi mającej ponad trzy rozdziały.</w:t>
      </w:r>
    </w:p>
  </w:footnote>
  <w:footnote w:id="370">
    <w:p>
      <w:pPr>
        <w:pStyle w:val="FootnoteText"/>
      </w:pPr>
      <w:r>
        <w:rPr>
          <w:rStyle w:val="FootnoteReference"/>
        </w:rPr>
        <w:footnoteRef/>
      </w:r>
      <w:r>
        <w:t xml:space="preserve"> </w:t>
      </w:r>
      <w:r>
        <w:t xml:space="preserve">Jednak przez stulecia ponad dziesięć osób próbowało go poprawiać, wiedziały więc, że tam był. 1243 i 1241 są niemal równie złe, a sporządzono je odpowiednio w XI i XII wieku.</w:t>
      </w:r>
    </w:p>
  </w:footnote>
  <w:footnote w:id="372">
    <w:p>
      <w:pPr>
        <w:pStyle w:val="FootnoteText"/>
      </w:pPr>
      <w:r>
        <w:rPr>
          <w:rStyle w:val="FootnoteReference"/>
        </w:rPr>
        <w:footnoteRef/>
      </w:r>
      <w:r>
        <w:t xml:space="preserve"> </w:t>
      </w:r>
      <w:r>
        <w:t xml:space="preserve">Ponownie przypominam czytelnikowi, że patrzymy tylko na 98 zestawów wariantów — gdybyśmy mieli pełne kolacjonowania siedmiu ksiąg, niemal pewne jest, że żadne dwa manuskrypty nie byłyby identyczne (dla siedmiu ksiąg, mam identyczne kopie jednej księgi). Przy pełnych kolacjonowaniach tych pięć bez wątpienia również okaże się odrębnych. (Skolacjonowawszy obecnie 43 manuskrypty Rodziny 35 dla siedmiu Listów Ogólnych, mam dwa, które są doskonałe we wszystkich siedmiu księgach, a cztery egzemplarze mogły być takie — pochodzą z różnych miejsc).</w:t>
      </w:r>
    </w:p>
  </w:footnote>
  <w:footnote w:id="375">
    <w:p>
      <w:pPr>
        <w:pStyle w:val="FootnoteText"/>
      </w:pPr>
      <w:r>
        <w:rPr>
          <w:rStyle w:val="FootnoteReference"/>
        </w:rPr>
        <w:footnoteRef/>
      </w:r>
      <w:r>
        <w:t xml:space="preserve"> </w:t>
      </w:r>
      <w:r>
        <w:t xml:space="preserve">Zobacz wyżej „Datowanie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 (Zobacz także „O tekście</w:t>
      </w:r>
      <w:r>
        <w:t xml:space="preserve"> </w:t>
      </w:r>
      <w:r>
        <w:rPr>
          <w:iCs/>
          <w:i/>
        </w:rPr>
        <w:t xml:space="preserve">Pericope Adulterae</w:t>
      </w:r>
      <w:r>
        <w:t xml:space="preserve">” w części II).</w:t>
      </w:r>
    </w:p>
  </w:footnote>
  <w:footnote w:id="378">
    <w:p>
      <w:pPr>
        <w:pStyle w:val="FootnoteText"/>
      </w:pPr>
      <w:r>
        <w:rPr>
          <w:rStyle w:val="FootnoteReference"/>
        </w:rPr>
        <w:footnoteRef/>
      </w:r>
      <w:r>
        <w:t xml:space="preserve"> </w:t>
      </w:r>
      <w:r>
        <w:t xml:space="preserve">Odkładając na bok odczyty singularne, ponad 50% słów w Tekście będzie miało 100% poświadczenia, 80% słów będzie miało ponad 95% poświadczenia, 90% słów będzie miało ponad 90% poświadczenia, tylko w przypadku około 2% słów poświadczenie spadnie poniżej 80%. Uważam</w:t>
      </w:r>
      <w:r>
        <w:t xml:space="preserve"> </w:t>
      </w:r>
      <w:r>
        <w:rPr>
          <w:bCs/>
          <w:b/>
        </w:rPr>
        <w:t xml:space="preserve">f</w:t>
      </w:r>
      <w:r>
        <w:rPr>
          <w:vertAlign w:val="superscript"/>
          <w:bCs/>
          <w:b/>
        </w:rPr>
        <w:t xml:space="preserve">35</w:t>
      </w:r>
      <w:r>
        <w:t xml:space="preserve"> </w:t>
      </w:r>
      <w:r>
        <w:t xml:space="preserve">za podstawę, od której odeszły, w takim lub innym stopniu, wszystkie inne strumienie przekazu, dlatego ogólnie rzecz biorąc, większość bizantyjska pozostała przy</w:t>
      </w:r>
      <w:r>
        <w:t xml:space="preserve"> </w:t>
      </w:r>
      <w:r>
        <w:rPr>
          <w:bCs/>
          <w:b/>
        </w:rPr>
        <w:t xml:space="preserve">f</w:t>
      </w:r>
      <w:r>
        <w:rPr>
          <w:vertAlign w:val="superscript"/>
          <w:bCs/>
          <w:b/>
        </w:rPr>
        <w:t xml:space="preserve">35</w:t>
      </w:r>
      <w:r>
        <w:t xml:space="preserve">. Wynika z tego, że wykaz obejmuje jedynie przypadki, w których istnieje poważny podział w obrębie większości bizantyjskiej albo w których</w:t>
      </w:r>
      <w:r>
        <w:t xml:space="preserve"> </w:t>
      </w:r>
      <w:r>
        <w:rPr>
          <w:bCs/>
          <w:b/>
        </w:rPr>
        <w:t xml:space="preserve">f</w:t>
      </w:r>
      <w:r>
        <w:rPr>
          <w:vertAlign w:val="superscript"/>
          <w:bCs/>
          <w:b/>
        </w:rPr>
        <w:t xml:space="preserve">35</w:t>
      </w:r>
      <w:r>
        <w:t xml:space="preserve"> </w:t>
      </w:r>
      <w:r>
        <w:t xml:space="preserve">występuje samotnie (lub niemal samotnie) przeciwko tej większości.</w:t>
      </w:r>
    </w:p>
  </w:footnote>
  <w:footnote w:id="379">
    <w:p>
      <w:pPr>
        <w:pStyle w:val="FootnoteText"/>
      </w:pPr>
      <w:r>
        <w:rPr>
          <w:rStyle w:val="FootnoteReference"/>
        </w:rPr>
        <w:footnoteRef/>
      </w:r>
      <w:r>
        <w:t xml:space="preserve"> </w:t>
      </w:r>
      <w:r>
        <w:t xml:space="preserve">Na potrzeby tej części używam</w:t>
      </w:r>
      <w:r>
        <w:t xml:space="preserve"> </w:t>
      </w:r>
      <w:r>
        <w:rPr>
          <w:bCs/>
          <w:b/>
        </w:rPr>
        <w:t xml:space="preserve">K</w:t>
      </w:r>
      <w:r>
        <w:rPr>
          <w:vertAlign w:val="superscript"/>
          <w:bCs/>
          <w:b/>
        </w:rPr>
        <w:t xml:space="preserve">x</w:t>
      </w:r>
      <w:r>
        <w:t xml:space="preserve"> </w:t>
      </w:r>
      <w:r>
        <w:t xml:space="preserve">jako oznaczenia większości bizantyjskiej.</w:t>
      </w:r>
    </w:p>
  </w:footnote>
  <w:footnote w:id="380">
    <w:p>
      <w:pPr>
        <w:pStyle w:val="FootnoteText"/>
      </w:pPr>
      <w:r>
        <w:rPr>
          <w:rStyle w:val="FootnoteReference"/>
        </w:rPr>
        <w:footnoteRef/>
      </w:r>
      <w:r>
        <w:t xml:space="preserve"> </w:t>
      </w:r>
      <w:r>
        <w:t xml:space="preserve">Ponieważ</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różni się od</w:t>
      </w:r>
      <w:r>
        <w:t xml:space="preserve"> </w:t>
      </w:r>
      <w:r>
        <w:rPr>
          <w:bCs/>
          <w:b/>
        </w:rPr>
        <w:t xml:space="preserve">K</w:t>
      </w:r>
      <w:r>
        <w:rPr>
          <w:vertAlign w:val="superscript"/>
          <w:bCs/>
          <w:b/>
        </w:rPr>
        <w:t xml:space="preserve">x</w:t>
      </w:r>
      <w:r>
        <w:t xml:space="preserve">, jej 20% trzeba odjąć od 60%, co pozostawia równy podział w</w:t>
      </w:r>
      <w:r>
        <w:t xml:space="preserve"> </w:t>
      </w:r>
      <w:r>
        <w:rPr>
          <w:bCs/>
          <w:b/>
        </w:rPr>
        <w:t xml:space="preserve">K</w:t>
      </w:r>
      <w:r>
        <w:rPr>
          <w:vertAlign w:val="superscript"/>
          <w:bCs/>
          <w:b/>
        </w:rPr>
        <w:t xml:space="preserve">x</w:t>
      </w:r>
      <w:r>
        <w:t xml:space="preserve">.</w:t>
      </w:r>
    </w:p>
  </w:footnote>
  <w:footnote w:id="381">
    <w:p>
      <w:pPr>
        <w:pStyle w:val="FootnoteText"/>
      </w:pPr>
      <w:r>
        <w:rPr>
          <w:rStyle w:val="FootnoteReference"/>
        </w:rPr>
        <w:footnoteRef/>
      </w:r>
      <w:r>
        <w:t xml:space="preserve"> </w:t>
      </w:r>
      <w:r>
        <w:t xml:space="preserve">Jeśli wszystkie manuskrypty zostaną kiedyś skolacjonowane, mogą wyłonić się pewne mniejsze grupy (w przedziale 5%-10%) z obiektywnie określonym archetypem, lecz bardzo wątpię, by istniała większość manuskryptów mających jeden archetyp, podobnie jak w Objawieniu Jana, gdzie po prostu nie ma</w:t>
      </w:r>
      <w:r>
        <w:t xml:space="preserve"> </w:t>
      </w:r>
      <w:r>
        <w:rPr>
          <w:bCs/>
          <w:b/>
        </w:rPr>
        <w:t xml:space="preserve">K</w:t>
      </w:r>
      <w:r>
        <w:rPr>
          <w:vertAlign w:val="superscript"/>
          <w:bCs/>
          <w:b/>
        </w:rPr>
        <w:t xml:space="preserve">x</w:t>
      </w:r>
      <w:r>
        <w:t xml:space="preserve"> </w:t>
      </w:r>
      <w:r>
        <w:t xml:space="preserve">(istnieje natomiast obiektywnie określona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footnote>
  <w:footnote w:id="38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IV (1957-1958), s. 86-87. W istocie powiedział: „Wyniki te przekonująco pokazują, że każda próba rekonstrukcji archetypu typu tekstu Beta (aleksandryjskiego) na podstawie ilościowej jest skazana na niepowodzenie. Tak zrekonstruowany tekst nie jest zrekonstruowany, lecz skonstruowany, jest sztucznym tworem, który nigdy nie istniał”. (Amen!)</w:t>
      </w:r>
    </w:p>
  </w:footnote>
  <w:footnote w:id="383">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1967), s. 55, 64. Mówią o „fantomowym «tekście zachodnim»”.</w:t>
      </w:r>
    </w:p>
  </w:footnote>
  <w:footnote w:id="386">
    <w:p>
      <w:pPr>
        <w:pStyle w:val="FootnoteText"/>
      </w:pPr>
      <w:r>
        <w:rPr>
          <w:rStyle w:val="FootnoteReference"/>
        </w:rPr>
        <w:footnoteRef/>
      </w:r>
      <w:r>
        <w:t xml:space="preserve"> </w:t>
      </w:r>
      <w:r>
        <w:t xml:space="preserve">Burgon,</w:t>
      </w:r>
      <w:r>
        <w:t xml:space="preserve"> </w:t>
      </w:r>
      <w:r>
        <w:rPr>
          <w:iCs/>
          <w:i/>
        </w:rPr>
        <w:t xml:space="preserve">The Traditional Text of the Holy Gospels Vindicated and Established</w:t>
      </w:r>
      <w:r>
        <w:t xml:space="preserve">, opracował, uzupełnił i zredagował Edward Miller (Londyn: George Bell and Sons, 1986), s. 84.</w:t>
      </w:r>
    </w:p>
  </w:footnote>
  <w:footnote w:id="387">
    <w:p>
      <w:pPr>
        <w:pStyle w:val="FootnoteText"/>
      </w:pPr>
      <w:r>
        <w:rPr>
          <w:rStyle w:val="FootnoteReference"/>
        </w:rPr>
        <w:footnoteRef/>
      </w:r>
      <w:r>
        <w:t xml:space="preserve"> </w:t>
      </w:r>
      <w:r>
        <w:t xml:space="preserve">P</w:t>
      </w:r>
      <w:r>
        <w:rPr>
          <w:vertAlign w:val="superscript"/>
        </w:rPr>
        <w:t xml:space="preserve">23</w:t>
      </w:r>
      <w:r>
        <w:t xml:space="preserve">, 0173 i 0246, wszystkie fragmentaryczne, są również cytowane w moim aparacie, lecz nigdy nie zgadzają się z</w:t>
      </w:r>
      <w:r>
        <w:t xml:space="preserve"> </w:t>
      </w:r>
      <w:r>
        <w:rPr>
          <w:bCs/>
          <w:b/>
        </w:rPr>
        <w:t xml:space="preserve">f</w:t>
      </w:r>
      <w:r>
        <w:rPr>
          <w:vertAlign w:val="superscript"/>
          <w:bCs/>
          <w:b/>
        </w:rPr>
        <w:t xml:space="preserve">35</w:t>
      </w:r>
      <w:r>
        <w:t xml:space="preserve"> </w:t>
      </w:r>
      <w:r>
        <w:t xml:space="preserve">przeciwko pozostałym.</w:t>
      </w:r>
    </w:p>
  </w:footnote>
  <w:footnote w:id="390">
    <w:p>
      <w:pPr>
        <w:pStyle w:val="FootnoteText"/>
      </w:pPr>
      <w:r>
        <w:rPr>
          <w:rStyle w:val="FootnoteReference"/>
        </w:rPr>
        <w:footnoteRef/>
      </w:r>
      <w:r>
        <w:t xml:space="preserve"> </w:t>
      </w:r>
      <w:r>
        <w:rPr>
          <w:iCs/>
          <w:i/>
        </w:rPr>
        <w:t xml:space="preserve">Editio Critica Maior</w:t>
      </w:r>
      <w:r>
        <w:t xml:space="preserve">, The Institute for New Testament Textual Research, red. (Stuttgart: Deutsche Bibelgesellschaft, 1997), tom IV, Listy Ogólne.</w:t>
      </w:r>
    </w:p>
  </w:footnote>
  <w:footnote w:id="392">
    <w:p>
      <w:pPr>
        <w:pStyle w:val="FootnoteText"/>
      </w:pPr>
      <w:r>
        <w:rPr>
          <w:rStyle w:val="FootnoteReference"/>
        </w:rPr>
        <w:footnoteRef/>
      </w:r>
      <w:r>
        <w:t xml:space="preserve"> </w:t>
      </w:r>
      <w:r>
        <w:rPr>
          <w:iCs/>
          <w:i/>
        </w:rPr>
        <w:t xml:space="preserve">ECM</w:t>
      </w:r>
      <w:r>
        <w:t xml:space="preserve"> </w:t>
      </w:r>
      <w:r>
        <w:t xml:space="preserve">wymienia wprawdzie dwa jako bizantyjskie (254, 1827), lecz porównanie ich z</w:t>
      </w:r>
      <w:r>
        <w:t xml:space="preserve"> </w:t>
      </w:r>
      <w:r>
        <w:rPr>
          <w:iCs/>
          <w:i/>
        </w:rPr>
        <w:t xml:space="preserve">TuT</w:t>
      </w:r>
      <w:r>
        <w:t xml:space="preserve"> </w:t>
      </w:r>
      <w:r>
        <w:t xml:space="preserve">pokazuje, że w Liście Jakuba nie przekraczają progu 80%.</w:t>
      </w:r>
    </w:p>
  </w:footnote>
  <w:footnote w:id="393">
    <w:p>
      <w:pPr>
        <w:pStyle w:val="FootnoteText"/>
      </w:pPr>
      <w:r>
        <w:rPr>
          <w:rStyle w:val="FootnoteReference"/>
        </w:rPr>
        <w:footnoteRef/>
      </w:r>
      <w:r>
        <w:t xml:space="preserve"> </w:t>
      </w:r>
      <w:r>
        <w:t xml:space="preserve">Ten powracający refren: „moim zdaniem jest najprawdopodobniej oryginalny”, pochodzi z czasu, gdy rozpoczynałem pracę nad Rodziną 35. Na podstawie dowodów, które od tamtej pory zgromadziłem, twierdzę obecnie, że odczyty Rodziny 35 są z pewnością oryginalne.</w:t>
      </w:r>
    </w:p>
  </w:footnote>
  <w:footnote w:id="401">
    <w:p>
      <w:pPr>
        <w:pStyle w:val="FootnoteText"/>
      </w:pPr>
      <w:r>
        <w:rPr>
          <w:rStyle w:val="FootnoteReference"/>
        </w:rPr>
        <w:footnoteRef/>
      </w:r>
      <w:r>
        <w:t xml:space="preserve"> </w:t>
      </w:r>
      <w:r>
        <w:t xml:space="preserve">G.D. Kilpatrick, „Atticism and the Text of the Greek New Testament”,</w:t>
      </w:r>
      <w:r>
        <w:t xml:space="preserve"> </w:t>
      </w:r>
      <w:r>
        <w:rPr>
          <w:iCs/>
          <w:i/>
        </w:rPr>
        <w:t xml:space="preserve">Neutestamentliche Aufsätze</w:t>
      </w:r>
      <w:r>
        <w:t xml:space="preserve"> </w:t>
      </w:r>
      <w:r>
        <w:t xml:space="preserve">(Regensburg: Verlag Friedrich Pustet, 1963), s. 129-130.</w:t>
      </w:r>
    </w:p>
  </w:footnote>
  <w:footnote w:id="406">
    <w:p>
      <w:pPr>
        <w:pStyle w:val="FootnoteText"/>
      </w:pPr>
      <w:r>
        <w:rPr>
          <w:rStyle w:val="FootnoteReference"/>
        </w:rPr>
        <w:footnoteRef/>
      </w:r>
      <w:r>
        <w:t xml:space="preserve"> </w:t>
      </w:r>
      <w:r>
        <w:t xml:space="preserve">Obecność centuriona w Kafarnaum oznacza, że stacjonowali tam rzymscy żołnierze. Ta rzymska placówka była bez wątpienia najważniejszym odbiorcą ryb w mieście. Kontakty z żołnierzami przypuszczalnie odbywały się po grecku, mieli więc podstawy.</w:t>
      </w:r>
    </w:p>
  </w:footnote>
  <w:footnote w:id="433">
    <w:p>
      <w:pPr>
        <w:pStyle w:val="FootnoteText"/>
      </w:pPr>
      <w:r>
        <w:rPr>
          <w:rStyle w:val="FootnoteReference"/>
        </w:rPr>
        <w:footnoteRef/>
      </w:r>
      <w:r>
        <w:t xml:space="preserve"> </w:t>
      </w:r>
      <w:r>
        <w:t xml:space="preserve">Przypominam czytelnikowi, że manuskrypty bizantyjskie określam dla każdej księgi oddzielnie, porównując</w:t>
      </w:r>
      <w:r>
        <w:t xml:space="preserve"> </w:t>
      </w:r>
      <w:r>
        <w:rPr>
          <w:iCs/>
          <w:i/>
        </w:rPr>
        <w:t xml:space="preserve">ECM</w:t>
      </w:r>
      <w:r>
        <w:t xml:space="preserve"> </w:t>
      </w:r>
      <w:r>
        <w:t xml:space="preserve">z</w:t>
      </w:r>
      <w:r>
        <w:t xml:space="preserve"> </w:t>
      </w:r>
      <w:r>
        <w:rPr>
          <w:iCs/>
          <w:i/>
        </w:rPr>
        <w:t xml:space="preserve">TuT</w:t>
      </w:r>
      <w:r>
        <w:t xml:space="preserve">, lecz profil biorę ze wszystkich siedmiu Listów Ogólnych na podstawie</w:t>
      </w:r>
      <w:r>
        <w:t xml:space="preserve"> </w:t>
      </w:r>
      <w:r>
        <w:rPr>
          <w:iCs/>
          <w:i/>
        </w:rPr>
        <w:t xml:space="preserve">TuT</w:t>
      </w:r>
      <w:r>
        <w:t xml:space="preserve">.</w:t>
      </w:r>
    </w:p>
  </w:footnote>
  <w:footnote w:id="440">
    <w:p>
      <w:pPr>
        <w:pStyle w:val="FootnoteText"/>
      </w:pPr>
      <w:r>
        <w:rPr>
          <w:rStyle w:val="FootnoteReference"/>
        </w:rPr>
        <w:footnoteRef/>
      </w:r>
      <w:r>
        <w:t xml:space="preserve"> </w:t>
      </w:r>
      <w:r>
        <w:t xml:space="preserve">Są tacy, którzy lubią argumentować, że żadnej z ksiąg nie napisał wskazany autor, że są one falsyfikatami, wynikiem działalności redakcyjnej rozciągniętej na dziesięciolecia (jeśli nie stulecia). Oczywiście nie było ich tam i nie wiedzą, co naprawdę się wydarzyło, nie powstrzymuje ich to jednak od wygłaszania autorytatywnych sądów.</w:t>
      </w:r>
    </w:p>
  </w:footnote>
  <w:footnote w:id="441">
    <w:p>
      <w:pPr>
        <w:pStyle w:val="FootnoteText"/>
      </w:pPr>
      <w:r>
        <w:rPr>
          <w:rStyle w:val="FootnoteReference"/>
        </w:rPr>
        <w:footnoteRef/>
      </w:r>
      <w:r>
        <w:t xml:space="preserve"> </w:t>
      </w:r>
      <w:r>
        <w:t xml:space="preserve">Prawdopodobnie żadne dwa manuskrypty łacińskiej Wulgaty również nie są identyczne, lecz nie to było przedmiotem sporu. Istotnie, o ile mi wiadomo, nie istnieje sposób ustalenia w każdym szczególe, jakie mogły być oryginalne sformułowania łacińskiej Wulgaty.</w:t>
      </w:r>
    </w:p>
  </w:footnote>
  <w:footnote w:id="442">
    <w:p>
      <w:pPr>
        <w:pStyle w:val="FootnoteText"/>
      </w:pPr>
      <w:r>
        <w:rPr>
          <w:rStyle w:val="FootnoteReference"/>
        </w:rPr>
        <w:footnoteRef/>
      </w:r>
      <w:r>
        <w:t xml:space="preserve"> </w:t>
      </w:r>
      <w:r>
        <w:t xml:space="preserve">Rodzina 35, będąca zdecydowanie największą i najbardziej spójną grupą manuskryptów o możliwym do wykazania archetypie, była słabo reprezentowana w bibliotekach Europy Zachodniej. Zresztą bardzo niewiele manuskryptów jakiegokolwiek typu tekstu skolacjonowano wystarczająco, by umożliwić prześledzenie historii przekazu. Co gorsza, brak pełnych kolacjonowań uniemożliwiał obalenie błędnej hipotezy w rozsądnym czasie.</w:t>
      </w:r>
    </w:p>
  </w:footnote>
  <w:footnote w:id="443">
    <w:p>
      <w:pPr>
        <w:pStyle w:val="FootnoteText"/>
      </w:pPr>
      <w:r>
        <w:rPr>
          <w:rStyle w:val="FootnoteReference"/>
        </w:rPr>
        <w:footnoteRef/>
      </w:r>
      <w:r>
        <w:t xml:space="preserve"> </w:t>
      </w: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444">
    <w:p>
      <w:pPr>
        <w:pStyle w:val="FootnoteText"/>
      </w:pPr>
      <w:r>
        <w:rPr>
          <w:rStyle w:val="FootnoteReference"/>
        </w:rPr>
        <w:footnoteRef/>
      </w:r>
      <w:r>
        <w:t xml:space="preserve"> </w:t>
      </w:r>
      <w:r>
        <w:t xml:space="preserve">Teoria darwinowska zdawała się szyta na miarę dla tych, którzy chcieli pozbyć się Stwórcy albo jakiegokolwiek wyższego Autorytetu, który mógłby zażądać rozliczenia. „Wyższa krytyka” służyła pozbyciu się autorytatywnego Objawienia, które mogłoby zostać użyte, by zażądać rozliczenia. Buntownicy nie lubią być pociągani do odpowiedzialności.</w:t>
      </w:r>
    </w:p>
  </w:footnote>
  <w:footnote w:id="445">
    <w:p>
      <w:pPr>
        <w:pStyle w:val="FootnoteText"/>
      </w:pPr>
      <w:r>
        <w:rPr>
          <w:rStyle w:val="FootnoteReference"/>
        </w:rPr>
        <w:footnoteRef/>
      </w:r>
      <w:r>
        <w:t xml:space="preserve"> </w:t>
      </w:r>
      <w:r>
        <w:t xml:space="preserve">Odwoływano się do analogii strumienia, według której najczystsza woda byłaby przypuszczalnie najbliżej źródła. W odniesieniu do manuskryptów Nowego Testamentu analogia ta jest jednak błędna i staje się sofizmatem.</w:t>
      </w:r>
    </w:p>
  </w:footnote>
  <w:footnote w:id="446">
    <w:p>
      <w:pPr>
        <w:pStyle w:val="FootnoteText"/>
      </w:pPr>
      <w:r>
        <w:rPr>
          <w:rStyle w:val="FootnoteReference"/>
        </w:rPr>
        <w:footnoteRef/>
      </w:r>
      <w:r>
        <w:t xml:space="preserve"> </w:t>
      </w: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The Identity of the New Testament Text IV</w:t>
      </w:r>
      <w:r>
        <w:t xml:space="preserve">.</w:t>
      </w:r>
    </w:p>
  </w:footnote>
  <w:footnote w:id="447">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448">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choć bez większego znaczenia dla zmarłego).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6,24, 12,30, Ewangelia Łukasza 11,23, 16,13),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449">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450">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 Rozdziały te niewiele różnią się od tego, czym były w 1977 roku. Minęło ponad czterdzieści lat i o ile mi wiadomo, nikt nie obalił mojego rozmontowania teorii Horta. Nie z braku chęci. Obecnie często słyszy się argument, że krytykowanie Horta jest smaganiem martwego konia, ponieważ panującym paradygmatem jest teraz eklektyzm („uzasadniony” lub „rygorystyczny”). Eklektyzm opiera się jednak wprost na tych samych fałszywych założeniach wstępnych, jest zatem równie błędny.</w:t>
      </w:r>
    </w:p>
  </w:footnote>
  <w:footnote w:id="451">
    <w:p>
      <w:pPr>
        <w:pStyle w:val="FootnoteText"/>
      </w:pPr>
      <w:r>
        <w:rPr>
          <w:rStyle w:val="FootnoteReference"/>
        </w:rPr>
        <w:footnoteRef/>
      </w:r>
      <w:r>
        <w:t xml:space="preserve"> </w:t>
      </w:r>
      <w:r>
        <w:t xml:space="preserve">Zawsze był to ulubiony argument wrogów natchnienia, brzmi on następująco: „Gdyby Bóg natchnął tekst, zachowałby go (po co w przeciwnym razie zadawać sobie trud natchnienia). Nie zachował Nowego Testamentu, a zatem go nie natchnął”. Przyznaję, że jestem skłonny zgodzić się z tym logicznym związkiem, tyle że jestem gotów odwrócić sytuację. Uważam, że potrafię wykazać, iż Bóg rzeczywiście zachował Tekst Nowego Testamentu, musiał go zatem natchnąć!</w:t>
      </w:r>
    </w:p>
  </w:footnote>
  <w:footnote w:id="45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(czytaj: „eklektyczny”) odbiega „tylko” w odniesieniu do około 12 000, co stanowi poprawę (choć niewielką). A tak przy okazji, jak mądre jest używanie Nowego Testamentu przygotowanego przez sługę (lub sługi) Szatana? (Z drugiej strony twierdzę, że Bóg zachował oryginalne sformułowania w takim stopniu, że możemy wiedzieć i wiemy, jakie one są).</w:t>
      </w:r>
    </w:p>
  </w:footnote>
  <w:footnote w:id="453">
    <w:p>
      <w:pPr>
        <w:pStyle w:val="FootnoteText"/>
      </w:pPr>
      <w:r>
        <w:rPr>
          <w:rStyle w:val="FootnoteReference"/>
        </w:rPr>
        <w:footnoteRef/>
      </w:r>
      <w:r>
        <w:t xml:space="preserve"> </w:t>
      </w:r>
      <w:r>
        <w:t xml:space="preserve">Nie powinienem jednak być nadmiernie surowy w krytyce Warfielda, nikt inny również nie wiedział, co robić. Okrutnym faktem było to, że istotne dowody nie istniały wówczas w użytecznej postaci. (Wynika z tego, że każda ówczesna obrona boskiego zachowania musiała opierać się na wierze, wierze, że Bóg w swoim czasie dostarczy dowodów). Część szkody wyrządzonej przez teorię Horta wynikała z jej pogardy dla ogromnej masy późniejszych manuskryptów, nie warto było trudzić się ich kolacjonowaniem i badaniem. Ponieważ to właśnie te pogardzane manuskrypty dostarczają niezbędnych dowodów, ów usypiający skutek teorii Horta opóźnił dostępność istotnych dowodów o stulecie. Pamiętam, jak pewnego dnia na zajęciach (w 1957 roku) profesor nabrał powietrza w płuca i z zapałem oznajmił: „Panowie, tam, gdzie zgadzają się B i Alef, macie oryginał”. Biedny człowiek najwyraźniej nigdy nie czytał</w:t>
      </w:r>
      <w:r>
        <w:t xml:space="preserve"> </w:t>
      </w:r>
      <w:r>
        <w:rPr>
          <w:iCs/>
          <w:i/>
        </w:rPr>
        <w:t xml:space="preserve">Codex B and its Allies: A Study and an Indictment</w:t>
      </w:r>
      <w:r>
        <w:t xml:space="preserve"> </w:t>
      </w:r>
      <w:r>
        <w:t xml:space="preserve">Hermana C. Hoskiera (opublikowanego w 1914 roku).</w:t>
      </w:r>
    </w:p>
  </w:footnote>
  <w:footnote w:id="455">
    <w:p>
      <w:pPr>
        <w:pStyle w:val="FootnoteText"/>
      </w:pPr>
      <w:r>
        <w:rPr>
          <w:rStyle w:val="FootnoteReference"/>
        </w:rPr>
        <w:footnoteRef/>
      </w:r>
      <w:r>
        <w:t xml:space="preserve"> </w:t>
      </w:r>
      <w:r>
        <w:t xml:space="preserve">Proszę zauważyć, że nie wystarczy jedynie „zaakceptować” prawdę, wymagane jest, abyśmy ją miłowali. Szatan kusi nas sławą i majątkiem (oczywiście na swoich warunkach), dlatego miłowanie prawdy wymaga determinacji.</w:t>
      </w:r>
    </w:p>
  </w:footnote>
  <w:footnote w:id="456">
    <w:p>
      <w:pPr>
        <w:pStyle w:val="FootnoteText"/>
      </w:pPr>
      <w:r>
        <w:rPr>
          <w:rStyle w:val="FootnoteReference"/>
        </w:rPr>
        <w:footnoteRef/>
      </w:r>
      <w:r>
        <w:t xml:space="preserve"> </w:t>
      </w:r>
      <w:r>
        <w:t xml:space="preserve">Ratunku! „Kłamstwo” jest określeniem dość ogólnym i otwartym. Co się dzieje, jeśli przyjąłem kłamstwo, nie zdając sobie sprawy, że nim było? Tekst nie mówi jednak „przyjmuje”, mówi „miłuje” i „czyni”. Wynika z tego, że dowody przeciwne kłamstwu są dostępne, lecz zostały odrzucone albo celowo zignorowane — osoba ta sprzedała się kłamstwu.</w:t>
      </w:r>
    </w:p>
  </w:footnote>
  <w:footnote w:id="457">
    <w:p>
      <w:pPr>
        <w:pStyle w:val="FootnoteText"/>
      </w:pPr>
      <w:r>
        <w:rPr>
          <w:rStyle w:val="FootnoteReference"/>
        </w:rPr>
        <w:footnoteRef/>
      </w:r>
      <w:r>
        <w:t xml:space="preserve"> </w:t>
      </w:r>
      <w:r>
        <w:t xml:space="preserve">Na poziomie studiów podyplomowych student odpowiada za ocenę tego, czego jest nauczany, jeśli jest to sprzeczne z Tekstem, nie powinien tego przyjmować. Pamiętam, jak pewnego dnia na nabożeństwie akademickim wizytujący uczony wykładał List do Rzymian 10,9. Stwierdził, że grecki Tekst wyraźnie znaczy „Jezusa jako Pana”, po czym próbował wyjaśnić, dlaczego szkoła w to nie wierzy. Jego wysiłek był dość nieudolny, na tyle, że postanowiłem sam zgłębić tę kwestię.</w:t>
      </w:r>
    </w:p>
  </w:footnote>
  <w:footnote w:id="458">
    <w:p>
      <w:pPr>
        <w:pStyle w:val="FootnoteText"/>
      </w:pPr>
      <w:r>
        <w:rPr>
          <w:rStyle w:val="FootnoteReference"/>
        </w:rPr>
        <w:footnoteRef/>
      </w:r>
      <w:r>
        <w:t xml:space="preserve"> </w:t>
      </w:r>
      <w:r>
        <w:t xml:space="preserve">W przypadku starszych, uznanych uczonych istnieje również kwestia pychy i własnego interesu, kto chce przyznać, że przez całe życie zawodowe się mylił? Istnieje też doktryna etyki zawodowej, należy szanować swoich kolegów (szacunek do kolegi przewyższa szacunek do prawdy). (Nie wolno pytać, skąd pochodzi ta doktryna). Jeszcze jedno: jeśli szkoła lub instytucja zależy od zewnętrznego wsparcia finansowego, zagrozi się jej utratą tego wsparcia, jeśli nie będzie trzymać się linii, a od tej pomocy może zależeć samo jej istnienie.</w:t>
      </w:r>
    </w:p>
  </w:footnote>
  <w:footnote w:id="459">
    <w:p>
      <w:pPr>
        <w:pStyle w:val="FootnoteText"/>
      </w:pPr>
      <w:r>
        <w:rPr>
          <w:rStyle w:val="FootnoteReference"/>
        </w:rPr>
        <w:footnoteRef/>
      </w:r>
      <w:r>
        <w:t xml:space="preserve"> </w:t>
      </w:r>
      <w:r>
        <w:t xml:space="preserve">Ponieważ Szatan nieustannie mąci wodę skrajnościami i nadużyciami, potrzebne jest duchowe rozeznanie.</w:t>
      </w:r>
    </w:p>
  </w:footnote>
  <w:footnote w:id="460">
    <w:p>
      <w:pPr>
        <w:pStyle w:val="FootnoteText"/>
      </w:pPr>
      <w:r>
        <w:rPr>
          <w:rStyle w:val="FootnoteReference"/>
        </w:rPr>
        <w:footnoteRef/>
      </w:r>
      <w:r>
        <w:t xml:space="preserve"> </w:t>
      </w:r>
      <w:r>
        <w:t xml:space="preserve">W tej jednej sprawie, niekoniecznie zostaniesz zaślepiony w innych sprawach, przynajmniej nie od razu.</w:t>
      </w:r>
    </w:p>
  </w:footnote>
  <w:footnote w:id="461">
    <w:p>
      <w:pPr>
        <w:pStyle w:val="FootnoteText"/>
      </w:pPr>
      <w:r>
        <w:rPr>
          <w:rStyle w:val="FootnoteReference"/>
        </w:rPr>
        <w:footnoteRef/>
      </w:r>
      <w:r>
        <w:t xml:space="preserve"> </w:t>
      </w:r>
      <w:r>
        <w:t xml:space="preserve">Proszę pamiętać o sekwencji przyczyny i skutku, zaczyna się od odrzucenia miłości prawdy. Nie wystarczy jedynie „zaakceptować” prawdę, trzeba ją miłować. Dla tych, którzy przyjęli kłamstwo, jedynym „lekarstwem” jest powrót do miłości prawdy i odrzucenie kłamstwa. Bóg może wymagać publicznego wyrzeczenia się kłamstwa.</w:t>
      </w:r>
    </w:p>
  </w:footnote>
  <w:footnote w:id="463">
    <w:p>
      <w:pPr>
        <w:pStyle w:val="FootnoteText"/>
      </w:pPr>
      <w:r>
        <w:rPr>
          <w:rStyle w:val="FootnoteReference"/>
        </w:rPr>
        <w:footnoteRef/>
      </w:r>
      <w:r>
        <w:t xml:space="preserve"> </w:t>
      </w:r>
      <w:r>
        <w:t xml:space="preserve">Moje własne potępienie kłamstwa Horta ukazuje się drukiem od 1977 roku i nadal podtrzymuję każde jego słowo.</w:t>
      </w:r>
    </w:p>
  </w:footnote>
  <w:footnote w:id="464">
    <w:p>
      <w:pPr>
        <w:pStyle w:val="FootnoteText"/>
      </w:pPr>
      <w:r>
        <w:rPr>
          <w:rStyle w:val="FootnoteReference"/>
        </w:rPr>
        <w:footnoteRef/>
      </w:r>
      <w:r>
        <w:t xml:space="preserve"> </w:t>
      </w:r>
      <w:r>
        <w:t xml:space="preserve">Do tamtego czasu w użyciu na całym świecie znajdowało się znacznie ponad 10 000 egzemplarzy, które po cichu zmieniały życie ludzi. Co jakiś czas odzywa się ktoś, kto dziękuje mi za książkę, łącznie z niektórymi profesorami greki. Profesorowie ci nie niszczą już wiary swoich studentów. Na poziomie oddolnym coś się porusza, a establishment robi wszystko, by to ignorować. Gdy musi to zauważyć, „zbywa lekceważeniem”, lecz nadchodzi czas, a właściwie już nadszedł, gdy to przestanie działać.</w:t>
      </w:r>
    </w:p>
  </w:footnote>
  <w:footnote w:id="466">
    <w:p>
      <w:pPr>
        <w:pStyle w:val="FootnoteText"/>
      </w:pPr>
      <w:r>
        <w:rPr>
          <w:rStyle w:val="FootnoteReference"/>
        </w:rPr>
        <w:footnoteRef/>
      </w:r>
      <w:r>
        <w:t xml:space="preserve"> </w:t>
      </w:r>
      <w:r>
        <w:t xml:space="preserve">Agnostycyzm jest biernym odrzuceniem, agnostyk nie przyjmuje twierdzenia.</w:t>
      </w:r>
    </w:p>
  </w:footnote>
  <w:footnote w:id="467">
    <w:p>
      <w:pPr>
        <w:pStyle w:val="FootnoteText"/>
      </w:pPr>
      <w:r>
        <w:rPr>
          <w:rStyle w:val="FootnoteReference"/>
        </w:rPr>
        <w:footnoteRef/>
      </w:r>
      <w:r>
        <w:t xml:space="preserve"> </w:t>
      </w:r>
      <w:r>
        <w:t xml:space="preserve">Dobrze wiem, że nie jest to łatwe, dlatego używam słowa „próbować”.</w:t>
      </w:r>
    </w:p>
  </w:footnote>
  <w:footnote w:id="468">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469">
    <w:p>
      <w:pPr>
        <w:pStyle w:val="FootnoteText"/>
      </w:pPr>
      <w:r>
        <w:rPr>
          <w:rStyle w:val="FootnoteReference"/>
        </w:rPr>
        <w:footnoteRef/>
      </w:r>
      <w:r>
        <w:t xml:space="preserve"> </w:t>
      </w:r>
      <w:r>
        <w:t xml:space="preserve">Szersze omówienie znajduje się w moim</w:t>
      </w:r>
      <w:r>
        <w:t xml:space="preserve"> </w:t>
      </w:r>
      <w:r>
        <w:rPr>
          <w:iCs/>
          <w:i/>
        </w:rPr>
        <w:t xml:space="preserve">Identity IV</w:t>
      </w:r>
      <w:r>
        <w:t xml:space="preserve">, s. 367-369.</w:t>
      </w:r>
    </w:p>
  </w:footnote>
  <w:footnote w:id="471">
    <w:p>
      <w:pPr>
        <w:pStyle w:val="FootnoteText"/>
      </w:pPr>
      <w:r>
        <w:rPr>
          <w:rStyle w:val="FootnoteReference"/>
        </w:rPr>
        <w:footnoteRef/>
      </w:r>
      <w:r>
        <w:t xml:space="preserve"> </w:t>
      </w:r>
      <w:r>
        <w:t xml:space="preserve">Pan daje nam autorytet, by „deptać węże i skorpiony”. Otóż aby rozgnieść dosłownego owada, skorpiona, nie potrzebujesz mocy z Wysokości, wystarczy klapek (jeśli jesteś szybki, możesz to zrobić bosą stopą). Do deptania węża wolę but, lecz możemy zabijać dosłowne węże bez nadprzyrodzonej pomocy. Staje się oczywiste, że Jezus odnosił się do czegoś innego niż gady i owady. Rozumiem Ewangelię Marka 16,18 jako odnoszącą się do tej samej rzeczywistości, Jezus oznajmia, że wierzącym będą towarzyszyć określone znaki (sposób sformułowania nadaje wypowiedzi niemal moc rozkazów): będą wypędzać demony, będą mówić obcymi językami, będą usuwać „węże”, będą kłaść ręce na chorych. („Jeśli wypiją…” nie jest rozkazem, odnosi się do ewentualności). Co jednak Pan Jezus rozumiał przez „węże”? W wykazie odrębnych działań Jezus odniósł się już do demonów, „węże” muszą więc być czymś innym. W Ewangelii Mateusza 12,34 Jezus nazwał faryzeuszy „plemieniem żmij”, a w 23,33: „wężami, plemieniem żmij”. W Ewangelii Jana 8,44, gdy twierdzili, że Bóg jest ich ojcem, Jezus powiedział: „Wy jesteście z waszego ojca, diabła”. 1 List Jana 3,10 wyjaśnia zaś, że Szatan ma wielu innych „synów” (podobnie Ewangelia Mateusza 13,38-39). W Objawieniu Jana 20,2 czytamy: „Schwytał smoka, pradawnego węża, który jest oszczercą, właśnie Szatana, który zwodzi całą zamieszkaną ziemię, i związał go na tysiąc lat”. Jeśli Szatan jest wężem, wężami są również jego dzieci. Uważam zatem, że nasze „węże” są ludźmi, którzy postanowili służyć Szatanowi, którzy sprzedali się złu. Dochodzę do wniosku, że „węże” w Ewangelii Łukasza 10,19 są tym samym, co te w Ewangelii Marka 16,18, lecz co ze „skorpionami”? Ponieważ one również należą do wroga, mogą być demonami, w którym to przypadku określenie to może z powodzeniem obejmować ich potomstwo, humanoidy (więcej na ten temat w moim artykule „In the Days of Noah”, dostępnym na www.prunch.org). Nadal pracuję nad pytaniem, jak właściwie dokonuje się tego usuwania.</w:t>
      </w:r>
    </w:p>
  </w:footnote>
  <w:footnote w:id="472">
    <w:p>
      <w:pPr>
        <w:pStyle w:val="FootnoteText"/>
      </w:pPr>
      <w:r>
        <w:rPr>
          <w:rStyle w:val="FootnoteReference"/>
        </w:rPr>
        <w:footnoteRef/>
      </w:r>
      <w:r>
        <w:t xml:space="preserve"> </w:t>
      </w:r>
      <w:r>
        <w:t xml:space="preserve">Więcej na ten temat w moim artykule „Biblical Spiritual Warfare” (dostępnym na www.prunch.org).</w:t>
      </w:r>
    </w:p>
  </w:footnote>
  <w:footnote w:id="473">
    <w:p>
      <w:pPr>
        <w:pStyle w:val="FootnoteText"/>
      </w:pPr>
      <w:r>
        <w:rPr>
          <w:rStyle w:val="FootnoteReference"/>
        </w:rPr>
        <w:footnoteRef/>
      </w:r>
      <w:r>
        <w:t xml:space="preserve"> </w:t>
      </w:r>
      <w:r>
        <w:t xml:space="preserve">Powinniśmy świadomie działać na tej podstawie, lecz ponieważ niewiele kościołów tego naucza, większość chrześcijan żyje w duchowej porażce.</w:t>
      </w:r>
    </w:p>
  </w:footnote>
  <w:footnote w:id="474">
    <w:p>
      <w:pPr>
        <w:pStyle w:val="FootnoteText"/>
      </w:pPr>
      <w:r>
        <w:rPr>
          <w:rStyle w:val="FootnoteReference"/>
        </w:rPr>
        <w:footnoteRef/>
      </w:r>
      <w:r>
        <w:t xml:space="preserve"> </w:t>
      </w:r>
      <w:r>
        <w:t xml:space="preserve">Ostatecznie uznałem „rzeczywiste poznanie” za najlepszy sposób oddania επιγνωσις, wzmocnionej formy</w:t>
      </w:r>
      <w:r>
        <w:t xml:space="preserve"> </w:t>
      </w:r>
      <w:r>
        <w:rPr>
          <w:iCs/>
          <w:i/>
        </w:rPr>
        <w:t xml:space="preserve">γνωσις</w:t>
      </w:r>
      <w:r>
        <w:t xml:space="preserve">, „poznanie”. Rzeczywiste poznanie to coś więcej niż zwykła wiedza intelektualna czy nawet prawdziwa wiedza teoretyczna, obejmuje doświadczenie. Tekst mówi dalej: „aby oczy waszego serca zostały oświecone”. Rzeczywiste poznanie zmienia twoje „serce”, to, kim jesteś.</w:t>
      </w:r>
    </w:p>
  </w:footnote>
  <w:footnote w:id="475">
    <w:p>
      <w:pPr>
        <w:pStyle w:val="FootnoteText"/>
      </w:pPr>
      <w:r>
        <w:rPr>
          <w:rStyle w:val="FootnoteReference"/>
        </w:rPr>
        <w:footnoteRef/>
      </w:r>
      <w:r>
        <w:t xml:space="preserve"> </w:t>
      </w:r>
      <w:r>
        <w:t xml:space="preserve">„Skierowanej do nas” — tak mówi Tekst. Zauważ, że „wierzymy” jest w czasie teraźniejszym. Rozważmy List do Efezjan 3,20: „Temu zaś, który jest w stanie uczynić niezmiernie więcej ponad wszystko, o co prosimy lub co sobie wyobrażamy, według mocy, która działa w nas”. Zauważ, że „działa” również jest w czasie teraźniejszym, to, że wierzyłeś wczoraj, nie wystarczy, musimy wierzyć dzisiaj. Ta ogromna moc, którą Bóg wlewa w nas, gdy wierzymy, przekracza nasze zdolności wyobrażania. Otóż mój osobisty horyzont jest ograniczony i określony przez moją zdolność wyobrażania. Wszystko, czego nie potrafię sobie wyobrazić, leży poza moim horyzontem, zatem oczywiście nie będę o to prosił. Ze smutkiem przyznaję, że nie osiągnąłem jeszcze poziomu duchowego, na którym potrafię uwolnić tę moc, nie zdołałem jeszcze sprawić, by prawda tego wersetu działała w moim przypadku. Rozumiem jednak, że stwierdzona tutaj prawda jest dosłowna, i mam tylko nadzieję, że jeśli nadal będę zwlekał, inni dotrą tam przede mną (abym mógł się od nich nauczyć). Celem całego przedsięwzięcia (werset 21) jest otrzymanie przez Boga chwały, a w takim zakresie, w jakim nie wykorzystujemy Jego mocy w nas, pozbawiamy Go chwały, którą mógłby i powinien otrzymać.</w:t>
      </w:r>
    </w:p>
  </w:footnote>
  <w:footnote w:id="476">
    <w:p>
      <w:pPr>
        <w:pStyle w:val="FootnoteText"/>
      </w:pPr>
      <w:r>
        <w:rPr>
          <w:rStyle w:val="FootnoteReference"/>
        </w:rPr>
        <w:footnoteRef/>
      </w:r>
      <w:r>
        <w:t xml:space="preserve"> </w:t>
      </w:r>
      <w:r>
        <w:t xml:space="preserve">Centurion nie mówił: „Z autorytetu Rzymu…”, mówił po prostu: „Zrób to, zrób tamto”. Pan Jezus nie mówił: „Z autorytetu Ojca…”, mówił po prostu: „Bądź czysty! Idź!”. W Ewangelii Łukasza 10,19 powiedział: „Daję wam autorytet nad całą mocą wroga”, mamy więc ten autorytet i to do nas należy przemówienie! Tak jak czynił to Jezus.</w:t>
      </w:r>
    </w:p>
  </w:footnote>
  <w:footnote w:id="480">
    <w:p>
      <w:pPr>
        <w:pStyle w:val="FootnoteText"/>
      </w:pPr>
      <w:r>
        <w:rPr>
          <w:rStyle w:val="FootnoteReference"/>
        </w:rPr>
        <w:footnoteRef/>
      </w:r>
      <w:r>
        <w:t xml:space="preserve"> </w:t>
      </w:r>
      <w:r>
        <w:t xml:space="preserve">Demon-przywódca wypowiada większość słów, reprezentując swoją kohortę.</w:t>
      </w:r>
    </w:p>
  </w:footnote>
  <w:footnote w:id="481">
    <w:p>
      <w:pPr>
        <w:pStyle w:val="FootnoteText"/>
      </w:pPr>
      <w:r>
        <w:rPr>
          <w:rStyle w:val="FootnoteReference"/>
        </w:rPr>
        <w:footnoteRef/>
      </w:r>
      <w:r>
        <w:t xml:space="preserve"> </w:t>
      </w:r>
      <w:r>
        <w:t xml:space="preserve">Tekst ma „Otchłań”, przypuszczalnie tę samą, o której mowa w Objawieniu Jana 20,3. Demony wiedziały coś, czego większość z nas nie wie.</w:t>
      </w:r>
    </w:p>
  </w:footnote>
  <w:footnote w:id="483">
    <w:p>
      <w:pPr>
        <w:pStyle w:val="FootnoteText"/>
      </w:pPr>
      <w:r>
        <w:rPr>
          <w:rStyle w:val="FootnoteReference"/>
        </w:rPr>
        <w:footnoteRef/>
      </w:r>
      <w:r>
        <w:t xml:space="preserve"> </w:t>
      </w:r>
      <w:r>
        <w:t xml:space="preserve">Również twierdzenie, że cudowne dary ustały, gdy ostatnia łopata ziemi spadła na grób Apostoła Jana, jest historycznym fałszem. Chrześcijanie żyjący w II, III i IV wieku, których pisma do nas dotarły, twierdzą, że dary nadal były używane w ich czasach. Żaden chrześcijanin z XX ani XXI wieku, którego tam nie było, nie ma kompetencji, by im zaprzeczać. Proszę również zobaczyć przypis do 1 Listu do Koryntian 13,12 w moim przekładzie</w:t>
      </w:r>
      <w:r>
        <w:t xml:space="preserve"> </w:t>
      </w:r>
      <w:r>
        <w:rPr>
          <w:iCs/>
          <w:i/>
        </w:rPr>
        <w:t xml:space="preserve">The Sovereign Creator Has Spoken</w:t>
      </w:r>
      <w:r>
        <w:t xml:space="preserve">. Każdy „cesacjonista” będzie miał w tej kwestii warownię Szatana w swoim umyśle, ponieważ przyjął kłamstwo. Każda doktryna wywodząca się z reakcji przeciwko skrajnościom i nadużyciom daje zwycięstwo Szatanowi. Żaden argument mający usprawiedliwić brak duchowej mocy nie może być poprawny.</w:t>
      </w:r>
    </w:p>
  </w:footnote>
  <w:footnote w:id="487">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488">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 f</w:t>
      </w:r>
      <w:r>
        <w:rPr>
          <w:vertAlign w:val="superscript"/>
        </w:rPr>
        <w:t xml:space="preserve">1</w:t>
      </w:r>
      <w:r>
        <w:t xml:space="preserve"> </w:t>
      </w:r>
      <w:r>
        <w:t xml:space="preserve">i f</w:t>
      </w:r>
      <w:r>
        <w:rPr>
          <w:vertAlign w:val="superscript"/>
        </w:rPr>
        <w:t xml:space="preserve">13</w:t>
      </w:r>
      <w:r>
        <w:t xml:space="preserve"> </w:t>
      </w:r>
      <w:r>
        <w:t xml:space="preserve">podlegali stopniowemu dostosowywaniu do późniejszego tekstu bizantyjskiego, uczeni ustalili tekst tych rodzin, przyjmując odczyty świadków rodzinnych różniące się od Textus Receptus. Dlatego przytoczenie siglum f</w:t>
      </w:r>
      <w:r>
        <w:rPr>
          <w:vertAlign w:val="superscript"/>
        </w:rPr>
        <w:t xml:space="preserve">1</w:t>
      </w:r>
      <w:r>
        <w:t xml:space="preserve"> </w:t>
      </w:r>
      <w:r>
        <w:t xml:space="preserve">i f</w:t>
      </w:r>
      <w:r>
        <w:rPr>
          <w:vertAlign w:val="superscript"/>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489">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490">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 INTF 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491">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492">
    <w:p>
      <w:pPr>
        <w:pStyle w:val="FootnoteText"/>
      </w:pPr>
      <w:r>
        <w:rPr>
          <w:rStyle w:val="FootnoteReference"/>
        </w:rPr>
        <w:footnoteRef/>
      </w:r>
      <w:r>
        <w:t xml:space="preserve"> </w:t>
      </w:r>
      <w:r>
        <w:t xml:space="preserve">Odczyty Rodziny 35 są poświadczone przez wczesnych świadków, lecz bez wzorca, a zatem bez zależności. Takich odczytów są jednak setki. Skąd więc archetyp</w:t>
      </w:r>
      <w:r>
        <w:t xml:space="preserve"> </w:t>
      </w:r>
      <w:r>
        <w:rPr>
          <w:bCs/>
          <w:b/>
        </w:rPr>
        <w:t xml:space="preserve">f</w:t>
      </w:r>
      <w:r>
        <w:rPr>
          <w:vertAlign w:val="superscript"/>
          <w:bCs/>
          <w:b/>
        </w:rPr>
        <w:t xml:space="preserve">35</w:t>
      </w:r>
      <w:r>
        <w:t xml:space="preserve"> </w:t>
      </w:r>
      <w:r>
        <w:t xml:space="preserve">wziął wszystkie te wczesne odczyty? Czy jego twórca podróżował i zebrał kilka odczytów z Alefa, kilka z B, kilka z P</w:t>
      </w:r>
      <w:r>
        <w:rPr>
          <w:vertAlign w:val="superscript"/>
        </w:rPr>
        <w:t xml:space="preserve">45,66,75</w:t>
      </w:r>
      <w:r>
        <w:t xml:space="preserve">, kilka z W i D itd.? Czy taka sugestia nie jest jawnie niedorzeczna? Jedyny rozsądny wniosek brzmi:</w:t>
      </w:r>
      <w:r>
        <w:t xml:space="preserve"> </w:t>
      </w:r>
      <w:r>
        <w:rPr>
          <w:u w:val="single"/>
        </w:rPr>
        <w:t xml:space="preserve">tekst</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starożytny (a także niezależny)</w:t>
      </w:r>
      <w:r>
        <w:t xml:space="preserve">.</w:t>
      </w:r>
    </w:p>
  </w:footnote>
  <w:footnote w:id="493">
    <w:p>
      <w:pPr>
        <w:pStyle w:val="FootnoteText"/>
      </w:pPr>
      <w:r>
        <w:rPr>
          <w:rStyle w:val="FootnoteReference"/>
        </w:rPr>
        <w:footnoteRef/>
      </w:r>
      <w:r>
        <w:t xml:space="preserve"> </w:t>
      </w:r>
      <w:r>
        <w:t xml:space="preserve">A w niektórych miejscach w Grecji, sądząc po ich zachowanych kopiach, był wszystkim, czego używano.</w:t>
      </w:r>
    </w:p>
  </w:footnote>
  <w:footnote w:id="49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49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499">
    <w:p>
      <w:pPr>
        <w:pStyle w:val="FootnoteText"/>
      </w:pPr>
      <w:r>
        <w:rPr>
          <w:rStyle w:val="FootnoteReference"/>
        </w:rPr>
        <w:footnoteRef/>
      </w:r>
      <w:r>
        <w:t xml:space="preserve"> </w:t>
      </w:r>
      <w:r>
        <w:t xml:space="preserve">Profil Rodziny 35 i klucz znajdują się wyżej, w Części II.</w:t>
      </w:r>
    </w:p>
  </w:footnote>
  <w:footnote w:id="500">
    <w:p>
      <w:pPr>
        <w:pStyle w:val="FootnoteText"/>
      </w:pPr>
      <w:r>
        <w:rPr>
          <w:rStyle w:val="FootnoteReference"/>
        </w:rPr>
        <w:footnoteRef/>
      </w:r>
      <w:r>
        <w:t xml:space="preserve"> </w:t>
      </w:r>
      <w:r>
        <w:t xml:space="preserve">W pojedynczym przykładzie, w którym wymieniam trzy odczyty, odczytem 1700 jest trzeci.</w:t>
      </w:r>
    </w:p>
  </w:footnote>
  <w:footnote w:id="502">
    <w:p>
      <w:pPr>
        <w:pStyle w:val="FootnoteText"/>
      </w:pPr>
      <w:r>
        <w:rPr>
          <w:rStyle w:val="FootnoteReference"/>
        </w:rPr>
        <w:footnoteRef/>
      </w:r>
      <w:r>
        <w:t xml:space="preserve"> </w:t>
      </w:r>
      <w:r>
        <w:t xml:space="preserve">Odrzuciwszy boskie natchnienie Nowego Testamentu, odrzucają oczywiście wszelką boską troskę o ten tekst. Ci, którzy zaprzeczają samemu istnieniu Władcy i Stwórcy, będą logicznie upierać się, że nieistniejąca istota nie może niczego uczynić.</w:t>
      </w:r>
    </w:p>
  </w:footnote>
  <w:footnote w:id="504">
    <w:p>
      <w:pPr>
        <w:pStyle w:val="FootnoteText"/>
      </w:pPr>
      <w:r>
        <w:rPr>
          <w:rStyle w:val="FootnoteReference"/>
        </w:rPr>
        <w:footnoteRef/>
      </w:r>
      <w:r>
        <w:t xml:space="preserve"> </w:t>
      </w:r>
      <w:r>
        <w:t xml:space="preserve">Badanie to wykorzystuje 77 spośród 84 znanych członków rodziny, siedem brakujących prawdopodobnie nie miałoby większego wpływu na nasze wnioski, jeśli w ogóle jakikolwiek. Spośród 77 manuskryptów wszystkie niewymienione przy formie alternatywnej mają formę główną. Tak więc w Liście Jakuba 2,14 36 manuskryptów mających formę alternatywną należy odjąć od 77, co pozostawia 41 dla formy głównej.</w:t>
      </w:r>
    </w:p>
  </w:footnote>
  <w:footnote w:id="505">
    <w:p>
      <w:pPr>
        <w:pStyle w:val="FootnoteText"/>
      </w:pPr>
      <w:r>
        <w:rPr>
          <w:rStyle w:val="FootnoteReference"/>
        </w:rPr>
        <w:footnoteRef/>
      </w:r>
      <w:r>
        <w:t xml:space="preserve"> </w:t>
      </w:r>
      <w:r>
        <w:t xml:space="preserve">Manuskrypty w nawiasach klamrowych, { }, mają wspólny egzemplarz i można je traktować jako jeden głos.</w:t>
      </w:r>
    </w:p>
  </w:footnote>
  <w:footnote w:id="506">
    <w:p>
      <w:pPr>
        <w:pStyle w:val="FootnoteText"/>
      </w:pPr>
      <w:r>
        <w:rPr>
          <w:rStyle w:val="FootnoteReference"/>
        </w:rPr>
        <w:footnoteRef/>
      </w:r>
      <w:r>
        <w:t xml:space="preserve"> </w:t>
      </w:r>
      <w:r>
        <w:t xml:space="preserve">Manuskrypt w nawiasach okrągłych ma niewielką odmianę podanej formy.</w:t>
      </w:r>
    </w:p>
  </w:footnote>
  <w:footnote w:id="507">
    <w:p>
      <w:pPr>
        <w:pStyle w:val="FootnoteText"/>
      </w:pPr>
      <w:r>
        <w:rPr>
          <w:rStyle w:val="FootnoteReference"/>
        </w:rPr>
        <w:footnoteRef/>
      </w:r>
      <w:r>
        <w:t xml:space="preserve"> </w:t>
      </w:r>
      <w:r>
        <w:t xml:space="preserve">Wymieniam tutaj manuskrypty dla obu form, ponieważ podążyłem za mniejszością. Zobacz omówienie niżej.</w:t>
      </w:r>
    </w:p>
  </w:footnote>
  <w:footnote w:id="509">
    <w:p>
      <w:pPr>
        <w:pStyle w:val="FootnoteText"/>
      </w:pPr>
      <w:r>
        <w:rPr>
          <w:rStyle w:val="FootnoteReference"/>
        </w:rPr>
        <w:footnoteRef/>
      </w:r>
      <w:r>
        <w:t xml:space="preserve"> </w:t>
      </w:r>
      <w:r>
        <w:t xml:space="preserve">W 2378 brakuje pierwszej karty 1 Listu Jana, a zatem także omawianego wersetu, ponieważ jednak w całym tekście unika obu podgrup, niemal na pewno miał tutaj tryb oznajmujący.</w:t>
      </w:r>
    </w:p>
  </w:footnote>
  <w:footnote w:id="510">
    <w:p>
      <w:pPr>
        <w:pStyle w:val="FootnoteText"/>
      </w:pPr>
      <w:r>
        <w:rPr>
          <w:rStyle w:val="FootnoteReference"/>
        </w:rPr>
        <w:footnoteRef/>
      </w:r>
      <w:r>
        <w:t xml:space="preserve"> </w:t>
      </w:r>
      <w:r>
        <w:t xml:space="preserve">Artykuł ten jest dostępny na mojej stronie www.prunch.org.</w:t>
      </w:r>
    </w:p>
  </w:footnote>
  <w:footnote w:id="514">
    <w:p>
      <w:pPr>
        <w:pStyle w:val="FootnoteText"/>
      </w:pPr>
      <w:r>
        <w:rPr>
          <w:rStyle w:val="FootnoteReference"/>
        </w:rPr>
        <w:footnoteRef/>
      </w:r>
      <w:r>
        <w:t xml:space="preserve"> </w:t>
      </w:r>
      <w:r>
        <w:t xml:space="preserve">Tommy Wasserman,</w:t>
      </w:r>
      <w:r>
        <w:t xml:space="preserve"> </w:t>
      </w:r>
      <w:r>
        <w:rPr>
          <w:iCs/>
          <w:i/>
        </w:rPr>
        <w:t xml:space="preserve">The Epistle of Jude: Its Text and Transmission</w:t>
      </w:r>
      <w:r>
        <w:t xml:space="preserve">, Stockholm: Almqvist &amp; Wiksell International, 2006.</w:t>
      </w:r>
    </w:p>
  </w:footnote>
  <w:footnote w:id="515">
    <w:p>
      <w:pPr>
        <w:pStyle w:val="FootnoteText"/>
      </w:pPr>
      <w:r>
        <w:rPr>
          <w:rStyle w:val="FootnoteReference"/>
        </w:rPr>
        <w:footnoteRef/>
      </w:r>
      <w:r>
        <w:t xml:space="preserve"> </w:t>
      </w:r>
      <w:r>
        <w:t xml:space="preserve">W rezultacie istnieje bardzo niewielka różnica między Tekstem eklektycznym a moim. Chociaż użyłem mojego, wybór ten nie podważa celu tego ćwiczenia.</w:t>
      </w:r>
    </w:p>
  </w:footnote>
  <w:footnote w:id="520">
    <w:p>
      <w:pPr>
        <w:pStyle w:val="FootnoteText"/>
      </w:pPr>
      <w:r>
        <w:rPr>
          <w:rStyle w:val="FootnoteReference"/>
        </w:rPr>
        <w:footnoteRef/>
      </w:r>
      <w:r>
        <w:t xml:space="preserve"> </w:t>
      </w:r>
      <w:r>
        <w:t xml:space="preserve">Szczegółową dokumentację i wyczerpujące omówienie innych aspektów tej kwestii można znaleźć w Burgon,</w:t>
      </w:r>
      <w:r>
        <w:t xml:space="preserve"> </w:t>
      </w:r>
      <w:r>
        <w:rPr>
          <w:iCs/>
          <w:i/>
        </w:rPr>
        <w:t xml:space="preserve">The Last Twelve Verses according to S. Mark</w:t>
      </w:r>
      <w:r>
        <w:t xml:space="preserve">, s. 19–31, 38–69, 265–290.</w:t>
      </w:r>
    </w:p>
  </w:footnote>
  <w:footnote w:id="524">
    <w:p>
      <w:pPr>
        <w:pStyle w:val="FootnoteText"/>
      </w:pPr>
      <w:r>
        <w:rPr>
          <w:rStyle w:val="FootnoteReference"/>
        </w:rPr>
        <w:footnoteRef/>
      </w:r>
      <w:r>
        <w:t xml:space="preserve"> </w:t>
      </w:r>
      <w:r>
        <w:t xml:space="preserve">Taki był stan w styczniu 2020 roku.</w:t>
      </w:r>
    </w:p>
  </w:footnote>
  <w:footnote w:id="525">
    <w:p>
      <w:pPr>
        <w:pStyle w:val="FootnoteText"/>
      </w:pPr>
      <w:r>
        <w:rPr>
          <w:rStyle w:val="FootnoteReference"/>
        </w:rPr>
        <w:footnoteRef/>
      </w:r>
      <w:r>
        <w:t xml:space="preserve"> </w:t>
      </w:r>
      <w:r>
        <w:t xml:space="preserve">GA 586, w 10,35 synowie Zebedeusza zwracają się z prośbą: „Nauczycielu, chcemy, abyś uczynił dla nas wszystko, o co możemy Cię poprosić (ημιν)”. Zamiast tego 586 ma: „Nauczycielu, chcemy, abyś uczynił dla nas wszystko, o co możecie poprosić (υμιν)” — jawny nonsens. Obie litery wymawiano tak samo, dlatego ktoś słuchający czytanego tekstu bez wątpienia zrozumiałby pierwszą osobę. Nawet ktoś czytający tekst dostrzegłby oczywisty błąd i poprawił tekst w swoim umyśle. Ponieważ 586 ma tylko ten jeden wariant w całej księdze, jedną literę, jest praktycznie doskonały.</w:t>
      </w:r>
    </w:p>
  </w:footnote>
  <w:footnote w:id="526">
    <w:p>
      <w:pPr>
        <w:pStyle w:val="FootnoteText"/>
      </w:pPr>
      <w:r>
        <w:rPr>
          <w:rStyle w:val="FootnoteReference"/>
        </w:rPr>
        <w:footnoteRef/>
      </w:r>
      <w:r>
        <w:t xml:space="preserve"> </w:t>
      </w:r>
      <w:r>
        <w:t xml:space="preserve">W 2,40 zamiast επ αυτω ma επ αυτο (w tym miejscu występuje podział w rodzinie). Przyimek επι łączy się zarówno z celownikiem, jak i biernikiem, a tłumaczenie będzie takie samo: „Łaska Boga była nad Nim”. Jeśli są to dwa sposoby powiedzenia tego samego, wówczas 2382 jest kompletny, jeśli nie, w całej księdze różni się jedną literą!</w:t>
      </w:r>
    </w:p>
  </w:footnote>
  <w:footnote w:id="527">
    <w:p>
      <w:pPr>
        <w:pStyle w:val="FootnoteText"/>
      </w:pPr>
      <w:r>
        <w:rPr>
          <w:rStyle w:val="FootnoteReference"/>
        </w:rPr>
        <w:footnoteRef/>
      </w:r>
      <w:r>
        <w:t xml:space="preserve"> </w:t>
      </w:r>
      <w:r>
        <w:t xml:space="preserve">W 1,11 zamiast ουτος Ιησους ma ουτος ο Ιησους. Zaimek wskazujący określa nawet bardziej niż rodzajnik określony, dlatego rodzajnik jest tutaj zbędny, są to więc dwa sposoby powiedzenia tego samego: „ten właśnie Jezus”. W 26,29 Paweł broni się przed królem Agryppą. Zamiast ευξαιμην, „modliłbym się”, ma ευξαμην, „modlę się”. Tryb oznajmujący jest bardziej bezpośredni niż tryb życzący, lecz różnica znaczeniowa jest niewielka. Jeśli nie są to dwa sposoby powiedzenia tego samego, wówczas 35 różni się jedną literą w całej księdze Dziejów Apostolskich!</w:t>
      </w:r>
    </w:p>
  </w:footnote>
  <w:footnote w:id="530">
    <w:p>
      <w:pPr>
        <w:pStyle w:val="FootnoteText"/>
      </w:pPr>
      <w:r>
        <w:rPr>
          <w:rStyle w:val="FootnoteReference"/>
        </w:rPr>
        <w:footnoteRef/>
      </w:r>
      <w:r>
        <w:t xml:space="preserve"> </w:t>
      </w:r>
      <w:r>
        <w:t xml:space="preserve">Rozpadł się wiele lat temu.</w:t>
      </w:r>
    </w:p>
  </w:footnote>
  <w:footnote w:id="534">
    <w:p>
      <w:pPr>
        <w:pStyle w:val="FootnoteText"/>
      </w:pPr>
      <w:r>
        <w:rPr>
          <w:rStyle w:val="FootnoteReference"/>
        </w:rPr>
        <w:footnoteRef/>
      </w:r>
      <w:r>
        <w:t xml:space="preserve"> </w:t>
      </w:r>
      <w:r>
        <w:t xml:space="preserve">R.M. Grant, „The Bible of Theophilus of Antioch”,</w:t>
      </w:r>
      <w:r>
        <w:t xml:space="preserve"> </w:t>
      </w:r>
      <w:r>
        <w:rPr>
          <w:iCs/>
          <w:i/>
        </w:rPr>
        <w:t xml:space="preserve">Journal of Biblical Literature</w:t>
      </w:r>
      <w:r>
        <w:t xml:space="preserve">, LXVI (1947), 173. Zauważ pesymizm, „nie można go odzyskać”. W takim razie krytycy marnują swój czas i nasz. Z pewnością, ponieważ nie mielibyśmy sposobu dowiedzenia się, czy go znaleźli.</w:t>
      </w:r>
    </w:p>
  </w:footnote>
  <w:footnote w:id="535">
    <w:p>
      <w:pPr>
        <w:pStyle w:val="FootnoteText"/>
      </w:pPr>
      <w:r>
        <w:rPr>
          <w:rStyle w:val="FootnoteReference"/>
        </w:rPr>
        <w:footnoteRef/>
      </w:r>
      <w:r>
        <w:t xml:space="preserve"> </w:t>
      </w:r>
      <w:r>
        <w:t xml:space="preserve">Rodzina 35, będąca zdecydowanie największą i najbardziej spójną grupą manuskryptów, była słabo reprezentowana w bibliotekach Europy Zachodniej. Zresztą bardzo niewiele manuskryptów jakiegokolwiek typu tekstu skolacjonowano wystarczająco, by umożliwić prześledzenie historii przekazu.</w:t>
      </w:r>
    </w:p>
  </w:footnote>
  <w:footnote w:id="536">
    <w:p>
      <w:pPr>
        <w:pStyle w:val="FootnoteText"/>
      </w:pPr>
      <w:r>
        <w:rPr>
          <w:rStyle w:val="FootnoteReference"/>
        </w:rPr>
        <w:footnoteRef/>
      </w:r>
      <w:r>
        <w:t xml:space="preserve"> </w:t>
      </w:r>
      <w:r>
        <w:t xml:space="preserve">Ściśle rzecz biorąc, Tekst ma „według Eonu tego świata, według władcy dziedziny powietrza” —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 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(akademicki wymóg wykazania się „znajomością literatury” zmusza do marnowania czasu na wszystko, co napisali słudzy Szatana — rozważ 1 List do Koryntian 3,18–20)).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537">
    <w:p>
      <w:pPr>
        <w:pStyle w:val="FootnoteText"/>
      </w:pPr>
      <w:r>
        <w:rPr>
          <w:rStyle w:val="FootnoteReference"/>
        </w:rPr>
        <w:footnoteRef/>
      </w:r>
      <w:r>
        <w:t xml:space="preserve"> </w:t>
      </w:r>
      <w:r>
        <w:t xml:space="preserve">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Otóż prosta logika wymaga, by jeden albo drugi mylił się w tych ponad 3000 przypadkach, oba nie mogą mieć racji, zupełnie niezależnie od przypadków, w których oba się mylą. Żadna ilość subiektywnych preferencji nie może przesłonić faktu, że obiektywnie rzecz biorąc, są to kiepskie kopie.</w:t>
      </w:r>
    </w:p>
    <w:p>
      <w:pPr>
        <w:pStyle w:val="FootnoteText"/>
      </w:pP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Identity IV</w:t>
      </w:r>
      <w:r>
        <w:t xml:space="preserve">.</w:t>
      </w:r>
    </w:p>
  </w:footnote>
  <w:footnote w:id="538">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539">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12,30, Ewangelia Łukasza 11,23),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540">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541">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w:t>
      </w:r>
    </w:p>
  </w:footnote>
  <w:footnote w:id="54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odbiega „tylko” w odniesieniu do około 12 000, co stanowi poprawę (choć niewielką). A tak przy okazji, jak mądre jest używanie Nowego Testamentu przygotowanego przez sługę Szatana?</w:t>
      </w:r>
    </w:p>
  </w:footnote>
  <w:footnote w:id="544">
    <w:p>
      <w:pPr>
        <w:pStyle w:val="FootnoteText"/>
      </w:pPr>
      <w:r>
        <w:rPr>
          <w:rStyle w:val="FootnoteReference"/>
        </w:rPr>
        <w:footnoteRef/>
      </w:r>
      <w:r>
        <w:t xml:space="preserve"> </w:t>
      </w:r>
      <w:r>
        <w:t xml:space="preserve">Uważam się za badacza tekstu, nie za krytyka. Tekst jest nade mną, nie odwrotnie. W eklektyzmie krytyk jest ponad tekstem, jest ponad dowodami, zamiast wiernie podążać za dowodami, sprawia, że dowody podążają za nim. Manuskrypty zostają sprowadzone do roli „dostawcy odczytów”.</w:t>
      </w:r>
    </w:p>
  </w:footnote>
  <w:footnote w:id="545">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546">
    <w:p>
      <w:pPr>
        <w:pStyle w:val="FootnoteText"/>
      </w:pPr>
      <w:r>
        <w:rPr>
          <w:rStyle w:val="FootnoteReference"/>
        </w:rPr>
        <w:footnoteRef/>
      </w:r>
      <w:r>
        <w:t xml:space="preserve"> </w:t>
      </w:r>
      <w:r>
        <w:t xml:space="preserve">Colwell, „External Evidence and New Testament Criticism”,</w:t>
      </w:r>
      <w:r>
        <w:t xml:space="preserve"> </w:t>
      </w:r>
      <w:r>
        <w:rPr>
          <w:iCs/>
          <w:i/>
        </w:rPr>
        <w:t xml:space="preserve">Studies in the History and Text of the New Testament</w:t>
      </w:r>
      <w:r>
        <w:t xml:space="preserve">, red. B.L. Daniels i M.J. Suggs (Salt Lake City: University of Utah Press, 1967), s. 3.</w:t>
      </w:r>
    </w:p>
  </w:footnote>
  <w:footnote w:id="547">
    <w:p>
      <w:pPr>
        <w:pStyle w:val="FootnoteText"/>
      </w:pPr>
      <w:r>
        <w:rPr>
          <w:rStyle w:val="FootnoteReference"/>
        </w:rPr>
        <w:footnoteRef/>
      </w:r>
      <w:r>
        <w:t xml:space="preserve"> </w:t>
      </w:r>
      <w:r>
        <w:rPr>
          <w:iCs/>
          <w:i/>
        </w:rPr>
        <w:t xml:space="preserve">Tamże</w:t>
      </w:r>
      <w:r>
        <w:t xml:space="preserve">, s. 4.</w:t>
      </w:r>
    </w:p>
  </w:footnote>
  <w:footnote w:id="548">
    <w:p>
      <w:pPr>
        <w:pStyle w:val="FootnoteText"/>
      </w:pPr>
      <w:r>
        <w:rPr>
          <w:rStyle w:val="FootnoteReference"/>
        </w:rPr>
        <w:footnoteRef/>
      </w:r>
      <w:r>
        <w:t xml:space="preserve"> </w:t>
      </w:r>
      <w:r>
        <w:t xml:space="preserve">Fakt, że kopista P</w:t>
      </w:r>
      <w:r>
        <w:rPr>
          <w:vertAlign w:val="superscript"/>
        </w:rPr>
        <w:t xml:space="preserve">75</w:t>
      </w:r>
      <w:r>
        <w:t xml:space="preserve"> </w:t>
      </w:r>
      <w:r>
        <w:t xml:space="preserve">kopiował litera po literze, a kopista P</w:t>
      </w:r>
      <w:r>
        <w:rPr>
          <w:vertAlign w:val="superscript"/>
        </w:rPr>
        <w:t xml:space="preserve">66</w:t>
      </w:r>
      <w:r>
        <w:t xml:space="preserve"> </w:t>
      </w:r>
      <w:r>
        <w:t xml:space="preserve">sylaba po sylabie (Colwell, „Scribal Habits”, s. 380), silnie sugeruje, że żaden z nich nie znał greki. Przepisując tekst w języku, który znasz, kopiujesz wyrażenie po wyrażeniu albo przynajmniej słowo po słowie. P</w:t>
      </w:r>
      <w:r>
        <w:rPr>
          <w:vertAlign w:val="superscript"/>
        </w:rPr>
        <w:t xml:space="preserve">66</w:t>
      </w:r>
      <w:r>
        <w:t xml:space="preserve"> </w:t>
      </w:r>
      <w:r>
        <w:t xml:space="preserve">ma tak wiele bezsensownych odczytów, że kopista nie mógł znać znaczenia tekstu. Każdy, kto kiedykolwiek próbował ręcznie (nie na maszynie) przepisać dłuższy tekst w języku, którego nie rozumie, wie, że jest to męczące i ponure zadanie. W takich okolicznościach nie należy oczekiwać czystości przekazu.</w:t>
      </w:r>
    </w:p>
  </w:footnote>
  <w:footnote w:id="549">
    <w:p>
      <w:pPr>
        <w:pStyle w:val="FootnoteText"/>
      </w:pPr>
      <w:r>
        <w:rPr>
          <w:rStyle w:val="FootnoteReference"/>
        </w:rPr>
        <w:footnoteRef/>
      </w:r>
      <w:r>
        <w:t xml:space="preserve"> </w:t>
      </w:r>
      <w:r>
        <w:t xml:space="preserve">E.C. Colwell, „Scribal Habits in Early Papyri: A Study in the Corruption of the Text”,</w:t>
      </w:r>
      <w:r>
        <w:t xml:space="preserve"> </w:t>
      </w:r>
      <w:r>
        <w:rPr>
          <w:iCs/>
          <w:i/>
        </w:rPr>
        <w:t xml:space="preserve">The Bible in Modern Scholarship</w:t>
      </w:r>
      <w:r>
        <w:t xml:space="preserve">, red. J.P. Hyatt (New York: Abingdon Press, 1965), s. 374–376.</w:t>
      </w:r>
    </w:p>
  </w:footnote>
  <w:footnote w:id="550">
    <w:p>
      <w:pPr>
        <w:pStyle w:val="FootnoteText"/>
      </w:pPr>
      <w:r>
        <w:rPr>
          <w:rStyle w:val="FootnoteReference"/>
        </w:rPr>
        <w:footnoteRef/>
      </w:r>
      <w:r>
        <w:t xml:space="preserve"> </w:t>
      </w:r>
      <w:r>
        <w:t xml:space="preserve">Gunther Zuntz,</w:t>
      </w:r>
      <w:r>
        <w:t xml:space="preserve"> </w:t>
      </w:r>
      <w:r>
        <w:rPr>
          <w:iCs/>
          <w:i/>
        </w:rPr>
        <w:t xml:space="preserve">The Text of the Epistles</w:t>
      </w:r>
      <w:r>
        <w:t xml:space="preserve"> </w:t>
      </w:r>
      <w:r>
        <w:t xml:space="preserve">(London: Oxford University Press, 1953), s. 18.</w:t>
      </w:r>
    </w:p>
  </w:footnote>
  <w:footnote w:id="551">
    <w:p>
      <w:pPr>
        <w:pStyle w:val="FootnoteText"/>
      </w:pPr>
      <w:r>
        <w:rPr>
          <w:rStyle w:val="FootnoteReference"/>
        </w:rPr>
        <w:footnoteRef/>
      </w:r>
      <w:r>
        <w:t xml:space="preserve"> </w:t>
      </w:r>
      <w:r>
        <w:t xml:space="preserve">Gdybyś ręcznie skopiował cztery Ewangelie, czy sądzisz, że zdołałbyś popełnić tysiąc błędów? Spróbuj i zobacz!</w:t>
      </w:r>
    </w:p>
  </w:footnote>
  <w:footnote w:id="552">
    <w:p>
      <w:pPr>
        <w:pStyle w:val="FootnoteText"/>
      </w:pPr>
      <w:r>
        <w:rPr>
          <w:rStyle w:val="FootnoteReference"/>
        </w:rPr>
        <w:footnoteRef/>
      </w:r>
      <w:r>
        <w:t xml:space="preserve"> </w:t>
      </w:r>
      <w:r>
        <w:t xml:space="preserve">Colwell, „Hort Redivivus: A Plea and a Program”,</w:t>
      </w:r>
      <w:r>
        <w:t xml:space="preserve"> </w:t>
      </w:r>
      <w:r>
        <w:rPr>
          <w:iCs/>
          <w:i/>
        </w:rPr>
        <w:t xml:space="preserve">Studies in Methodology in Textual Criticism of the New Testament</w:t>
      </w:r>
      <w:r>
        <w:t xml:space="preserve">, E.C. Colwell (Leiden: E.J. Brill, 1969), s. 157. (Wyróżnienie w oryginale).</w:t>
      </w:r>
    </w:p>
  </w:footnote>
  <w:footnote w:id="554">
    <w:p>
      <w:pPr>
        <w:pStyle w:val="FootnoteText"/>
      </w:pPr>
      <w:r>
        <w:rPr>
          <w:rStyle w:val="FootnoteReference"/>
        </w:rPr>
        <w:footnoteRef/>
      </w:r>
      <w:r>
        <w:t xml:space="preserve"> </w:t>
      </w:r>
      <w:r>
        <w:t xml:space="preserve">Z.C. Hodges, „A Defense of the Majority Text” (niepublikowane notatki do kursu, Dallas Theological Seminary, 1975), s. 4. Dodatek C w moim</w:t>
      </w:r>
      <w:r>
        <w:t xml:space="preserve"> </w:t>
      </w:r>
      <w:r>
        <w:rPr>
          <w:iCs/>
          <w:i/>
        </w:rPr>
        <w:t xml:space="preserve">Identity IV</w:t>
      </w:r>
      <w:r>
        <w:t xml:space="preserve"> </w:t>
      </w:r>
      <w:r>
        <w:t xml:space="preserve">pokazuje, że matematyczna nauka o prawdopodobieństwie statystycznym zapewnia obszerne poparcie stwierdzenia Hodgesa. Statystycznie niemożliwe jest, by późny przybysz zdominował przekaz.</w:t>
      </w:r>
    </w:p>
  </w:footnote>
  <w:footnote w:id="555">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59">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560">
    <w:p>
      <w:pPr>
        <w:pStyle w:val="FootnoteText"/>
      </w:pPr>
      <w:r>
        <w:rPr>
          <w:rStyle w:val="FootnoteReference"/>
        </w:rPr>
        <w:footnoteRef/>
      </w:r>
      <w:r>
        <w:t xml:space="preserve"> </w:t>
      </w:r>
      <w:r>
        <w:t xml:space="preserve">Gdy wszystkie manuskrypty zostaną skolacjonowane i empirycznie przypisane do rodzin, będziemy mogli od początku ograniczyć uwagę do tych rodzin (jak uczyniłem w Objawieniu Jana).</w:t>
      </w:r>
    </w:p>
  </w:footnote>
  <w:footnote w:id="561">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podlegali stopniowemu dostosowywaniu do późniejszego tekstu bizantyjskiego, uczeni ustalili tekst tych rodzin, przyjmując odczyty świadków rodzinnych różniące się od</w:t>
      </w:r>
      <w:r>
        <w:t xml:space="preserve"> </w:t>
      </w:r>
      <w:r>
        <w:rPr>
          <w:iCs/>
          <w:i/>
        </w:rPr>
        <w:t xml:space="preserve">Textus Receptus</w:t>
      </w:r>
      <w:r>
        <w:t xml:space="preserve">. Dlatego przytoczenie siglum</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562">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w:t>
      </w:r>
      <w:r>
        <w:t xml:space="preserve"> </w:t>
      </w:r>
      <w:r>
        <w:rPr>
          <w:iCs/>
          <w:i/>
        </w:rPr>
        <w:t xml:space="preserve">Institut</w:t>
      </w:r>
      <w:r>
        <w:t xml:space="preserve"> </w:t>
      </w:r>
      <w:r>
        <w:t xml:space="preserve">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563">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56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56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568">
    <w:p>
      <w:pPr>
        <w:pStyle w:val="FootnoteText"/>
      </w:pPr>
      <w:r>
        <w:rPr>
          <w:rStyle w:val="FootnoteReference"/>
        </w:rPr>
        <w:footnoteRef/>
      </w:r>
      <w:r>
        <w:t xml:space="preserve"> </w:t>
      </w:r>
      <w:r>
        <w:t xml:space="preserve">K. i B. Aland,</w:t>
      </w:r>
      <w:r>
        <w:t xml:space="preserve"> </w:t>
      </w:r>
      <w:r>
        <w:rPr>
          <w:iCs/>
          <w:i/>
        </w:rPr>
        <w:t xml:space="preserve">tamże</w:t>
      </w:r>
      <w:r>
        <w:t xml:space="preserve">, s. 106–125.</w:t>
      </w:r>
    </w:p>
  </w:footnote>
  <w:footnote w:id="569">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70">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 86–87.</w:t>
      </w:r>
    </w:p>
  </w:footnote>
  <w:footnote w:id="571">
    <w:p>
      <w:pPr>
        <w:pStyle w:val="FootnoteText"/>
      </w:pPr>
      <w:r>
        <w:rPr>
          <w:rStyle w:val="FootnoteReference"/>
        </w:rPr>
        <w:footnoteRef/>
      </w:r>
      <w:r>
        <w:t xml:space="preserve"> </w:t>
      </w:r>
      <w:r>
        <w:t xml:space="preserve">Dowody z wczesnych Ojców, papirusów i przekładów można znaleźć w części „But There Is No Evidence of the Byzantine Text in the Early Centuries” w rozdziale 6 mojego</w:t>
      </w:r>
      <w:r>
        <w:t xml:space="preserve"> </w:t>
      </w:r>
      <w:r>
        <w:rPr>
          <w:iCs/>
          <w:i/>
        </w:rPr>
        <w:t xml:space="preserve">Identity IV</w:t>
      </w:r>
      <w:r>
        <w:t xml:space="preserve">.</w:t>
      </w:r>
    </w:p>
  </w:footnote>
  <w:footnote w:id="572">
    <w:p>
      <w:pPr>
        <w:pStyle w:val="FootnoteText"/>
      </w:pPr>
      <w:r>
        <w:rPr>
          <w:rStyle w:val="FootnoteReference"/>
        </w:rPr>
        <w:footnoteRef/>
      </w:r>
      <w:r>
        <w:t xml:space="preserve"> </w:t>
      </w:r>
      <w:r>
        <w:t xml:space="preserve">Istnieje powód, by sądzić, że pochodzi z II wieku, ze względu na okoliczności dotyczące miejsca, w którym go odkryto.</w:t>
      </w:r>
    </w:p>
  </w:footnote>
  <w:footnote w:id="573">
    <w:p>
      <w:pPr>
        <w:pStyle w:val="FootnoteText"/>
      </w:pPr>
      <w:r>
        <w:rPr>
          <w:rStyle w:val="FootnoteReference"/>
        </w:rPr>
        <w:footnoteRef/>
      </w:r>
      <w:r>
        <w:t xml:space="preserve"> </w:t>
      </w:r>
      <w:r>
        <w:t xml:space="preserve">W lutym 1990 roku debatowałem z Danielem Wallace’em w Dallas Theological Seminary, gdzie nauczał. Użył wykresu rzekomo pokazującego rozmieszczenie greckich manuskryptów od III do IX wieku według trzech głównych „typów tekstu” (wykresu, którego używał w sali wykładowej). Od tego czasu użył tego samego wykresu w referacie przedstawionym Evangelical Theological Society. Wykres ten bardzo poważnie wprowadza w błąd. Rzucam Wallace’owi wyzwanie, by rozpoznał manuskrypty, które wykres ma rzekomo przedstawiać, i wykazał, że każdy należy do „typu tekstu”, który mu przypisał. Stwierdzono, że zachowane manuskrypty nie ukazują tekstu bizantyjskiego jako większościowego aż do IX wieku, lecz według statystyk Alanda tekst bizantyjski objął prowadzenie w Ewangeliach w V wieku i je utrzymał.</w:t>
      </w:r>
    </w:p>
    <w:p>
      <w:pPr>
        <w:pStyle w:val="FootnoteText"/>
      </w:pPr>
      <w:r>
        <w:t xml:space="preserve">Rozważmy jednak manuskrypty z IX wieku. Spośród 27 bizantyjskich manuskryptów albo części zawartości (Ewangelie, korpus Pawłowy itd.) osiem jest „czystych” w ponad 95%, dziesięć w ponad 90%, a kolejnych sześć w ponad 80%. Skąd te 24 manuskrypty albo części wzięły swoją bizantyjską zawartość? Ponieważ wszystkie różnią się zawartością, przypuszczalnie skopiowano je z tylu samo odrębnych egzemplarzy, z konieczności wcześniejszych i również bizantyjskich. A z czego skopiowano te egzemplarze? Najwyraźniej z jeszcze wcześniejszych manuskryptów bizantyjskich i tak dalej. Miejmy nadzieję, że Wallace nie będzie próbował argumentować, iż wszystkich tych manuskryptów z IX wieku nie skopiowano z niczego, lecz każdy skryba niezależnie stworzył je z niczego! Wynika z tego, że ogromna większość w IX wieku zakłada ogromną większość w VIII i tak dalej. Dlatego uczeni od Horta po Alanda uznawali, że tekst bizantyjski dominował w przekazie od IV wieku.</w:t>
      </w:r>
    </w:p>
    <w:p>
      <w:pPr>
        <w:pStyle w:val="FootnoteText"/>
      </w:pPr>
      <w:r>
        <w:t xml:space="preserve">Badacze tekstu wszystkich przekonań przez lata uznawali, że zachowani świadkowie z pierwszych stuleci nie muszą być reprezentatywni dla rzeczywistego stanu rzeczy w swoich czasach. Upieranie się, że zachowani świadkowie przedstawiają całą historię, jest nierozsądne i zakłada to, czego ma dowodzić.</w:t>
      </w:r>
    </w:p>
  </w:footnote>
  <w:footnote w:id="575">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577">
    <w:p>
      <w:pPr>
        <w:pStyle w:val="FootnoteText"/>
      </w:pPr>
      <w:r>
        <w:rPr>
          <w:rStyle w:val="FootnoteReference"/>
        </w:rPr>
        <w:footnoteRef/>
      </w:r>
      <w:r>
        <w:t xml:space="preserve"> </w:t>
      </w:r>
      <w:r>
        <w:t xml:space="preserve">Stopniowe „oczyszczanie” strumienia przekazu na przestrzeni stuleci,</w:t>
      </w:r>
      <w:r>
        <w:t xml:space="preserve"> </w:t>
      </w:r>
      <w:r>
        <w:rPr>
          <w:u w:val="single"/>
        </w:rPr>
        <w:t xml:space="preserve">oparte na zachowanych manuskryptach (z perspektywy pierwszeństwa tekstu bizantyjskiego), zostało uznane przez wszystkich</w:t>
      </w:r>
      <w:r>
        <w:t xml:space="preserve"> </w:t>
      </w:r>
      <w:r>
        <w:t xml:space="preserve">bez wyjątku, a ich próby wyjaśnienia tego zjawiska na ogół odzwierciedlają ich założenia wstępne. Z mojego punktu widzenia oczywiste wyjaśnienie brzmi następująco: wszystkie obozy uznają, że najcięższe ataki na czystość Tekstu miały miejsce w II wieku. „Serce Kościoła”, obszar Morza Egejskiego, zdecydowanie najlepiej pod każdym względem przygotowane do czuwania nad wiernym przekazem, po prostu odmówiło kopiowania form odbiegających od normy. Manuskryptów zawierających takie formy nie używano (ani nie kopiowano), dlatego wiele z nich przetrwało fizycznie ponad tysiąclecie. Mniej złe formy były używane, lecz stopniowo przestawano je kopiować. Dlatego zachowane uncjały z IX wieku są dostateczne, w ponad 80% bizantyjskie, lecz niewystarczająco dobre, by je kopiować i poddawać recyklingowi (kiedy lepsze manuskrypty przekształcono w formę kursywną). Aż do pojawienia się drukowanego tekstu manuskrypty sporządzano po to, by ich używać. Stopniowo używano tylko najlepszych, a tym samym zużywano je i kopiowano. Proces ten osiągnął kulminację w XIV wieku, kiedy osmański cień posuwał się nad Azją Mniejszą, lecz Cesarstwo Bizantyjskie nadal istniało.</w:t>
      </w:r>
    </w:p>
  </w:footnote>
  <w:footnote w:id="578">
    <w:p>
      <w:pPr>
        <w:pStyle w:val="FootnoteText"/>
      </w:pPr>
      <w:r>
        <w:rPr>
          <w:rStyle w:val="FootnoteReference"/>
        </w:rPr>
        <w:footnoteRef/>
      </w:r>
      <w:r>
        <w:t xml:space="preserve"> </w:t>
      </w:r>
      <w:r>
        <w:t xml:space="preserve">Rozważmy, do jakiego wniosku doszedł Maurice Robinson w wyniku pełnego skolacjonowania 1389 manuskryptów zawierających</w:t>
      </w:r>
      <w:r>
        <w:t xml:space="preserve"> </w:t>
      </w:r>
      <w:r>
        <w:rPr>
          <w:iCs/>
          <w:i/>
        </w:rPr>
        <w:t xml:space="preserve">Pericope</w:t>
      </w:r>
      <w:r>
        <w:t xml:space="preserve">, Ewangelię Jana 7,53–8,11:</w:t>
      </w:r>
    </w:p>
    <w:p>
      <w:pPr>
        <w:pStyle w:val="FootnoteText"/>
      </w:pPr>
      <w:r>
        <w:t xml:space="preserve">Wbrew wcześniejszym przypuszczeniom niniejszego autora obszerne kolacjonowanie manuskryptów</w:t>
      </w:r>
      <w:r>
        <w:t xml:space="preserve"> </w:t>
      </w:r>
      <w:r>
        <w:rPr>
          <w:iCs/>
          <w:i/>
        </w:rPr>
        <w:t xml:space="preserve">PA</w:t>
      </w:r>
      <w:r>
        <w:t xml:space="preserve"> </w:t>
      </w:r>
      <w:r>
        <w:t xml:space="preserve">ostatecznie wykazało jednak, że wzajemne porównywanie i poprawianie manuskryptów występowało tylko</w:t>
      </w:r>
      <w:r>
        <w:t xml:space="preserve"> </w:t>
      </w:r>
      <w:r>
        <w:rPr>
          <w:iCs/>
          <w:i/>
        </w:rPr>
        <w:t xml:space="preserve">rzadko</w:t>
      </w:r>
      <w:r>
        <w:t xml:space="preserve"> </w:t>
      </w:r>
      <w:r>
        <w:t xml:space="preserve">i</w:t>
      </w:r>
      <w:r>
        <w:t xml:space="preserve"> </w:t>
      </w:r>
      <w:r>
        <w:rPr>
          <w:iCs/>
          <w:i/>
        </w:rPr>
        <w:t xml:space="preserve">sporadycznie</w:t>
      </w:r>
      <w:r>
        <w:t xml:space="preserve">, przy niewielkim albo żadnym utrwalaniu zmian korygujących w obrębie różnorodności reprezentowanych typów (kursywa jego, także poniżej).</w:t>
      </w:r>
    </w:p>
    <w:p>
      <w:pPr>
        <w:pStyle w:val="FootnoteText"/>
      </w:pPr>
      <w:r>
        <w:t xml:space="preserve">Jeśli wzajemne poprawianie nie występowało często ani rozlegle w tej części tekstu, która ma większe zróżnicowanie niż jakiekolwiek inne miejsce w Nowym Testamencie, i jeśli dokonane poprawki nie miały skłonności do utrwalania się, nie jest prawdopodobne, by proces taki występował w tych częściach Nowego Testamentu, które miały mniejsze zróżnicowanie tekstowe… brak systematycznych i gruntownych poprawek w obrębie</w:t>
      </w:r>
      <w:r>
        <w:t xml:space="preserve"> </w:t>
      </w:r>
      <w:r>
        <w:rPr>
          <w:iCs/>
          <w:i/>
        </w:rPr>
        <w:t xml:space="preserve">PA</w:t>
      </w:r>
      <w:r>
        <w:t xml:space="preserve">, a także brak utrwalania się wzorców poprawek zdaje się jasno tego dowodzić. Wzajemne porównywanie i poprawianie</w:t>
      </w:r>
      <w:r>
        <w:t xml:space="preserve"> </w:t>
      </w:r>
      <w:r>
        <w:rPr>
          <w:iCs/>
          <w:i/>
        </w:rPr>
        <w:t xml:space="preserve">powinno</w:t>
      </w:r>
      <w:r>
        <w:t xml:space="preserve"> </w:t>
      </w:r>
      <w:r>
        <w:t xml:space="preserve">było szerzyć się i występować rozlegle w tej części tekstu z powodu istniejącej w niej wielkiej różnorodności wzorców tekstowych i odczytów, zamiast tego poprawianie występowało sporadycznie i rzadko miało charakter gruntowny.</w:t>
      </w:r>
    </w:p>
    <w:p>
      <w:pPr>
        <w:pStyle w:val="FootnoteText"/>
      </w:pPr>
      <w:r>
        <w:t xml:space="preserve">Skoro tak jest, zjawiska względnie ujednoliconej Bizantyjskiej Formy Tekstu</w:t>
      </w:r>
      <w:r>
        <w:t xml:space="preserve"> </w:t>
      </w:r>
      <w:r>
        <w:rPr>
          <w:iCs/>
          <w:i/>
        </w:rPr>
        <w:t xml:space="preserve">nie można</w:t>
      </w:r>
      <w:r>
        <w:t xml:space="preserve"> </w:t>
      </w:r>
      <w:r>
        <w:t xml:space="preserve">wyjaśnić metodologią „procesu”, niezależnie od tego, czy jest „zmodyfikowana”, czy nie…</w:t>
      </w:r>
    </w:p>
    <w:p>
      <w:pPr>
        <w:pStyle w:val="FootnoteText"/>
      </w:pPr>
      <w:r>
        <w:t xml:space="preserve">Na podstawie skolacjonowanych danych niniejszy autor jest zmuszony odwrócić swoje wcześniejsze założenia dotyczące rozwoju i przywrócenia/zachowania Bizantyjskiej Formy Tekstu w następującym sensie: chociaż sam przekaz tekstu jest procesem, wydaje się, że linie przekazu w większości pozostawały odrębne, przy stosunkowo niewielkim mieszaniu, które występowało albo się utrwalało…</w:t>
      </w:r>
    </w:p>
    <w:p>
      <w:pPr>
        <w:pStyle w:val="Footnote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 … … … … … … … … … … … …</w:t>
      </w:r>
    </w:p>
    <w:p>
      <w:pPr>
        <w:pStyle w:val="FootnoteText"/>
      </w:pPr>
      <w:r>
        <w:t xml:space="preserve">Wydaje się zatem, że bizantyjskie minuskuły zachowują linie przekazu, które nie tylko są niezależne, lecz z konieczności miały swój początek w czasie znacznie wcześniejszym niż IX wiek. Zachowane uncjały nie wyjaśniają i nie mogą wyjaśnić różnorodności i stabilności form tekstowych</w:t>
      </w:r>
      <w:r>
        <w:t xml:space="preserve"> </w:t>
      </w:r>
      <w:r>
        <w:rPr>
          <w:iCs/>
          <w:i/>
        </w:rPr>
        <w:t xml:space="preserve">PA</w:t>
      </w:r>
      <w:r>
        <w:t xml:space="preserve"> </w:t>
      </w:r>
      <w:r>
        <w:t xml:space="preserve">występujących nawet wśród najwcześniejszych minuskułów z IX wieku, nie mówiąc już o różnorodności i stabilności form występujących we wszystkich stuleciach ery minuskułów. Brak szerokiego wzajemnego porównywania i poprawiania, wykazany w zachowanych manuskryptach zawierających</w:t>
      </w:r>
      <w:r>
        <w:t xml:space="preserve"> </w:t>
      </w:r>
      <w:r>
        <w:rPr>
          <w:iCs/>
          <w:i/>
        </w:rPr>
        <w:t xml:space="preserve">PA</w:t>
      </w:r>
      <w:r>
        <w:t xml:space="preserve">, wyklucza łatwe rozwinięcie się jakiejkolwiek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epoce pergaminu. Wczesne uncjały zawierające</w:t>
      </w:r>
      <w:r>
        <w:t xml:space="preserve"> </w:t>
      </w:r>
      <w:r>
        <w:rPr>
          <w:iCs/>
          <w:i/>
        </w:rPr>
        <w:t xml:space="preserve">PA</w:t>
      </w:r>
      <w:r>
        <w:t xml:space="preserve"> </w:t>
      </w:r>
      <w:r>
        <w:t xml:space="preserve">wykazują znacznie różniące się linie przekazu, lecz nie wszystkie znane linie. Ani uncjały, ani minuskuły nie wykazują też żadnej oznaki, że jakakolwiek znana linia wywodzi się z równoległej znanej linii. Około dziesięciu linii przekazu „typu tekstu” pozostaje niezależnych i z konieczności musi sięgać punktu znacznie wcześniejszego niż nastąpiła ich odrębna stabilizacja — punktu, który zdaje się pogrzebany (jak sugerowali Colwell i Scrivener) głęboko w II wieku. („Preliminary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przedstawione Evangelical Theological Society, listopad 1998, s. 11–13).</w:t>
      </w:r>
    </w:p>
  </w:footnote>
  <w:footnote w:id="579">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(faktycznie opublikowane w 1989), s. 142–143.</w:t>
      </w:r>
    </w:p>
  </w:footnote>
  <w:footnote w:id="580">
    <w:p>
      <w:pPr>
        <w:pStyle w:val="FootnoteText"/>
      </w:pPr>
      <w:r>
        <w:rPr>
          <w:rStyle w:val="FootnoteReference"/>
        </w:rPr>
        <w:footnoteRef/>
      </w:r>
      <w:r>
        <w:t xml:space="preserve"> </w:t>
      </w:r>
      <w:r>
        <w:rPr>
          <w:iCs/>
          <w:i/>
        </w:rPr>
        <w:t xml:space="preserve">The Text of the New Testament</w:t>
      </w:r>
      <w:r>
        <w:t xml:space="preserve">, s.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24">
    <w:nsid w:val="A9972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abstractNum w:abstractNumId="99725">
    <w:nsid w:val="A9972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71">
    <w:nsid w:val="A994171"/>
    <w:multiLevelType w:val="multilevel"/>
    <w:lvl w:ilvl="0">
      <w:start w:val="71"/>
      <w:numFmt w:val="decimal"/>
      <w:lvlText w:val="%1."/>
      <w:lvlJc w:val="left"/>
      <w:pPr>
        <w:ind w:left="720" w:hanging="480"/>
      </w:pPr>
    </w:lvl>
    <w:lvl w:ilvl="1">
      <w:start w:val="71"/>
      <w:numFmt w:val="decimal"/>
      <w:lvlText w:val="%2."/>
      <w:lvlJc w:val="left"/>
      <w:pPr>
        <w:ind w:left="1440" w:hanging="480"/>
      </w:pPr>
    </w:lvl>
    <w:lvl w:ilvl="2">
      <w:start w:val="71"/>
      <w:numFmt w:val="decimal"/>
      <w:lvlText w:val="%3."/>
      <w:lvlJc w:val="left"/>
      <w:pPr>
        <w:ind w:left="2160" w:hanging="480"/>
      </w:pPr>
    </w:lvl>
    <w:lvl w:ilvl="3">
      <w:start w:val="71"/>
      <w:numFmt w:val="decimal"/>
      <w:lvlText w:val="%4."/>
      <w:lvlJc w:val="left"/>
      <w:pPr>
        <w:ind w:left="2880" w:hanging="480"/>
      </w:pPr>
    </w:lvl>
    <w:lvl w:ilvl="4">
      <w:start w:val="71"/>
      <w:numFmt w:val="decimal"/>
      <w:lvlText w:val="%5."/>
      <w:lvlJc w:val="left"/>
      <w:pPr>
        <w:ind w:left="3600" w:hanging="480"/>
      </w:pPr>
    </w:lvl>
    <w:lvl w:ilvl="5">
      <w:start w:val="71"/>
      <w:numFmt w:val="decimal"/>
      <w:lvlText w:val="%6."/>
      <w:lvlJc w:val="left"/>
      <w:pPr>
        <w:ind w:left="4320" w:hanging="480"/>
      </w:pPr>
    </w:lvl>
    <w:lvl w:ilvl="6">
      <w:start w:val="71"/>
      <w:numFmt w:val="decimal"/>
      <w:lvlText w:val="%7."/>
      <w:lvlJc w:val="left"/>
      <w:pPr>
        <w:ind w:left="5040" w:hanging="480"/>
      </w:pPr>
    </w:lvl>
    <w:lvl w:ilvl="7">
      <w:start w:val="71"/>
      <w:numFmt w:val="decimal"/>
      <w:lvlText w:val="%8."/>
      <w:lvlJc w:val="left"/>
      <w:pPr>
        <w:ind w:left="5760" w:hanging="480"/>
      </w:pPr>
    </w:lvl>
    <w:lvl w:ilvl="8">
      <w:start w:val="71"/>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87">
    <w:nsid w:val="A994187"/>
    <w:multiLevelType w:val="multilevel"/>
    <w:lvl w:ilvl="0">
      <w:start w:val="87"/>
      <w:numFmt w:val="decimal"/>
      <w:lvlText w:val="%1."/>
      <w:lvlJc w:val="left"/>
      <w:pPr>
        <w:ind w:left="720" w:hanging="480"/>
      </w:pPr>
    </w:lvl>
    <w:lvl w:ilvl="1">
      <w:start w:val="87"/>
      <w:numFmt w:val="decimal"/>
      <w:lvlText w:val="%2."/>
      <w:lvlJc w:val="left"/>
      <w:pPr>
        <w:ind w:left="1440" w:hanging="480"/>
      </w:pPr>
    </w:lvl>
    <w:lvl w:ilvl="2">
      <w:start w:val="87"/>
      <w:numFmt w:val="decimal"/>
      <w:lvlText w:val="%3."/>
      <w:lvlJc w:val="left"/>
      <w:pPr>
        <w:ind w:left="2160" w:hanging="480"/>
      </w:pPr>
    </w:lvl>
    <w:lvl w:ilvl="3">
      <w:start w:val="87"/>
      <w:numFmt w:val="decimal"/>
      <w:lvlText w:val="%4."/>
      <w:lvlJc w:val="left"/>
      <w:pPr>
        <w:ind w:left="2880" w:hanging="480"/>
      </w:pPr>
    </w:lvl>
    <w:lvl w:ilvl="4">
      <w:start w:val="87"/>
      <w:numFmt w:val="decimal"/>
      <w:lvlText w:val="%5."/>
      <w:lvlJc w:val="left"/>
      <w:pPr>
        <w:ind w:left="3600" w:hanging="480"/>
      </w:pPr>
    </w:lvl>
    <w:lvl w:ilvl="5">
      <w:start w:val="87"/>
      <w:numFmt w:val="decimal"/>
      <w:lvlText w:val="%6."/>
      <w:lvlJc w:val="left"/>
      <w:pPr>
        <w:ind w:left="4320" w:hanging="480"/>
      </w:pPr>
    </w:lvl>
    <w:lvl w:ilvl="6">
      <w:start w:val="87"/>
      <w:numFmt w:val="decimal"/>
      <w:lvlText w:val="%7."/>
      <w:lvlJc w:val="left"/>
      <w:pPr>
        <w:ind w:left="5040" w:hanging="480"/>
      </w:pPr>
    </w:lvl>
    <w:lvl w:ilvl="7">
      <w:start w:val="87"/>
      <w:numFmt w:val="decimal"/>
      <w:lvlText w:val="%8."/>
      <w:lvlJc w:val="left"/>
      <w:pPr>
        <w:ind w:left="5760" w:hanging="480"/>
      </w:pPr>
    </w:lvl>
    <w:lvl w:ilvl="8">
      <w:start w:val="87"/>
      <w:numFmt w:val="decimal"/>
      <w:lvlText w:val="%9."/>
      <w:lvlJc w:val="left"/>
      <w:pPr>
        <w:ind w:left="6480" w:hanging="480"/>
      </w:pPr>
    </w:lvl>
  </w:abstractNum>
  <w:abstractNum w:abstractNumId="994189">
    <w:nsid w:val="A994189"/>
    <w:multiLevelType w:val="multilevel"/>
    <w:lvl w:ilvl="0">
      <w:start w:val="89"/>
      <w:numFmt w:val="decimal"/>
      <w:lvlText w:val="%1."/>
      <w:lvlJc w:val="left"/>
      <w:pPr>
        <w:ind w:left="720" w:hanging="480"/>
      </w:pPr>
    </w:lvl>
    <w:lvl w:ilvl="1">
      <w:start w:val="89"/>
      <w:numFmt w:val="decimal"/>
      <w:lvlText w:val="%2."/>
      <w:lvlJc w:val="left"/>
      <w:pPr>
        <w:ind w:left="1440" w:hanging="480"/>
      </w:pPr>
    </w:lvl>
    <w:lvl w:ilvl="2">
      <w:start w:val="89"/>
      <w:numFmt w:val="decimal"/>
      <w:lvlText w:val="%3."/>
      <w:lvlJc w:val="left"/>
      <w:pPr>
        <w:ind w:left="2160" w:hanging="480"/>
      </w:pPr>
    </w:lvl>
    <w:lvl w:ilvl="3">
      <w:start w:val="89"/>
      <w:numFmt w:val="decimal"/>
      <w:lvlText w:val="%4."/>
      <w:lvlJc w:val="left"/>
      <w:pPr>
        <w:ind w:left="2880" w:hanging="480"/>
      </w:pPr>
    </w:lvl>
    <w:lvl w:ilvl="4">
      <w:start w:val="89"/>
      <w:numFmt w:val="decimal"/>
      <w:lvlText w:val="%5."/>
      <w:lvlJc w:val="left"/>
      <w:pPr>
        <w:ind w:left="3600" w:hanging="480"/>
      </w:pPr>
    </w:lvl>
    <w:lvl w:ilvl="5">
      <w:start w:val="89"/>
      <w:numFmt w:val="decimal"/>
      <w:lvlText w:val="%6."/>
      <w:lvlJc w:val="left"/>
      <w:pPr>
        <w:ind w:left="4320" w:hanging="480"/>
      </w:pPr>
    </w:lvl>
    <w:lvl w:ilvl="6">
      <w:start w:val="89"/>
      <w:numFmt w:val="decimal"/>
      <w:lvlText w:val="%7."/>
      <w:lvlJc w:val="left"/>
      <w:pPr>
        <w:ind w:left="5040" w:hanging="480"/>
      </w:pPr>
    </w:lvl>
    <w:lvl w:ilvl="7">
      <w:start w:val="89"/>
      <w:numFmt w:val="decimal"/>
      <w:lvlText w:val="%8."/>
      <w:lvlJc w:val="left"/>
      <w:pPr>
        <w:ind w:left="5760" w:hanging="480"/>
      </w:pPr>
    </w:lvl>
    <w:lvl w:ilvl="8">
      <w:start w:val="89"/>
      <w:numFmt w:val="decimal"/>
      <w:lvlText w:val="%9."/>
      <w:lvlJc w:val="left"/>
      <w:pPr>
        <w:ind w:left="6480" w:hanging="480"/>
      </w:pPr>
    </w:lvl>
  </w:abstractNum>
  <w:abstractNum w:abstractNumId="994191">
    <w:nsid w:val="A994191"/>
    <w:multiLevelType w:val="multilevel"/>
    <w:lvl w:ilvl="0">
      <w:start w:val="91"/>
      <w:numFmt w:val="decimal"/>
      <w:lvlText w:val="%1."/>
      <w:lvlJc w:val="left"/>
      <w:pPr>
        <w:ind w:left="720" w:hanging="480"/>
      </w:pPr>
    </w:lvl>
    <w:lvl w:ilvl="1">
      <w:start w:val="91"/>
      <w:numFmt w:val="decimal"/>
      <w:lvlText w:val="%2."/>
      <w:lvlJc w:val="left"/>
      <w:pPr>
        <w:ind w:left="1440" w:hanging="480"/>
      </w:pPr>
    </w:lvl>
    <w:lvl w:ilvl="2">
      <w:start w:val="91"/>
      <w:numFmt w:val="decimal"/>
      <w:lvlText w:val="%3."/>
      <w:lvlJc w:val="left"/>
      <w:pPr>
        <w:ind w:left="2160" w:hanging="480"/>
      </w:pPr>
    </w:lvl>
    <w:lvl w:ilvl="3">
      <w:start w:val="91"/>
      <w:numFmt w:val="decimal"/>
      <w:lvlText w:val="%4."/>
      <w:lvlJc w:val="left"/>
      <w:pPr>
        <w:ind w:left="2880" w:hanging="480"/>
      </w:pPr>
    </w:lvl>
    <w:lvl w:ilvl="4">
      <w:start w:val="91"/>
      <w:numFmt w:val="decimal"/>
      <w:lvlText w:val="%5."/>
      <w:lvlJc w:val="left"/>
      <w:pPr>
        <w:ind w:left="3600" w:hanging="480"/>
      </w:pPr>
    </w:lvl>
    <w:lvl w:ilvl="5">
      <w:start w:val="91"/>
      <w:numFmt w:val="decimal"/>
      <w:lvlText w:val="%6."/>
      <w:lvlJc w:val="left"/>
      <w:pPr>
        <w:ind w:left="4320" w:hanging="480"/>
      </w:pPr>
    </w:lvl>
    <w:lvl w:ilvl="6">
      <w:start w:val="91"/>
      <w:numFmt w:val="decimal"/>
      <w:lvlText w:val="%7."/>
      <w:lvlJc w:val="left"/>
      <w:pPr>
        <w:ind w:left="5040" w:hanging="480"/>
      </w:pPr>
    </w:lvl>
    <w:lvl w:ilvl="7">
      <w:start w:val="91"/>
      <w:numFmt w:val="decimal"/>
      <w:lvlText w:val="%8."/>
      <w:lvlJc w:val="left"/>
      <w:pPr>
        <w:ind w:left="5760" w:hanging="480"/>
      </w:pPr>
    </w:lvl>
    <w:lvl w:ilvl="8">
      <w:start w:val="91"/>
      <w:numFmt w:val="decimal"/>
      <w:lvlText w:val="%9."/>
      <w:lvlJc w:val="left"/>
      <w:pPr>
        <w:ind w:left="6480" w:hanging="480"/>
      </w:pPr>
    </w:lvl>
  </w:abstractNum>
  <w:abstractNum w:abstractNumId="994193">
    <w:nsid w:val="A994193"/>
    <w:multiLevelType w:val="multilevel"/>
    <w:lvl w:ilvl="0">
      <w:start w:val="93"/>
      <w:numFmt w:val="decimal"/>
      <w:lvlText w:val="%1."/>
      <w:lvlJc w:val="left"/>
      <w:pPr>
        <w:ind w:left="720" w:hanging="480"/>
      </w:pPr>
    </w:lvl>
    <w:lvl w:ilvl="1">
      <w:start w:val="93"/>
      <w:numFmt w:val="decimal"/>
      <w:lvlText w:val="%2."/>
      <w:lvlJc w:val="left"/>
      <w:pPr>
        <w:ind w:left="1440" w:hanging="480"/>
      </w:pPr>
    </w:lvl>
    <w:lvl w:ilvl="2">
      <w:start w:val="93"/>
      <w:numFmt w:val="decimal"/>
      <w:lvlText w:val="%3."/>
      <w:lvlJc w:val="left"/>
      <w:pPr>
        <w:ind w:left="2160" w:hanging="480"/>
      </w:pPr>
    </w:lvl>
    <w:lvl w:ilvl="3">
      <w:start w:val="93"/>
      <w:numFmt w:val="decimal"/>
      <w:lvlText w:val="%4."/>
      <w:lvlJc w:val="left"/>
      <w:pPr>
        <w:ind w:left="2880" w:hanging="480"/>
      </w:pPr>
    </w:lvl>
    <w:lvl w:ilvl="4">
      <w:start w:val="93"/>
      <w:numFmt w:val="decimal"/>
      <w:lvlText w:val="%5."/>
      <w:lvlJc w:val="left"/>
      <w:pPr>
        <w:ind w:left="3600" w:hanging="480"/>
      </w:pPr>
    </w:lvl>
    <w:lvl w:ilvl="5">
      <w:start w:val="93"/>
      <w:numFmt w:val="decimal"/>
      <w:lvlText w:val="%6."/>
      <w:lvlJc w:val="left"/>
      <w:pPr>
        <w:ind w:left="4320" w:hanging="480"/>
      </w:pPr>
    </w:lvl>
    <w:lvl w:ilvl="6">
      <w:start w:val="93"/>
      <w:numFmt w:val="decimal"/>
      <w:lvlText w:val="%7."/>
      <w:lvlJc w:val="left"/>
      <w:pPr>
        <w:ind w:left="5040" w:hanging="480"/>
      </w:pPr>
    </w:lvl>
    <w:lvl w:ilvl="7">
      <w:start w:val="93"/>
      <w:numFmt w:val="decimal"/>
      <w:lvlText w:val="%8."/>
      <w:lvlJc w:val="left"/>
      <w:pPr>
        <w:ind w:left="5760" w:hanging="480"/>
      </w:pPr>
    </w:lvl>
    <w:lvl w:ilvl="8">
      <w:start w:val="93"/>
      <w:numFmt w:val="decimal"/>
      <w:lvlText w:val="%9."/>
      <w:lvlJc w:val="left"/>
      <w:pPr>
        <w:ind w:left="6480" w:hanging="480"/>
      </w:pPr>
    </w:lvl>
  </w:abstractNum>
  <w:abstractNum w:abstractNumId="994195">
    <w:nsid w:val="A994195"/>
    <w:multiLevelType w:val="multilevel"/>
    <w:lvl w:ilvl="0">
      <w:start w:val="95"/>
      <w:numFmt w:val="decimal"/>
      <w:lvlText w:val="%1."/>
      <w:lvlJc w:val="left"/>
      <w:pPr>
        <w:ind w:left="720" w:hanging="480"/>
      </w:pPr>
    </w:lvl>
    <w:lvl w:ilvl="1">
      <w:start w:val="95"/>
      <w:numFmt w:val="decimal"/>
      <w:lvlText w:val="%2."/>
      <w:lvlJc w:val="left"/>
      <w:pPr>
        <w:ind w:left="1440" w:hanging="480"/>
      </w:pPr>
    </w:lvl>
    <w:lvl w:ilvl="2">
      <w:start w:val="95"/>
      <w:numFmt w:val="decimal"/>
      <w:lvlText w:val="%3."/>
      <w:lvlJc w:val="left"/>
      <w:pPr>
        <w:ind w:left="2160" w:hanging="480"/>
      </w:pPr>
    </w:lvl>
    <w:lvl w:ilvl="3">
      <w:start w:val="95"/>
      <w:numFmt w:val="decimal"/>
      <w:lvlText w:val="%4."/>
      <w:lvlJc w:val="left"/>
      <w:pPr>
        <w:ind w:left="2880" w:hanging="480"/>
      </w:pPr>
    </w:lvl>
    <w:lvl w:ilvl="4">
      <w:start w:val="95"/>
      <w:numFmt w:val="decimal"/>
      <w:lvlText w:val="%5."/>
      <w:lvlJc w:val="left"/>
      <w:pPr>
        <w:ind w:left="3600" w:hanging="480"/>
      </w:pPr>
    </w:lvl>
    <w:lvl w:ilvl="5">
      <w:start w:val="95"/>
      <w:numFmt w:val="decimal"/>
      <w:lvlText w:val="%6."/>
      <w:lvlJc w:val="left"/>
      <w:pPr>
        <w:ind w:left="4320" w:hanging="480"/>
      </w:pPr>
    </w:lvl>
    <w:lvl w:ilvl="6">
      <w:start w:val="95"/>
      <w:numFmt w:val="decimal"/>
      <w:lvlText w:val="%7."/>
      <w:lvlJc w:val="left"/>
      <w:pPr>
        <w:ind w:left="5040" w:hanging="480"/>
      </w:pPr>
    </w:lvl>
    <w:lvl w:ilvl="7">
      <w:start w:val="95"/>
      <w:numFmt w:val="decimal"/>
      <w:lvlText w:val="%8."/>
      <w:lvlJc w:val="left"/>
      <w:pPr>
        <w:ind w:left="5760" w:hanging="480"/>
      </w:pPr>
    </w:lvl>
    <w:lvl w:ilvl="8">
      <w:start w:val="95"/>
      <w:numFmt w:val="decimal"/>
      <w:lvlText w:val="%9."/>
      <w:lvlJc w:val="left"/>
      <w:pPr>
        <w:ind w:left="6480" w:hanging="480"/>
      </w:pPr>
    </w:lvl>
  </w:abstractNum>
  <w:abstractNum w:abstractNumId="9941103">
    <w:nsid w:val="A9941103"/>
    <w:multiLevelType w:val="multilevel"/>
    <w:lvl w:ilvl="0">
      <w:start w:val="103"/>
      <w:numFmt w:val="decimal"/>
      <w:lvlText w:val="%1."/>
      <w:lvlJc w:val="left"/>
      <w:pPr>
        <w:ind w:left="720" w:hanging="480"/>
      </w:pPr>
    </w:lvl>
    <w:lvl w:ilvl="1">
      <w:start w:val="103"/>
      <w:numFmt w:val="decimal"/>
      <w:lvlText w:val="%2."/>
      <w:lvlJc w:val="left"/>
      <w:pPr>
        <w:ind w:left="1440" w:hanging="480"/>
      </w:pPr>
    </w:lvl>
    <w:lvl w:ilvl="2">
      <w:start w:val="103"/>
      <w:numFmt w:val="decimal"/>
      <w:lvlText w:val="%3."/>
      <w:lvlJc w:val="left"/>
      <w:pPr>
        <w:ind w:left="2160" w:hanging="480"/>
      </w:pPr>
    </w:lvl>
    <w:lvl w:ilvl="3">
      <w:start w:val="103"/>
      <w:numFmt w:val="decimal"/>
      <w:lvlText w:val="%4."/>
      <w:lvlJc w:val="left"/>
      <w:pPr>
        <w:ind w:left="2880" w:hanging="480"/>
      </w:pPr>
    </w:lvl>
    <w:lvl w:ilvl="4">
      <w:start w:val="103"/>
      <w:numFmt w:val="decimal"/>
      <w:lvlText w:val="%5."/>
      <w:lvlJc w:val="left"/>
      <w:pPr>
        <w:ind w:left="3600" w:hanging="480"/>
      </w:pPr>
    </w:lvl>
    <w:lvl w:ilvl="5">
      <w:start w:val="103"/>
      <w:numFmt w:val="decimal"/>
      <w:lvlText w:val="%6."/>
      <w:lvlJc w:val="left"/>
      <w:pPr>
        <w:ind w:left="4320" w:hanging="480"/>
      </w:pPr>
    </w:lvl>
    <w:lvl w:ilvl="6">
      <w:start w:val="103"/>
      <w:numFmt w:val="decimal"/>
      <w:lvlText w:val="%7."/>
      <w:lvlJc w:val="left"/>
      <w:pPr>
        <w:ind w:left="5040" w:hanging="480"/>
      </w:pPr>
    </w:lvl>
    <w:lvl w:ilvl="7">
      <w:start w:val="103"/>
      <w:numFmt w:val="decimal"/>
      <w:lvlText w:val="%8."/>
      <w:lvlJc w:val="left"/>
      <w:pPr>
        <w:ind w:left="5760" w:hanging="480"/>
      </w:pPr>
    </w:lvl>
    <w:lvl w:ilvl="8">
      <w:start w:val="103"/>
      <w:numFmt w:val="decimal"/>
      <w:lvlText w:val="%9."/>
      <w:lvlJc w:val="left"/>
      <w:pPr>
        <w:ind w:left="6480" w:hanging="480"/>
      </w:pPr>
    </w:lvl>
  </w:abstractNum>
  <w:abstractNum w:abstractNumId="9941109">
    <w:nsid w:val="A9941109"/>
    <w:multiLevelType w:val="multilevel"/>
    <w:lvl w:ilvl="0">
      <w:start w:val="109"/>
      <w:numFmt w:val="decimal"/>
      <w:lvlText w:val="%1."/>
      <w:lvlJc w:val="left"/>
      <w:pPr>
        <w:ind w:left="720" w:hanging="480"/>
      </w:pPr>
    </w:lvl>
    <w:lvl w:ilvl="1">
      <w:start w:val="109"/>
      <w:numFmt w:val="decimal"/>
      <w:lvlText w:val="%2."/>
      <w:lvlJc w:val="left"/>
      <w:pPr>
        <w:ind w:left="1440" w:hanging="480"/>
      </w:pPr>
    </w:lvl>
    <w:lvl w:ilvl="2">
      <w:start w:val="109"/>
      <w:numFmt w:val="decimal"/>
      <w:lvlText w:val="%3."/>
      <w:lvlJc w:val="left"/>
      <w:pPr>
        <w:ind w:left="2160" w:hanging="480"/>
      </w:pPr>
    </w:lvl>
    <w:lvl w:ilvl="3">
      <w:start w:val="109"/>
      <w:numFmt w:val="decimal"/>
      <w:lvlText w:val="%4."/>
      <w:lvlJc w:val="left"/>
      <w:pPr>
        <w:ind w:left="2880" w:hanging="480"/>
      </w:pPr>
    </w:lvl>
    <w:lvl w:ilvl="4">
      <w:start w:val="109"/>
      <w:numFmt w:val="decimal"/>
      <w:lvlText w:val="%5."/>
      <w:lvlJc w:val="left"/>
      <w:pPr>
        <w:ind w:left="3600" w:hanging="480"/>
      </w:pPr>
    </w:lvl>
    <w:lvl w:ilvl="5">
      <w:start w:val="109"/>
      <w:numFmt w:val="decimal"/>
      <w:lvlText w:val="%6."/>
      <w:lvlJc w:val="left"/>
      <w:pPr>
        <w:ind w:left="4320" w:hanging="480"/>
      </w:pPr>
    </w:lvl>
    <w:lvl w:ilvl="6">
      <w:start w:val="109"/>
      <w:numFmt w:val="decimal"/>
      <w:lvlText w:val="%7."/>
      <w:lvlJc w:val="left"/>
      <w:pPr>
        <w:ind w:left="5040" w:hanging="480"/>
      </w:pPr>
    </w:lvl>
    <w:lvl w:ilvl="7">
      <w:start w:val="109"/>
      <w:numFmt w:val="decimal"/>
      <w:lvlText w:val="%8."/>
      <w:lvlJc w:val="left"/>
      <w:pPr>
        <w:ind w:left="5760" w:hanging="480"/>
      </w:pPr>
    </w:lvl>
    <w:lvl w:ilvl="8">
      <w:start w:val="109"/>
      <w:numFmt w:val="decimal"/>
      <w:lvlText w:val="%9."/>
      <w:lvlJc w:val="left"/>
      <w:pPr>
        <w:ind w:left="6480" w:hanging="480"/>
      </w:pPr>
    </w:lvl>
  </w:abstractNum>
  <w:abstractNum w:abstractNumId="9941111">
    <w:nsid w:val="A9941111"/>
    <w:multiLevelType w:val="multilevel"/>
    <w:lvl w:ilvl="0">
      <w:start w:val="111"/>
      <w:numFmt w:val="decimal"/>
      <w:lvlText w:val="%1."/>
      <w:lvlJc w:val="left"/>
      <w:pPr>
        <w:ind w:left="720" w:hanging="480"/>
      </w:pPr>
    </w:lvl>
    <w:lvl w:ilvl="1">
      <w:start w:val="111"/>
      <w:numFmt w:val="decimal"/>
      <w:lvlText w:val="%2."/>
      <w:lvlJc w:val="left"/>
      <w:pPr>
        <w:ind w:left="1440" w:hanging="480"/>
      </w:pPr>
    </w:lvl>
    <w:lvl w:ilvl="2">
      <w:start w:val="111"/>
      <w:numFmt w:val="decimal"/>
      <w:lvlText w:val="%3."/>
      <w:lvlJc w:val="left"/>
      <w:pPr>
        <w:ind w:left="2160" w:hanging="480"/>
      </w:pPr>
    </w:lvl>
    <w:lvl w:ilvl="3">
      <w:start w:val="111"/>
      <w:numFmt w:val="decimal"/>
      <w:lvlText w:val="%4."/>
      <w:lvlJc w:val="left"/>
      <w:pPr>
        <w:ind w:left="2880" w:hanging="480"/>
      </w:pPr>
    </w:lvl>
    <w:lvl w:ilvl="4">
      <w:start w:val="111"/>
      <w:numFmt w:val="decimal"/>
      <w:lvlText w:val="%5."/>
      <w:lvlJc w:val="left"/>
      <w:pPr>
        <w:ind w:left="3600" w:hanging="480"/>
      </w:pPr>
    </w:lvl>
    <w:lvl w:ilvl="5">
      <w:start w:val="111"/>
      <w:numFmt w:val="decimal"/>
      <w:lvlText w:val="%6."/>
      <w:lvlJc w:val="left"/>
      <w:pPr>
        <w:ind w:left="4320" w:hanging="480"/>
      </w:pPr>
    </w:lvl>
    <w:lvl w:ilvl="6">
      <w:start w:val="111"/>
      <w:numFmt w:val="decimal"/>
      <w:lvlText w:val="%7."/>
      <w:lvlJc w:val="left"/>
      <w:pPr>
        <w:ind w:left="5040" w:hanging="480"/>
      </w:pPr>
    </w:lvl>
    <w:lvl w:ilvl="7">
      <w:start w:val="111"/>
      <w:numFmt w:val="decimal"/>
      <w:lvlText w:val="%8."/>
      <w:lvlJc w:val="left"/>
      <w:pPr>
        <w:ind w:left="5760" w:hanging="480"/>
      </w:pPr>
    </w:lvl>
    <w:lvl w:ilvl="8">
      <w:start w:val="111"/>
      <w:numFmt w:val="decimal"/>
      <w:lvlText w:val="%9."/>
      <w:lvlJc w:val="left"/>
      <w:pPr>
        <w:ind w:left="6480" w:hanging="480"/>
      </w:pPr>
    </w:lvl>
  </w:abstractNum>
  <w:abstractNum w:abstractNumId="9941117">
    <w:nsid w:val="A9941117"/>
    <w:multiLevelType w:val="multilevel"/>
    <w:lvl w:ilvl="0">
      <w:start w:val="117"/>
      <w:numFmt w:val="decimal"/>
      <w:lvlText w:val="%1."/>
      <w:lvlJc w:val="left"/>
      <w:pPr>
        <w:ind w:left="720" w:hanging="480"/>
      </w:pPr>
    </w:lvl>
    <w:lvl w:ilvl="1">
      <w:start w:val="117"/>
      <w:numFmt w:val="decimal"/>
      <w:lvlText w:val="%2."/>
      <w:lvlJc w:val="left"/>
      <w:pPr>
        <w:ind w:left="1440" w:hanging="480"/>
      </w:pPr>
    </w:lvl>
    <w:lvl w:ilvl="2">
      <w:start w:val="117"/>
      <w:numFmt w:val="decimal"/>
      <w:lvlText w:val="%3."/>
      <w:lvlJc w:val="left"/>
      <w:pPr>
        <w:ind w:left="2160" w:hanging="480"/>
      </w:pPr>
    </w:lvl>
    <w:lvl w:ilvl="3">
      <w:start w:val="117"/>
      <w:numFmt w:val="decimal"/>
      <w:lvlText w:val="%4."/>
      <w:lvlJc w:val="left"/>
      <w:pPr>
        <w:ind w:left="2880" w:hanging="480"/>
      </w:pPr>
    </w:lvl>
    <w:lvl w:ilvl="4">
      <w:start w:val="117"/>
      <w:numFmt w:val="decimal"/>
      <w:lvlText w:val="%5."/>
      <w:lvlJc w:val="left"/>
      <w:pPr>
        <w:ind w:left="3600" w:hanging="480"/>
      </w:pPr>
    </w:lvl>
    <w:lvl w:ilvl="5">
      <w:start w:val="117"/>
      <w:numFmt w:val="decimal"/>
      <w:lvlText w:val="%6."/>
      <w:lvlJc w:val="left"/>
      <w:pPr>
        <w:ind w:left="4320" w:hanging="480"/>
      </w:pPr>
    </w:lvl>
    <w:lvl w:ilvl="6">
      <w:start w:val="117"/>
      <w:numFmt w:val="decimal"/>
      <w:lvlText w:val="%7."/>
      <w:lvlJc w:val="left"/>
      <w:pPr>
        <w:ind w:left="5040" w:hanging="480"/>
      </w:pPr>
    </w:lvl>
    <w:lvl w:ilvl="7">
      <w:start w:val="117"/>
      <w:numFmt w:val="decimal"/>
      <w:lvlText w:val="%8."/>
      <w:lvlJc w:val="left"/>
      <w:pPr>
        <w:ind w:left="5760" w:hanging="480"/>
      </w:pPr>
    </w:lvl>
    <w:lvl w:ilvl="8">
      <w:start w:val="117"/>
      <w:numFmt w:val="decimal"/>
      <w:lvlText w:val="%9."/>
      <w:lvlJc w:val="left"/>
      <w:pPr>
        <w:ind w:left="6480" w:hanging="480"/>
      </w:pPr>
    </w:lvl>
  </w:abstractNum>
  <w:abstractNum w:abstractNumId="9941120">
    <w:nsid w:val="A9941120"/>
    <w:multiLevelType w:val="multilevel"/>
    <w:lvl w:ilvl="0">
      <w:start w:val="120"/>
      <w:numFmt w:val="decimal"/>
      <w:lvlText w:val="%1."/>
      <w:lvlJc w:val="left"/>
      <w:pPr>
        <w:ind w:left="720" w:hanging="480"/>
      </w:pPr>
    </w:lvl>
    <w:lvl w:ilvl="1">
      <w:start w:val="120"/>
      <w:numFmt w:val="decimal"/>
      <w:lvlText w:val="%2."/>
      <w:lvlJc w:val="left"/>
      <w:pPr>
        <w:ind w:left="1440" w:hanging="480"/>
      </w:pPr>
    </w:lvl>
    <w:lvl w:ilvl="2">
      <w:start w:val="120"/>
      <w:numFmt w:val="decimal"/>
      <w:lvlText w:val="%3."/>
      <w:lvlJc w:val="left"/>
      <w:pPr>
        <w:ind w:left="2160" w:hanging="480"/>
      </w:pPr>
    </w:lvl>
    <w:lvl w:ilvl="3">
      <w:start w:val="120"/>
      <w:numFmt w:val="decimal"/>
      <w:lvlText w:val="%4."/>
      <w:lvlJc w:val="left"/>
      <w:pPr>
        <w:ind w:left="2880" w:hanging="480"/>
      </w:pPr>
    </w:lvl>
    <w:lvl w:ilvl="4">
      <w:start w:val="120"/>
      <w:numFmt w:val="decimal"/>
      <w:lvlText w:val="%5."/>
      <w:lvlJc w:val="left"/>
      <w:pPr>
        <w:ind w:left="3600" w:hanging="480"/>
      </w:pPr>
    </w:lvl>
    <w:lvl w:ilvl="5">
      <w:start w:val="120"/>
      <w:numFmt w:val="decimal"/>
      <w:lvlText w:val="%6."/>
      <w:lvlJc w:val="left"/>
      <w:pPr>
        <w:ind w:left="4320" w:hanging="480"/>
      </w:pPr>
    </w:lvl>
    <w:lvl w:ilvl="6">
      <w:start w:val="120"/>
      <w:numFmt w:val="decimal"/>
      <w:lvlText w:val="%7."/>
      <w:lvlJc w:val="left"/>
      <w:pPr>
        <w:ind w:left="5040" w:hanging="480"/>
      </w:pPr>
    </w:lvl>
    <w:lvl w:ilvl="7">
      <w:start w:val="120"/>
      <w:numFmt w:val="decimal"/>
      <w:lvlText w:val="%8."/>
      <w:lvlJc w:val="left"/>
      <w:pPr>
        <w:ind w:left="5760" w:hanging="480"/>
      </w:pPr>
    </w:lvl>
    <w:lvl w:ilvl="8">
      <w:start w:val="120"/>
      <w:numFmt w:val="decimal"/>
      <w:lvlText w:val="%9."/>
      <w:lvlJc w:val="left"/>
      <w:pPr>
        <w:ind w:left="6480" w:hanging="480"/>
      </w:pPr>
    </w:lvl>
  </w:abstractNum>
  <w:abstractNum w:abstractNumId="9941122">
    <w:nsid w:val="A9941122"/>
    <w:multiLevelType w:val="multilevel"/>
    <w:lvl w:ilvl="0">
      <w:start w:val="122"/>
      <w:numFmt w:val="decimal"/>
      <w:lvlText w:val="%1."/>
      <w:lvlJc w:val="left"/>
      <w:pPr>
        <w:ind w:left="720" w:hanging="480"/>
      </w:pPr>
    </w:lvl>
    <w:lvl w:ilvl="1">
      <w:start w:val="122"/>
      <w:numFmt w:val="decimal"/>
      <w:lvlText w:val="%2."/>
      <w:lvlJc w:val="left"/>
      <w:pPr>
        <w:ind w:left="1440" w:hanging="480"/>
      </w:pPr>
    </w:lvl>
    <w:lvl w:ilvl="2">
      <w:start w:val="122"/>
      <w:numFmt w:val="decimal"/>
      <w:lvlText w:val="%3."/>
      <w:lvlJc w:val="left"/>
      <w:pPr>
        <w:ind w:left="2160" w:hanging="480"/>
      </w:pPr>
    </w:lvl>
    <w:lvl w:ilvl="3">
      <w:start w:val="122"/>
      <w:numFmt w:val="decimal"/>
      <w:lvlText w:val="%4."/>
      <w:lvlJc w:val="left"/>
      <w:pPr>
        <w:ind w:left="2880" w:hanging="480"/>
      </w:pPr>
    </w:lvl>
    <w:lvl w:ilvl="4">
      <w:start w:val="122"/>
      <w:numFmt w:val="decimal"/>
      <w:lvlText w:val="%5."/>
      <w:lvlJc w:val="left"/>
      <w:pPr>
        <w:ind w:left="3600" w:hanging="480"/>
      </w:pPr>
    </w:lvl>
    <w:lvl w:ilvl="5">
      <w:start w:val="122"/>
      <w:numFmt w:val="decimal"/>
      <w:lvlText w:val="%6."/>
      <w:lvlJc w:val="left"/>
      <w:pPr>
        <w:ind w:left="4320" w:hanging="480"/>
      </w:pPr>
    </w:lvl>
    <w:lvl w:ilvl="6">
      <w:start w:val="122"/>
      <w:numFmt w:val="decimal"/>
      <w:lvlText w:val="%7."/>
      <w:lvlJc w:val="left"/>
      <w:pPr>
        <w:ind w:left="5040" w:hanging="480"/>
      </w:pPr>
    </w:lvl>
    <w:lvl w:ilvl="7">
      <w:start w:val="122"/>
      <w:numFmt w:val="decimal"/>
      <w:lvlText w:val="%8."/>
      <w:lvlJc w:val="left"/>
      <w:pPr>
        <w:ind w:left="5760" w:hanging="480"/>
      </w:pPr>
    </w:lvl>
    <w:lvl w:ilvl="8">
      <w:start w:val="122"/>
      <w:numFmt w:val="decimal"/>
      <w:lvlText w:val="%9."/>
      <w:lvlJc w:val="left"/>
      <w:pPr>
        <w:ind w:left="6480" w:hanging="480"/>
      </w:pPr>
    </w:lvl>
  </w:abstractNum>
  <w:abstractNum w:abstractNumId="9941125">
    <w:nsid w:val="A9941125"/>
    <w:multiLevelType w:val="multilevel"/>
    <w:lvl w:ilvl="0">
      <w:start w:val="125"/>
      <w:numFmt w:val="decimal"/>
      <w:lvlText w:val="%1."/>
      <w:lvlJc w:val="left"/>
      <w:pPr>
        <w:ind w:left="720" w:hanging="480"/>
      </w:pPr>
    </w:lvl>
    <w:lvl w:ilvl="1">
      <w:start w:val="125"/>
      <w:numFmt w:val="decimal"/>
      <w:lvlText w:val="%2."/>
      <w:lvlJc w:val="left"/>
      <w:pPr>
        <w:ind w:left="1440" w:hanging="480"/>
      </w:pPr>
    </w:lvl>
    <w:lvl w:ilvl="2">
      <w:start w:val="125"/>
      <w:numFmt w:val="decimal"/>
      <w:lvlText w:val="%3."/>
      <w:lvlJc w:val="left"/>
      <w:pPr>
        <w:ind w:left="2160" w:hanging="480"/>
      </w:pPr>
    </w:lvl>
    <w:lvl w:ilvl="3">
      <w:start w:val="125"/>
      <w:numFmt w:val="decimal"/>
      <w:lvlText w:val="%4."/>
      <w:lvlJc w:val="left"/>
      <w:pPr>
        <w:ind w:left="2880" w:hanging="480"/>
      </w:pPr>
    </w:lvl>
    <w:lvl w:ilvl="4">
      <w:start w:val="125"/>
      <w:numFmt w:val="decimal"/>
      <w:lvlText w:val="%5."/>
      <w:lvlJc w:val="left"/>
      <w:pPr>
        <w:ind w:left="3600" w:hanging="480"/>
      </w:pPr>
    </w:lvl>
    <w:lvl w:ilvl="5">
      <w:start w:val="125"/>
      <w:numFmt w:val="decimal"/>
      <w:lvlText w:val="%6."/>
      <w:lvlJc w:val="left"/>
      <w:pPr>
        <w:ind w:left="4320" w:hanging="480"/>
      </w:pPr>
    </w:lvl>
    <w:lvl w:ilvl="6">
      <w:start w:val="125"/>
      <w:numFmt w:val="decimal"/>
      <w:lvlText w:val="%7."/>
      <w:lvlJc w:val="left"/>
      <w:pPr>
        <w:ind w:left="5040" w:hanging="480"/>
      </w:pPr>
    </w:lvl>
    <w:lvl w:ilvl="7">
      <w:start w:val="125"/>
      <w:numFmt w:val="decimal"/>
      <w:lvlText w:val="%8."/>
      <w:lvlJc w:val="left"/>
      <w:pPr>
        <w:ind w:left="5760" w:hanging="480"/>
      </w:pPr>
    </w:lvl>
    <w:lvl w:ilvl="8">
      <w:start w:val="125"/>
      <w:numFmt w:val="decimal"/>
      <w:lvlText w:val="%9."/>
      <w:lvlJc w:val="left"/>
      <w:pPr>
        <w:ind w:left="6480" w:hanging="480"/>
      </w:pPr>
    </w:lvl>
  </w:abstractNum>
  <w:abstractNum w:abstractNumId="9941130">
    <w:nsid w:val="A9941130"/>
    <w:multiLevelType w:val="multilevel"/>
    <w:lvl w:ilvl="0">
      <w:start w:val="130"/>
      <w:numFmt w:val="decimal"/>
      <w:lvlText w:val="%1."/>
      <w:lvlJc w:val="left"/>
      <w:pPr>
        <w:ind w:left="720" w:hanging="480"/>
      </w:pPr>
    </w:lvl>
    <w:lvl w:ilvl="1">
      <w:start w:val="130"/>
      <w:numFmt w:val="decimal"/>
      <w:lvlText w:val="%2."/>
      <w:lvlJc w:val="left"/>
      <w:pPr>
        <w:ind w:left="1440" w:hanging="480"/>
      </w:pPr>
    </w:lvl>
    <w:lvl w:ilvl="2">
      <w:start w:val="130"/>
      <w:numFmt w:val="decimal"/>
      <w:lvlText w:val="%3."/>
      <w:lvlJc w:val="left"/>
      <w:pPr>
        <w:ind w:left="2160" w:hanging="480"/>
      </w:pPr>
    </w:lvl>
    <w:lvl w:ilvl="3">
      <w:start w:val="130"/>
      <w:numFmt w:val="decimal"/>
      <w:lvlText w:val="%4."/>
      <w:lvlJc w:val="left"/>
      <w:pPr>
        <w:ind w:left="2880" w:hanging="480"/>
      </w:pPr>
    </w:lvl>
    <w:lvl w:ilvl="4">
      <w:start w:val="130"/>
      <w:numFmt w:val="decimal"/>
      <w:lvlText w:val="%5."/>
      <w:lvlJc w:val="left"/>
      <w:pPr>
        <w:ind w:left="3600" w:hanging="480"/>
      </w:pPr>
    </w:lvl>
    <w:lvl w:ilvl="5">
      <w:start w:val="130"/>
      <w:numFmt w:val="decimal"/>
      <w:lvlText w:val="%6."/>
      <w:lvlJc w:val="left"/>
      <w:pPr>
        <w:ind w:left="4320" w:hanging="480"/>
      </w:pPr>
    </w:lvl>
    <w:lvl w:ilvl="6">
      <w:start w:val="130"/>
      <w:numFmt w:val="decimal"/>
      <w:lvlText w:val="%7."/>
      <w:lvlJc w:val="left"/>
      <w:pPr>
        <w:ind w:left="5040" w:hanging="480"/>
      </w:pPr>
    </w:lvl>
    <w:lvl w:ilvl="7">
      <w:start w:val="130"/>
      <w:numFmt w:val="decimal"/>
      <w:lvlText w:val="%8."/>
      <w:lvlJc w:val="left"/>
      <w:pPr>
        <w:ind w:left="5760" w:hanging="480"/>
      </w:pPr>
    </w:lvl>
    <w:lvl w:ilvl="8">
      <w:start w:val="13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7">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3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1">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1">
    <w:abstractNumId w:val="991"/>
  </w:num>
  <w:num w:numId="1052">
    <w:abstractNumId w:val="991"/>
  </w:num>
  <w:num w:numId="105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1"/>
  </w:num>
  <w:num w:numId="1061">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 w:numId="106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1"/>
  </w:num>
  <w:num w:numId="1068">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1"/>
  </w:num>
  <w:num w:numId="107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8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4">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8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8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87">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88">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089">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90">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91">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9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9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94">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95">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096">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97">
    <w:abstractNumId w:val="994187"/>
    <w:lvlOverride w:ilvl="0">
      <w:startOverride w:val="87"/>
    </w:lvlOverride>
    <w:lvlOverride w:ilvl="1">
      <w:startOverride w:val="87"/>
    </w:lvlOverride>
    <w:lvlOverride w:ilvl="2">
      <w:startOverride w:val="87"/>
    </w:lvlOverride>
    <w:lvlOverride w:ilvl="3">
      <w:startOverride w:val="87"/>
    </w:lvlOverride>
    <w:lvlOverride w:ilvl="4">
      <w:startOverride w:val="87"/>
    </w:lvlOverride>
    <w:lvlOverride w:ilvl="5">
      <w:startOverride w:val="87"/>
    </w:lvlOverride>
    <w:lvlOverride w:ilvl="6">
      <w:startOverride w:val="87"/>
    </w:lvlOverride>
    <w:lvlOverride w:ilvl="7">
      <w:startOverride w:val="87"/>
    </w:lvlOverride>
    <w:lvlOverride w:ilvl="8">
      <w:startOverride w:val="87"/>
    </w:lvlOverride>
  </w:num>
  <w:num w:numId="1098">
    <w:abstractNumId w:val="994189"/>
    <w:lvlOverride w:ilvl="0">
      <w:startOverride w:val="89"/>
    </w:lvlOverride>
    <w:lvlOverride w:ilvl="1">
      <w:startOverride w:val="89"/>
    </w:lvlOverride>
    <w:lvlOverride w:ilvl="2">
      <w:startOverride w:val="89"/>
    </w:lvlOverride>
    <w:lvlOverride w:ilvl="3">
      <w:startOverride w:val="89"/>
    </w:lvlOverride>
    <w:lvlOverride w:ilvl="4">
      <w:startOverride w:val="89"/>
    </w:lvlOverride>
    <w:lvlOverride w:ilvl="5">
      <w:startOverride w:val="89"/>
    </w:lvlOverride>
    <w:lvlOverride w:ilvl="6">
      <w:startOverride w:val="89"/>
    </w:lvlOverride>
    <w:lvlOverride w:ilvl="7">
      <w:startOverride w:val="89"/>
    </w:lvlOverride>
    <w:lvlOverride w:ilvl="8">
      <w:startOverride w:val="89"/>
    </w:lvlOverride>
  </w:num>
  <w:num w:numId="1099">
    <w:abstractNumId w:val="994191"/>
    <w:lvlOverride w:ilvl="0">
      <w:startOverride w:val="91"/>
    </w:lvlOverride>
    <w:lvlOverride w:ilvl="1">
      <w:startOverride w:val="91"/>
    </w:lvlOverride>
    <w:lvlOverride w:ilvl="2">
      <w:startOverride w:val="91"/>
    </w:lvlOverride>
    <w:lvlOverride w:ilvl="3">
      <w:startOverride w:val="91"/>
    </w:lvlOverride>
    <w:lvlOverride w:ilvl="4">
      <w:startOverride w:val="91"/>
    </w:lvlOverride>
    <w:lvlOverride w:ilvl="5">
      <w:startOverride w:val="91"/>
    </w:lvlOverride>
    <w:lvlOverride w:ilvl="6">
      <w:startOverride w:val="91"/>
    </w:lvlOverride>
    <w:lvlOverride w:ilvl="7">
      <w:startOverride w:val="91"/>
    </w:lvlOverride>
    <w:lvlOverride w:ilvl="8">
      <w:startOverride w:val="91"/>
    </w:lvlOverride>
  </w:num>
  <w:num w:numId="1100">
    <w:abstractNumId w:val="994193"/>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1101">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102">
    <w:abstractNumId w:val="9941103"/>
    <w:lvlOverride w:ilvl="0">
      <w:startOverride w:val="103"/>
    </w:lvlOverride>
    <w:lvlOverride w:ilvl="1">
      <w:startOverride w:val="103"/>
    </w:lvlOverride>
    <w:lvlOverride w:ilvl="2">
      <w:startOverride w:val="103"/>
    </w:lvlOverride>
    <w:lvlOverride w:ilvl="3">
      <w:startOverride w:val="103"/>
    </w:lvlOverride>
    <w:lvlOverride w:ilvl="4">
      <w:startOverride w:val="103"/>
    </w:lvlOverride>
    <w:lvlOverride w:ilvl="5">
      <w:startOverride w:val="103"/>
    </w:lvlOverride>
    <w:lvlOverride w:ilvl="6">
      <w:startOverride w:val="103"/>
    </w:lvlOverride>
    <w:lvlOverride w:ilvl="7">
      <w:startOverride w:val="103"/>
    </w:lvlOverride>
    <w:lvlOverride w:ilvl="8">
      <w:startOverride w:val="103"/>
    </w:lvlOverride>
  </w:num>
  <w:num w:numId="1103">
    <w:abstractNumId w:val="9941109"/>
    <w:lvlOverride w:ilvl="0">
      <w:startOverride w:val="109"/>
    </w:lvlOverride>
    <w:lvlOverride w:ilvl="1">
      <w:startOverride w:val="109"/>
    </w:lvlOverride>
    <w:lvlOverride w:ilvl="2">
      <w:startOverride w:val="109"/>
    </w:lvlOverride>
    <w:lvlOverride w:ilvl="3">
      <w:startOverride w:val="109"/>
    </w:lvlOverride>
    <w:lvlOverride w:ilvl="4">
      <w:startOverride w:val="109"/>
    </w:lvlOverride>
    <w:lvlOverride w:ilvl="5">
      <w:startOverride w:val="109"/>
    </w:lvlOverride>
    <w:lvlOverride w:ilvl="6">
      <w:startOverride w:val="109"/>
    </w:lvlOverride>
    <w:lvlOverride w:ilvl="7">
      <w:startOverride w:val="109"/>
    </w:lvlOverride>
    <w:lvlOverride w:ilvl="8">
      <w:startOverride w:val="109"/>
    </w:lvlOverride>
  </w:num>
  <w:num w:numId="1104">
    <w:abstractNumId w:val="9941111"/>
    <w:lvlOverride w:ilvl="0">
      <w:startOverride w:val="111"/>
    </w:lvlOverride>
    <w:lvlOverride w:ilvl="1">
      <w:startOverride w:val="111"/>
    </w:lvlOverride>
    <w:lvlOverride w:ilvl="2">
      <w:startOverride w:val="111"/>
    </w:lvlOverride>
    <w:lvlOverride w:ilvl="3">
      <w:startOverride w:val="111"/>
    </w:lvlOverride>
    <w:lvlOverride w:ilvl="4">
      <w:startOverride w:val="111"/>
    </w:lvlOverride>
    <w:lvlOverride w:ilvl="5">
      <w:startOverride w:val="111"/>
    </w:lvlOverride>
    <w:lvlOverride w:ilvl="6">
      <w:startOverride w:val="111"/>
    </w:lvlOverride>
    <w:lvlOverride w:ilvl="7">
      <w:startOverride w:val="111"/>
    </w:lvlOverride>
    <w:lvlOverride w:ilvl="8">
      <w:startOverride w:val="111"/>
    </w:lvlOverride>
  </w:num>
  <w:num w:numId="1105">
    <w:abstractNumId w:val="9941117"/>
    <w:lvlOverride w:ilvl="0">
      <w:startOverride w:val="117"/>
    </w:lvlOverride>
    <w:lvlOverride w:ilvl="1">
      <w:startOverride w:val="117"/>
    </w:lvlOverride>
    <w:lvlOverride w:ilvl="2">
      <w:startOverride w:val="117"/>
    </w:lvlOverride>
    <w:lvlOverride w:ilvl="3">
      <w:startOverride w:val="117"/>
    </w:lvlOverride>
    <w:lvlOverride w:ilvl="4">
      <w:startOverride w:val="117"/>
    </w:lvlOverride>
    <w:lvlOverride w:ilvl="5">
      <w:startOverride w:val="117"/>
    </w:lvlOverride>
    <w:lvlOverride w:ilvl="6">
      <w:startOverride w:val="117"/>
    </w:lvlOverride>
    <w:lvlOverride w:ilvl="7">
      <w:startOverride w:val="117"/>
    </w:lvlOverride>
    <w:lvlOverride w:ilvl="8">
      <w:startOverride w:val="117"/>
    </w:lvlOverride>
  </w:num>
  <w:num w:numId="1106">
    <w:abstractNumId w:val="9941120"/>
    <w:lvlOverride w:ilvl="0">
      <w:startOverride w:val="120"/>
    </w:lvlOverride>
    <w:lvlOverride w:ilvl="1">
      <w:startOverride w:val="120"/>
    </w:lvlOverride>
    <w:lvlOverride w:ilvl="2">
      <w:startOverride w:val="120"/>
    </w:lvlOverride>
    <w:lvlOverride w:ilvl="3">
      <w:startOverride w:val="120"/>
    </w:lvlOverride>
    <w:lvlOverride w:ilvl="4">
      <w:startOverride w:val="120"/>
    </w:lvlOverride>
    <w:lvlOverride w:ilvl="5">
      <w:startOverride w:val="120"/>
    </w:lvlOverride>
    <w:lvlOverride w:ilvl="6">
      <w:startOverride w:val="120"/>
    </w:lvlOverride>
    <w:lvlOverride w:ilvl="7">
      <w:startOverride w:val="120"/>
    </w:lvlOverride>
    <w:lvlOverride w:ilvl="8">
      <w:startOverride w:val="120"/>
    </w:lvlOverride>
  </w:num>
  <w:num w:numId="1107">
    <w:abstractNumId w:val="9941122"/>
    <w:lvlOverride w:ilvl="0">
      <w:startOverride w:val="122"/>
    </w:lvlOverride>
    <w:lvlOverride w:ilvl="1">
      <w:startOverride w:val="122"/>
    </w:lvlOverride>
    <w:lvlOverride w:ilvl="2">
      <w:startOverride w:val="122"/>
    </w:lvlOverride>
    <w:lvlOverride w:ilvl="3">
      <w:startOverride w:val="122"/>
    </w:lvlOverride>
    <w:lvlOverride w:ilvl="4">
      <w:startOverride w:val="122"/>
    </w:lvlOverride>
    <w:lvlOverride w:ilvl="5">
      <w:startOverride w:val="122"/>
    </w:lvlOverride>
    <w:lvlOverride w:ilvl="6">
      <w:startOverride w:val="122"/>
    </w:lvlOverride>
    <w:lvlOverride w:ilvl="7">
      <w:startOverride w:val="122"/>
    </w:lvlOverride>
    <w:lvlOverride w:ilvl="8">
      <w:startOverride w:val="122"/>
    </w:lvlOverride>
  </w:num>
  <w:num w:numId="1108">
    <w:abstractNumId w:val="9941125"/>
    <w:lvlOverride w:ilvl="0">
      <w:startOverride w:val="125"/>
    </w:lvlOverride>
    <w:lvlOverride w:ilvl="1">
      <w:startOverride w:val="125"/>
    </w:lvlOverride>
    <w:lvlOverride w:ilvl="2">
      <w:startOverride w:val="125"/>
    </w:lvlOverride>
    <w:lvlOverride w:ilvl="3">
      <w:startOverride w:val="125"/>
    </w:lvlOverride>
    <w:lvlOverride w:ilvl="4">
      <w:startOverride w:val="125"/>
    </w:lvlOverride>
    <w:lvlOverride w:ilvl="5">
      <w:startOverride w:val="125"/>
    </w:lvlOverride>
    <w:lvlOverride w:ilvl="6">
      <w:startOverride w:val="125"/>
    </w:lvlOverride>
    <w:lvlOverride w:ilvl="7">
      <w:startOverride w:val="125"/>
    </w:lvlOverride>
    <w:lvlOverride w:ilvl="8">
      <w:startOverride w:val="125"/>
    </w:lvlOverride>
  </w:num>
  <w:num w:numId="1109">
    <w:abstractNumId w:val="9941130"/>
    <w:lvlOverride w:ilvl="0">
      <w:startOverride w:val="130"/>
    </w:lvlOverride>
    <w:lvlOverride w:ilvl="1">
      <w:startOverride w:val="130"/>
    </w:lvlOverride>
    <w:lvlOverride w:ilvl="2">
      <w:startOverride w:val="130"/>
    </w:lvlOverride>
    <w:lvlOverride w:ilvl="3">
      <w:startOverride w:val="130"/>
    </w:lvlOverride>
    <w:lvlOverride w:ilvl="4">
      <w:startOverride w:val="130"/>
    </w:lvlOverride>
    <w:lvlOverride w:ilvl="5">
      <w:startOverride w:val="130"/>
    </w:lvlOverride>
    <w:lvlOverride w:ilvl="6">
      <w:startOverride w:val="130"/>
    </w:lvlOverride>
    <w:lvlOverride w:ilvl="7">
      <w:startOverride w:val="130"/>
    </w:lvlOverride>
    <w:lvlOverride w:ilvl="8">
      <w:startOverride w:val="130"/>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2026-10-08T11:47:51Z</dcterms:created>
  <dcterms:modified xsi:type="dcterms:W3CDTF">2026-10-08T11:47:51Z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fontoptions">
    <vt:lpwstr/>
  </property>
  <property fmtid="{D5CDD505-2E9C-101B-9397-08002B2CF9AE}" pid="7" name="mainlang">
    <vt:lpwstr>polish</vt:lpwstr>
  </property>
  <property fmtid="{D5CDD505-2E9C-101B-9397-08002B2CF9AE}" pid="8" name="otherlang">
    <vt:lpwstr>polish</vt:lpwstr>
  </property>
  <property fmtid="{D5CDD505-2E9C-101B-9397-08002B2CF9AE}" pid="9" name="rights">
    <vt:lpwstr>Licencja: Uznanie autorstwa - Na tych samych warunkach 4.0 Międzynarodowa CC BY-SA 4.0</vt:lpwstr>
  </property>
  <property fmtid="{D5CDD505-2E9C-101B-9397-08002B2CF9AE}" pid="10" name="subtitle">
    <vt:lpwstr>Boża ochrona Nowego Testamentu</vt:lpwstr>
  </property>
  <property fmtid="{D5CDD505-2E9C-101B-9397-08002B2CF9AE}" pid="11" name="tags">
    <vt:lpwstr/>
  </property>
</Properties>
</file>