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8"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7"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6" w:name="kto-miał-najlepsze-kwalifikacje"/>
    <w:p>
      <w:pPr>
        <w:pStyle w:val="Heading3"/>
      </w:pPr>
      <w:r>
        <w:t xml:space="preserve">Kto miał najlepsze kwalifikacje?</w:t>
      </w:r>
    </w:p>
    <w:p>
      <w:pPr>
        <w:pStyle w:val="FirstParagraph"/>
      </w:pPr>
      <w:r>
        <w:t xml:space="preserve">What factors would be important for guaranteeing, or at least facilitating, a faithful transmission of the text of the N.T. writings? I submit that there are four controlling factors: access to the Autographs, proficiency in the source language, the strength of the Church and an appropriate attitude toward the Text.</w:t>
      </w:r>
    </w:p>
    <w:p>
      <w:pPr>
        <w:pStyle w:val="BodyText"/>
      </w:pPr>
      <w:r>
        <w:rPr>
          <w:iCs/>
          <w:i/>
        </w:rPr>
        <w:t xml:space="preserve">Dostęp do Autografów</w:t>
      </w:r>
    </w:p>
    <w:bookmarkEnd w:id="136"/>
    <w:bookmarkEnd w:id="137"/>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2026-03-04T04:36:33Z</dcterms:created>
  <dcterms:modified xsi:type="dcterms:W3CDTF">2026-03-04T04:36:33Z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