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8"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67"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21"/>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5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5"/>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6"/>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7"/>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8"/>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9"/>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50"/>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1"/>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2"/>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3"/>
    <w:bookmarkStart w:id="166"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5" name="Picture"/>
            <a:graphic>
              <a:graphicData uri="http://schemas.openxmlformats.org/drawingml/2006/picture">
                <pic:pic>
                  <pic:nvPicPr>
                    <pic:cNvPr descr="images/Rysunek_A.jpg" id="156" name="Picture"/>
                    <pic:cNvPicPr>
                      <a:picLocks noChangeArrowheads="1" noChangeAspect="1"/>
                    </pic:cNvPicPr>
                  </pic:nvPicPr>
                  <pic:blipFill>
                    <a:blip r:embed="rId154"/>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7"/>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8"/>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9"/>
      </w:r>
      <w:r>
        <w:t xml:space="preserve"> </w:t>
      </w:r>
      <w:r>
        <w:t xml:space="preserve">Kiedy mówię, że Tekst Większościowy dominuje strumień, mam na myśli to, że jest on reprezentowany w około 95% manuskryptów.</w:t>
      </w:r>
      <w:r>
        <w:rPr>
          <w:rStyle w:val="FootnoteReference"/>
        </w:rPr>
        <w:footnoteReference w:id="160"/>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1"/>
      </w:r>
    </w:p>
    <w:p>
      <w:pPr>
        <w:pStyle w:val="BodyText"/>
      </w:pPr>
      <w:r>
        <w:t xml:space="preserve">A członkowie niezgadzającej się grupy różnią się od odczytu do odczytu.</w:t>
      </w:r>
      <w:r>
        <w:rPr>
          <w:rStyle w:val="FootnoteReference"/>
        </w:rPr>
        <w:footnoteReference w:id="162"/>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63"/>
      </w:r>
      <w:r>
        <w:t xml:space="preserve"> </w:t>
      </w:r>
      <w:r>
        <w:t xml:space="preserve">Ale gdyby te trzy „typy tekstów” były równe, w jaki sposób tak zwany „bizantyjski” mógłby kiedykolwiek uzyskać przewagę wynoszącą 90–95%?</w:t>
      </w:r>
    </w:p>
    <w:p>
      <w:pPr>
        <w:pStyle w:val="BodyText"/>
      </w:pPr>
      <w:r>
        <w:t xml:space="preserve">The argument from statistical probability enters here with a vengeance. Not only do the extant MSS present us with one text form enjoying a 95% majority, but the remaining 5% do not represent a single competing text form. The minority MSS disagree as much (or more) among themselves as they do with the majority. For any two of them to agree so closely as do P</w:t>
      </w:r>
      <w:r>
        <w:rPr>
          <w:vertAlign w:val="superscript"/>
        </w:rPr>
        <w:t xml:space="preserve">75</w:t>
      </w:r>
      <w:r>
        <w:t xml:space="preserve"> </w:t>
      </w:r>
      <w:r>
        <w:t xml:space="preserve">and B is an oddity. We are not judging, therefore, between two text forms, one representing 95% of the MSS and the other 5%. Rather, we have to judge between 95% and a fraction of 1% (comparing the Majority Text with the P</w:t>
      </w:r>
      <w:r>
        <w:rPr>
          <w:vertAlign w:val="superscript"/>
        </w:rPr>
        <w:t xml:space="preserve">75</w:t>
      </w:r>
      <w:r>
        <w:t xml:space="preserve">,B text form for example). Or to take a specific case, in 1 Timothy 3:16 some 600 Greek MSS (besides the Lectionaries) read “God” while only nine read something else. Of those nine, three have private readings and six agree in reading “who”.3 So we have to judge between 98.5% and 1%, “God” versus “who”. It is hard to imagine any possible set of circumstances in the transmissional history sufficient to produce the cataclysmic overthrow in statistical probability required by the claim that “who” is the original reading.</w:t>
      </w:r>
    </w:p>
    <w:p>
      <w:pPr>
        <w:pStyle w:val="BodyText"/>
      </w:pPr>
      <w:r>
        <w:t xml:space="preserve">W tym miejscu z całą mocą pojawia się argument oparty na prawdopodobieństwie statystycznym. Zachowane manuskrypty nie tylko przedstawiają nam jedną formę tekstową, która cieszy się 95-procentową przewagą, ale pozostałe 5% nie stanowi żadnej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słowo „Bóg”, podczas gdy tylko dziewięć odczytów zawiera inne słowo. Spośród tych dziewięciu odczytów, trzy mają odczyty prywatne, a sześć zgadza się co do odczytu „kto”.</w:t>
      </w:r>
      <w:r>
        <w:rPr>
          <w:rStyle w:val="FootnoteReference"/>
        </w:rPr>
        <w:footnoteReference w:id="164"/>
      </w:r>
      <w:r>
        <w:t xml:space="preserve"> </w:t>
      </w:r>
      <w:r>
        <w:t xml:space="preserve">Musimy więc rozstrzygać między 98,5% a 1%, „Bóg” kontra „kto”. Trudno wyobrazić sobie jakikolwiek zestaw okoliczności w historii przekazywania, który wystarczyłby do wywołania katastrofalnego przewrotu w prawdopodobieństwie statystycznym, wymaganego przez twierdzenie, że „kto” jest odczytem oryginalnym.</w:t>
      </w:r>
    </w:p>
    <w:p>
      <w:pPr>
        <w:pStyle w:val="BodyText"/>
      </w:pPr>
      <w:r>
        <w:t xml:space="preserve">It really does seem that those scholars who reject the Majority Text are faced with a serious problem. How is it to be explained if it does not reflect the Original? Hort’s notion of a Lucianic revision has been abandoned by most scholars because of the total lack of historical evidence. The eclecticists are not even trying. The “process” view has not been articulated in sufficient detail to permit refutation, but on the face of it that view is flatly contradicted by the argument from statistical probability.</w:t>
      </w:r>
      <w:r>
        <w:rPr>
          <w:rStyle w:val="FootnoteReference"/>
        </w:rPr>
        <w:footnoteReference w:id="165"/>
      </w:r>
      <w:r>
        <w:t xml:space="preserve"> </w:t>
      </w:r>
      <w:r>
        <w:t xml:space="preserve">How could any amount of ‘process’ bridge the gap between B or Aleph and the TR?</w:t>
      </w:r>
    </w:p>
    <w:p>
      <w:pPr>
        <w:pStyle w:val="BodyText"/>
      </w:pPr>
      <w:r>
        <w:t xml:space="preserve">But there is a more basic problem with the process view. Hort saw clearly, and correctly, that the Majority Text must have a common archetype. Recall that Hort’s genealogical method was based on community of</w:t>
      </w:r>
      <w:r>
        <w:t xml:space="preserve"> </w:t>
      </w:r>
      <w:r>
        <w:rPr>
          <w:b/>
          <w:bCs/>
        </w:rPr>
        <w:t xml:space="preserve">error</w:t>
      </w:r>
      <w:r>
        <w:t xml:space="preserve">. On the hypothesis that the Majority Text is a late and inferior text form, the large mass of common readings which distinguish it from the socalled ‘Western’ or ‘Alexandrian text-types’ must be</w:t>
      </w:r>
      <w:r>
        <w:t xml:space="preserve"> </w:t>
      </w:r>
      <w:r>
        <w:rPr>
          <w:b/>
          <w:bCs/>
        </w:rPr>
        <w:t xml:space="preserve">errors</w:t>
      </w:r>
      <w:r>
        <w:t xml:space="preserve"> </w:t>
      </w:r>
      <w:r>
        <w:t xml:space="preserve">(which was precisely Hort’s contention) and such an agreement in error would have to have a common source. The process view fails completely to account for such an agreement in error (on that hypothesis).</w:t>
      </w:r>
    </w:p>
    <w:p>
      <w:pPr>
        <w:pStyle w:val="BodyText"/>
      </w:pPr>
      <w:r>
        <w:t xml:space="preserve">Hort saw the need for a common source and posited a Lucianic revision. Scholars now generally recognize that the ‘Byzantine text-type’ must date back at least into the second century. But what chance would the original ‘Byzantine’ document, the archetype, have of gaining currency when appeal to the Autographs was still possible (if it was a separate invention)?</w:t>
      </w:r>
    </w:p>
    <w:p>
      <w:pPr>
        <w:pStyle w:val="BodyText"/>
      </w:pPr>
      <w:r>
        <w:t xml:space="preserve">Candidly, there is only one reasonable explanation for the Majority Text that has so far been advanced—it is the result of an essentially normal process of transmission and the common source for its consensus is the Autographs. Down through the centuries of copying, the original text has always been reflected with a high degree of accuracy in the manuscript tradition as a whole. The history of the text presented above not only accounts nicely for the Majority Text, it also accounts for the inconsistent minority of MSS. They are remnants of the abnormal transmission of the text, reflecting ancient aberrant forms. It is a dependence upon such aberrant forms that distinguishes contemporary critical/eclectic editions of the Greek New Testament, and the modern translations based upon them.</w:t>
      </w:r>
    </w:p>
    <w:bookmarkEnd w:id="166"/>
    <w:bookmarkEnd w:id="167"/>
    <w:bookmarkEnd w:id="1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t xml:space="preserve">Określenia</w:t>
      </w:r>
      <w:r>
        <w:t xml:space="preserve"> </w:t>
      </w:r>
      <w:r>
        <w:rPr>
          <w:i/>
          <w:iCs/>
        </w:rPr>
        <w:t xml:space="preserve">odczyt</w:t>
      </w:r>
      <w:r>
        <w:t xml:space="preserve"> </w:t>
      </w:r>
      <w:r>
        <w:t xml:space="preserve">oraz</w:t>
      </w:r>
      <w:r>
        <w:t xml:space="preserve"> </w:t>
      </w:r>
      <w:r>
        <w:rPr>
          <w:i/>
          <w:iCs/>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
          <w:iCs/>
        </w:rPr>
        <w:t xml:space="preserve">O naukowej polszczyźnie humanistycznej</w:t>
      </w:r>
      <w:r>
        <w:t xml:space="preserve">, Katowice 2025, s. 29.</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5">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6">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7">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8">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9">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50">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1">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2">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7">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8">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9">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60">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1">
    <w:p>
      <w:pPr>
        <w:pStyle w:val="FootnoteText"/>
      </w:pPr>
      <w:r>
        <w:rPr>
          <w:rStyle w:val="FootnoteReference"/>
        </w:rPr>
        <w:footnoteRef/>
      </w:r>
      <w:r>
        <w:t xml:space="preserve"> </w:t>
      </w:r>
      <w:r>
        <w:t xml:space="preserve">Nie jestem przygotowany do obrony podanych konkretnych liczb – są to</w:t>
      </w:r>
      <w:r>
        <w:t xml:space="preserve"> </w:t>
      </w:r>
      <w:r>
        <w:rPr>
          <w:b/>
          <w:bCs/>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
          <w:iCs/>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62">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
          <w:iCs/>
        </w:rPr>
        <w:t xml:space="preserve">Identity IV</w:t>
      </w:r>
      <w:r>
        <w:t xml:space="preserve">, w sekcji zatytułowanej „Czy świadków nie należy raczej ważyć, a nie liczyć?”.</w:t>
      </w:r>
    </w:p>
  </w:footnote>
  <w:footnote w:id="163">
    <w:p>
      <w:pPr>
        <w:pStyle w:val="FootnoteText"/>
      </w:pPr>
      <w:r>
        <w:rPr>
          <w:rStyle w:val="FootnoteReference"/>
        </w:rPr>
        <w:footnoteRef/>
      </w:r>
      <w:r>
        <w:t xml:space="preserve"> </w:t>
      </w:r>
      <w:r>
        <w:t xml:space="preserve">Sturz, op. cit. [łac.</w:t>
      </w:r>
      <w:r>
        <w:t xml:space="preserve"> </w:t>
      </w:r>
      <w:r>
        <w:rPr>
          <w:i/>
          <w:iCs/>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64">
    <w:p>
      <w:pPr>
        <w:pStyle w:val="FootnoteText"/>
      </w:pPr>
      <w:r>
        <w:rPr>
          <w:rStyle w:val="FootnoteReference"/>
        </w:rPr>
        <w:footnoteRef/>
      </w:r>
      <w:r>
        <w:t xml:space="preserve"> </w:t>
      </w:r>
      <w:r>
        <w:t xml:space="preserve">Odczyty wraz z popierającymi je manuskryptami są jak następuje [ w formie:</w:t>
      </w:r>
      <w:r>
        <w:t xml:space="preserve"> </w:t>
      </w:r>
      <w:r>
        <w:rPr>
          <w:i/>
          <w:iCs/>
        </w:rPr>
        <w:t xml:space="preserve">grecka fraza</w:t>
      </w:r>
      <w:r>
        <w:t xml:space="preserve"> </w:t>
      </w:r>
      <w:r>
        <w:t xml:space="preserve">- identyfikatory manuskryptów, przyp. tłum.]:</w:t>
      </w:r>
    </w:p>
    <w:p>
      <w:pPr>
        <w:pStyle w:val="FootnoteText"/>
      </w:pPr>
      <w:r>
        <w:rPr>
          <w:i/>
          <w:iCs/>
        </w:rPr>
        <w:t xml:space="preserve">ο</w:t>
      </w:r>
      <w:r>
        <w:t xml:space="preserve"> </w:t>
      </w:r>
      <w:r>
        <w:t xml:space="preserve">– D</w:t>
      </w:r>
    </w:p>
    <w:p>
      <w:pPr>
        <w:pStyle w:val="FootnoteText"/>
      </w:pPr>
      <w:r>
        <w:rPr>
          <w:i/>
          <w:iCs/>
        </w:rPr>
        <w:t xml:space="preserve">ω</w:t>
      </w:r>
      <w:r>
        <w:t xml:space="preserve"> </w:t>
      </w:r>
      <w:r>
        <w:t xml:space="preserve">– 061</w:t>
      </w:r>
    </w:p>
    <w:p>
      <w:pPr>
        <w:pStyle w:val="FootnoteText"/>
      </w:pPr>
      <w:r>
        <w:rPr>
          <w:i/>
          <w:iCs/>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
          <w:iCs/>
        </w:rPr>
        <w:t xml:space="preserve">ος</w:t>
      </w:r>
      <w:r>
        <w:t xml:space="preserve"> </w:t>
      </w:r>
      <w:r>
        <w:t xml:space="preserve">– ℵ, 33, 365, 442, 1175, 2127 (plus trzy Lekcjonarze)</w:t>
      </w:r>
    </w:p>
    <w:p>
      <w:pPr>
        <w:pStyle w:val="FootnoteText"/>
      </w:pPr>
      <w:r>
        <w:rPr>
          <w:i/>
          <w:iCs/>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
          <w:iCs/>
        </w:rPr>
        <w:t xml:space="preserve">ο Θεος</w:t>
      </w:r>
      <w:r>
        <w:t xml:space="preserve"> </w:t>
      </w:r>
      <w:r>
        <w:t xml:space="preserve">oraz jeden lekcjonarz mający odczyt</w:t>
      </w:r>
      <w:r>
        <w:t xml:space="preserve"> </w:t>
      </w:r>
      <w:r>
        <w:rPr>
          <w:i/>
          <w:iCs/>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
          <w:iCs/>
        </w:rPr>
        <w:t xml:space="preserve">Θ</w:t>
      </w:r>
      <w:r>
        <w:t xml:space="preserve">, które dwadzieścia lat później (tj. w 1785 roku) przestały być dla niego widoczne” (</w:t>
      </w:r>
      <w:r>
        <w:rPr>
          <w:i/>
          <w:iCs/>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
          <w:iCs/>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
          <w:iCs/>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
          <w:bCs/>
        </w:rPr>
        <w:t xml:space="preserve">Kreska skrótu</w:t>
      </w:r>
      <w:r>
        <w:t xml:space="preserve"> </w:t>
      </w:r>
      <w:r>
        <w:t xml:space="preserve">[ang.</w:t>
      </w:r>
      <w:r>
        <w:t xml:space="preserve"> </w:t>
      </w:r>
      <w:r>
        <w:rPr>
          <w:i/>
          <w:iCs/>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
          <w:iCs/>
        </w:rPr>
        <w:t xml:space="preserve">Ibid.</w:t>
      </w:r>
      <w:r>
        <w:t xml:space="preserve">, s. 437-438.</w:t>
      </w:r>
    </w:p>
    <w:p>
      <w:pPr>
        <w:pStyle w:val="FootnoteText"/>
      </w:pPr>
      <w:r>
        <w:t xml:space="preserve">W kodeksach F/G występuje odczyt</w:t>
      </w:r>
      <w:r>
        <w:t xml:space="preserve"> </w:t>
      </w:r>
      <w:r>
        <w:rPr>
          <w:i/>
          <w:iCs/>
        </w:rPr>
        <w:t xml:space="preserve">OC</w:t>
      </w:r>
      <w:r>
        <w:t xml:space="preserve">, gdzie kreska skrótu ma postać ukośnej kreski. Argumentowano, że kreska ta oznacza aspiratę [</w:t>
      </w:r>
      <w:r>
        <w:rPr>
          <w:i/>
          <w:iCs/>
        </w:rPr>
        <w:t xml:space="preserve">aspirata</w:t>
      </w:r>
      <w:r>
        <w:t xml:space="preserve"> </w:t>
      </w:r>
      <w:r>
        <w:t xml:space="preserve">- spółgłoska wymawiana z przydechem, czyli następującym po niej dźwiękiem przypominającym krótkie</w:t>
      </w:r>
      <w:r>
        <w:t xml:space="preserve"> </w:t>
      </w:r>
      <w:r>
        <w:t xml:space="preserve">‘h’</w:t>
      </w:r>
      <w:r>
        <w:t xml:space="preserve"> </w:t>
      </w:r>
      <w:r>
        <w:t xml:space="preserve">- https://sjp.pl/aspirata, przyp. tłum.]</w:t>
      </w:r>
      <w:r>
        <w:t xml:space="preserve"> </w:t>
      </w:r>
      <w:r>
        <w:rPr>
          <w:i/>
          <w:iCs/>
        </w:rPr>
        <w:t xml:space="preserve">ος</w:t>
      </w:r>
      <w:r>
        <w:t xml:space="preserve">, ale Burgon dowodzi, że omawiana kreska nigdy nie oznacza oddechu, lecz jest niezmiennie znakiem skrótu i potwierdza, że „</w:t>
      </w:r>
      <w:r>
        <w:rPr>
          <w:i/>
          <w:iCs/>
        </w:rPr>
        <w:t xml:space="preserve">ος</w:t>
      </w:r>
      <w:r>
        <w:t xml:space="preserve"> </w:t>
      </w:r>
      <w:r>
        <w:t xml:space="preserve">nie jest</w:t>
      </w:r>
      <w:r>
        <w:t xml:space="preserve"> </w:t>
      </w:r>
      <w:r>
        <w:rPr>
          <w:b/>
          <w:bCs/>
        </w:rPr>
        <w:t xml:space="preserve">nigdzie</w:t>
      </w:r>
      <w:r>
        <w:t xml:space="preserve"> </w:t>
      </w:r>
      <w:r>
        <w:t xml:space="preserve">indziej zapisane jako</w:t>
      </w:r>
      <w:r>
        <w:t xml:space="preserve"> </w:t>
      </w:r>
      <w:r>
        <w:rPr>
          <w:i/>
          <w:iCs/>
        </w:rPr>
        <w:t xml:space="preserve">OC</w:t>
      </w:r>
      <w:r>
        <w:t xml:space="preserve"> </w:t>
      </w:r>
      <w:r>
        <w:t xml:space="preserve">(z kreską) w żadnym z kodeksów” (</w:t>
      </w:r>
      <w:r>
        <w:rPr>
          <w:i/>
          <w:iCs/>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
          <w:iCs/>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
          <w:iCs/>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
          <w:iCs/>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
          <w:iCs/>
        </w:rPr>
        <w:t xml:space="preserve">Ιησους … ο υιος του Θεου τυπω και εν σαρκι φανερωθεις</w:t>
      </w:r>
      <w:r>
        <w:t xml:space="preserve">” (rozdz. XII) oraz u Ignacego: „</w:t>
      </w:r>
      <w:r>
        <w:rPr>
          <w:i/>
          <w:iCs/>
        </w:rPr>
        <w:t xml:space="preserve">Θεου ανθρωπινως φανερουμενου</w:t>
      </w:r>
      <w:r>
        <w:t xml:space="preserve">” (</w:t>
      </w:r>
      <w:r>
        <w:rPr>
          <w:i/>
          <w:iCs/>
        </w:rPr>
        <w:t xml:space="preserve">Ad Ephes.</w:t>
      </w:r>
      <w:r>
        <w:t xml:space="preserve"> </w:t>
      </w:r>
      <w:r>
        <w:t xml:space="preserve">rozdz. 19) oraz „</w:t>
      </w:r>
      <w:r>
        <w:rPr>
          <w:i/>
          <w:iCs/>
        </w:rPr>
        <w:t xml:space="preserve">εν σαρκι γενομενος Θεος</w:t>
      </w:r>
      <w:r>
        <w:t xml:space="preserve">” (</w:t>
      </w:r>
      <w:r>
        <w:rPr>
          <w:i/>
          <w:iCs/>
        </w:rPr>
        <w:t xml:space="preserve">Ibid.</w:t>
      </w:r>
      <w:r>
        <w:t xml:space="preserve">, rozdz. 7). W III wieku wydają się istnieć wyraźne odniesienia u Hipolita: „</w:t>
      </w:r>
      <w:r>
        <w:rPr>
          <w:i/>
          <w:iCs/>
        </w:rPr>
        <w:t xml:space="preserve">Θεος εν σωματι εφανερωθη</w:t>
      </w:r>
      <w:r>
        <w:t xml:space="preserve">” (</w:t>
      </w:r>
      <w:r>
        <w:rPr>
          <w:i/>
          <w:iCs/>
        </w:rPr>
        <w:t xml:space="preserve">Contra Haeresim Noeti</w:t>
      </w:r>
      <w:r>
        <w:t xml:space="preserve">, rozdz. XVII), u Dionizego: „</w:t>
      </w:r>
      <w:r>
        <w:rPr>
          <w:i/>
          <w:iCs/>
        </w:rPr>
        <w:t xml:space="preserve">Θεος γαρ εφανερωθη εν σαρκι</w:t>
      </w:r>
      <w:r>
        <w:t xml:space="preserve">” (</w:t>
      </w:r>
      <w:r>
        <w:rPr>
          <w:i/>
          <w:iCs/>
        </w:rPr>
        <w:t xml:space="preserve">Concilia</w:t>
      </w:r>
      <w:r>
        <w:t xml:space="preserve">, tom I 853a) oraz u Grzegorza Cudotwórcy: „</w:t>
      </w:r>
      <w:r>
        <w:rPr>
          <w:i/>
          <w:iCs/>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
          <w:iCs/>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
          <w:iCs/>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
          <w:iCs/>
        </w:rPr>
        <w:t xml:space="preserve">Ibid.</w:t>
      </w:r>
      <w:r>
        <w:t xml:space="preserve">, s. 483).</w:t>
      </w:r>
    </w:p>
    <w:p>
      <w:pPr>
        <w:pStyle w:val="FootnoteText"/>
      </w:pPr>
      <w:r>
        <w:t xml:space="preserve">Wydaje się zatem, że odczyty „zachodnie” i „bizantyjskie” mają wcześniejsze zaświadczenie niż „aleksandryjskie”. Jeśli jednak</w:t>
      </w:r>
      <w:r>
        <w:t xml:space="preserve"> </w:t>
      </w:r>
      <w:r>
        <w:t xml:space="preserve">“która”</w:t>
      </w:r>
      <w:r>
        <w:t xml:space="preserve"> </w:t>
      </w:r>
      <w:r>
        <w:t xml:space="preserve">powstała z</w:t>
      </w:r>
      <w:r>
        <w:t xml:space="preserve"> </w:t>
      </w:r>
      <w:r>
        <w:t xml:space="preserve">“kto”</w:t>
      </w:r>
      <w:r>
        <w:t xml:space="preserve">, wówczas to drugie musi być starsze. Odczyt</w:t>
      </w:r>
      <w:r>
        <w:t xml:space="preserve"> </w:t>
      </w:r>
      <w:r>
        <w:t xml:space="preserve">“kto”</w:t>
      </w:r>
      <w:r>
        <w:t xml:space="preserve"> </w:t>
      </w:r>
      <w:r>
        <w:t xml:space="preserve">jest co prawda najtrudniejszy, do tego stopnia, że stosowanie zasady</w:t>
      </w:r>
      <w:r>
        <w:t xml:space="preserve"> </w:t>
      </w:r>
      <w:r>
        <w:t xml:space="preserve">“trudniejszego odczytu”</w:t>
      </w:r>
      <w:r>
        <w:t xml:space="preserve"> </w:t>
      </w:r>
      <w:r>
        <w:t xml:space="preserve">w obliczu łatwego wyjaśnienia transkrypcyjnego (przypadkowego pominięcia dwóch pociągnięć pióra) dla trudnego odczytu wydaje się nierozsądne. Jak trafnie ujął to Burgon:</w:t>
      </w:r>
    </w:p>
    <w:p>
      <w:pPr>
        <w:pStyle w:val="FootnoteBlockText"/>
      </w:pPr>
      <w:r>
        <w:t xml:space="preserve">I trust we are at least agreed that the maxim “</w:t>
      </w:r>
      <w:r>
        <w:rPr>
          <w:i/>
          <w:iCs/>
        </w:rPr>
        <w:t xml:space="preserve">proclivi lectioni praestat ardua,</w:t>
      </w:r>
      <w:r>
        <w:t xml:space="preserve">” does not enunciate so foolish a proposition as that in choosing between two or more conflicting readings, we are to prefer</w:t>
      </w:r>
      <w:r>
        <w:t xml:space="preserve"> </w:t>
      </w:r>
      <w:r>
        <w:rPr>
          <w:b/>
          <w:bCs/>
        </w:rPr>
        <w:t xml:space="preserve">that</w:t>
      </w:r>
      <w:r>
        <w:t xml:space="preserve"> </w:t>
      </w:r>
      <w:r>
        <w:t xml:space="preserve">one which has the feeblest external attestation, — provided it be but in itself almost unintelligible? (</w:t>
      </w:r>
      <w:r>
        <w:rPr>
          <w:i/>
          <w:iCs/>
        </w:rPr>
        <w:t xml:space="preserve">Ibid.</w:t>
      </w:r>
      <w:r>
        <w:t xml:space="preserve">, p. 497).</w:t>
      </w:r>
    </w:p>
    <w:p>
      <w:pPr>
        <w:pStyle w:val="FootnoteBlockText"/>
      </w:pPr>
      <w:r>
        <w:t xml:space="preserve">Wierzę, że przynajmniej co do tego się zgadzamy, iż maksyma „</w:t>
      </w:r>
      <w:r>
        <w:rPr>
          <w:i/>
          <w:iCs/>
        </w:rPr>
        <w:t xml:space="preserve">proclivi lectioni praestat ardua</w:t>
      </w:r>
      <w:r>
        <w:t xml:space="preserve">” nie głosi tak nierozsądnej tezy, jakoby przy wyborze między dwoma lub więcej sprzecznymi odczytami należało preferować</w:t>
      </w:r>
      <w:r>
        <w:t xml:space="preserve"> </w:t>
      </w:r>
      <w:r>
        <w:rPr>
          <w:b/>
          <w:bCs/>
        </w:rPr>
        <w:t xml:space="preserve">właśnie ten</w:t>
      </w:r>
      <w:r>
        <w:t xml:space="preserve">, który ma najsłabsze zewnętrzne potwierdzenie – pod warunkiem, że sam w sobie jest niemal niezrozumiały? (</w:t>
      </w:r>
      <w:r>
        <w:rPr>
          <w:i/>
          <w:iCs/>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65">
    <w:p>
      <w:pPr>
        <w:pStyle w:val="FootnoteText"/>
      </w:pPr>
      <w:r>
        <w:rPr>
          <w:rStyle w:val="FootnoteReference"/>
        </w:rPr>
        <w:footnoteRef/>
      </w:r>
      <w:r>
        <w:t xml:space="preserve"> </w:t>
      </w:r>
      <w:r>
        <w:t xml:space="preserve">For further discussion see the final pages of Appendix C in my Identity IV.</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4" Target="media/rId154.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2026-06-14T18:06:01Z</dcterms:created>
  <dcterms:modified xsi:type="dcterms:W3CDTF">2026-06-14T18:06:01Z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