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7"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5"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p>
      <w:pPr>
        <w:pStyle w:val="BodyText"/>
      </w:pPr>
      <w:r>
        <w:t xml:space="preserve">W tym miejscu z całą mocą pojawia się argument oparty na prawdopodobieństwie statystycznym. Zachowane manuskrypty nie tylko przedstawiają nam jedną formę tekstową, która cieszy się 95-procentową przewagą, ale pozostałe 5% nie stanowi żadnej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słowo „Bóg”, podczas gdy tylko dziewięć odczytów zawiera inne słowo. Spośród tych dziewięciu odczytów, trzy mają odczyty prywatne, a sześć zgadza się co do odczytu „kto”.</w:t>
      </w:r>
      <w:r>
        <w:rPr>
          <w:rStyle w:val="FootnoteReference"/>
        </w:rPr>
        <w:footnoteReference w:id="164"/>
      </w:r>
      <w:r>
        <w:t xml:space="preserve"> </w:t>
      </w:r>
      <w:r>
        <w:t xml:space="preserve">Musimy więc rozstrzygać między 98,5% a 1%, „Bóg” kontra „kto”. Trudno wyobrazić sobie jakikolwiek zestaw okoliczności w historii przekazywania, który wystarczyłby do wywołania katastrofalnego przewrotu w prawdopodobieństwie statystycznym, wymaganego przez twierdzenie, że „kto” jest odczytem oryginalnym.</w:t>
      </w:r>
    </w:p>
    <w:p>
      <w:pPr>
        <w:pStyle w:val="BodyText"/>
      </w:pPr>
      <w:r>
        <w:t xml:space="preserve">The argument from statistical probability enters here with a vengeance. Not only do the extant MSS present us with one text form enjoying a 95% majority, but the remaining 5% do not represent a single competing text form. The minority MSS disagree as much (or more) among themselves as they do with the majority. For any two of them to agree so closely as do P</w:t>
      </w:r>
      <w:r>
        <w:rPr>
          <w:vertAlign w:val="superscript"/>
        </w:rPr>
        <w:t xml:space="preserve">75</w:t>
      </w:r>
      <w:r>
        <w:t xml:space="preserve"> </w:t>
      </w:r>
      <w:r>
        <w:t xml:space="preserve">and B is an oddity. We are not judging, therefore, between two text forms, one representing 95% of the MSS and the other 5%. Rather, we have to judge between 95% and a fraction of 1% (comparing the Majority Text with the P</w:t>
      </w:r>
      <w:r>
        <w:rPr>
          <w:vertAlign w:val="superscript"/>
        </w:rPr>
        <w:t xml:space="preserve">75</w:t>
      </w:r>
      <w:r>
        <w:t xml:space="preserve">,B text form for example). Or to take a specific case, in 1 Timothy 3:16 some 600 Greek MSS (besides the Lectionaries) read “God” while only nine read something else. Of those nine, three have private readings and six agree in reading “who”.3 So we have to judge between 98.5% and 1%, “God” versus “who”. It is hard to imagine any possible set of circumstances in the transmissional history sufficient to produce the cataclysmic overthrow in statistical probability required by the claim that “who” is the original reading.</w:t>
      </w:r>
    </w:p>
    <w:bookmarkEnd w:id="165"/>
    <w:bookmarkEnd w:id="166"/>
    <w:bookmarkEnd w:id="1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 op. cit. [łac.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64">
    <w:p>
      <w:pPr>
        <w:pStyle w:val="FootnoteText"/>
      </w:pPr>
      <w:r>
        <w:rPr>
          <w:rStyle w:val="FootnoteReference"/>
        </w:rPr>
        <w:footnoteRef/>
      </w:r>
      <w:r>
        <w:t xml:space="preserve"> </w:t>
      </w:r>
      <w:r>
        <w:t xml:space="preserve">Odczyty wraz z popierającymi je manuskryptami są jak następuje:</w:t>
      </w:r>
    </w:p>
    <w:p>
      <w:pPr>
        <w:pStyle w:val="FootnoteText"/>
      </w:pPr>
      <w:r>
        <w:t xml:space="preserve">ο – D</w:t>
      </w:r>
    </w:p>
    <w:p>
      <w:pPr>
        <w:pStyle w:val="FootnoteText"/>
      </w:pPr>
      <w:r>
        <w:t xml:space="preserve">ω – 061</w:t>
      </w:r>
      <w:r>
        <w:t xml:space="preserve"> </w:t>
      </w:r>
      <w:r>
        <w:t xml:space="preserve">ος Θεος – jeden minuskuł, 256 (oraz jeden lekcjonarz)</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2026-05-26T03:50:31Z</dcterms:created>
  <dcterms:modified xsi:type="dcterms:W3CDTF">2026-05-26T03:50:31Z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