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zapis</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Codices F/G read</w:t>
      </w:r>
      <w:r>
        <w:t xml:space="preserve"> </w:t>
      </w:r>
      <w:r>
        <w:rPr>
          <w:i/>
          <w:iCs/>
        </w:rPr>
        <w:t xml:space="preserve">OC</w:t>
      </w:r>
      <w:r>
        <w:t xml:space="preserve"> </w:t>
      </w:r>
      <w:r>
        <w:t xml:space="preserve">wherein the contracting-bar is a slanting stroke. It has been argued that the stroke represents the aspirate of</w:t>
      </w:r>
      <w:r>
        <w:t xml:space="preserve"> </w:t>
      </w:r>
      <w:r>
        <w:rPr>
          <w:i/>
          <w:iCs/>
        </w:rPr>
        <w:t xml:space="preserve">ος</w:t>
      </w:r>
      <w:r>
        <w:t xml:space="preserve">, but Burgon demonstrates that the stroke in question never represents breathing but is invariably the sign of contraction and affirms that</w:t>
      </w:r>
      <w:r>
        <w:t xml:space="preserve"> </w:t>
      </w:r>
      <w:r>
        <w:rPr>
          <w:i/>
          <w:iCs/>
        </w:rPr>
        <w:t xml:space="preserve">“ος</w:t>
      </w:r>
      <w:r>
        <w:t xml:space="preserve"> </w:t>
      </w:r>
      <w:r>
        <w:t xml:space="preserve">is</w:t>
      </w:r>
      <w:r>
        <w:t xml:space="preserve"> </w:t>
      </w:r>
      <w:r>
        <w:rPr>
          <w:b/>
          <w:bCs/>
        </w:rPr>
        <w:t xml:space="preserve">nowhere</w:t>
      </w:r>
      <w:r>
        <w:t xml:space="preserve"> </w:t>
      </w:r>
      <w:r>
        <w:t xml:space="preserve">else written</w:t>
      </w:r>
      <w:r>
        <w:t xml:space="preserve"> </w:t>
      </w:r>
      <w:r>
        <w:rPr>
          <w:i/>
          <w:iCs/>
        </w:rPr>
        <w:t xml:space="preserve">OC</w:t>
      </w:r>
      <w:r>
        <w:t xml:space="preserve"> </w:t>
      </w:r>
      <w:r>
        <w:t xml:space="preserve">[with a cross-bar] in either codex” (</w:t>
      </w:r>
      <w:r>
        <w:rPr>
          <w:i/>
          <w:iCs/>
        </w:rPr>
        <w:t xml:space="preserve">Ibid.</w:t>
      </w:r>
      <w:r>
        <w:t xml:space="preserve">, p. 442. Cf. pp. 438-442). Presumably the cross-line in the common parent had become too faint to see. As for cursive 365, Burgon conducted an exhaustive search for it. He not only failed to find it but could find no evidence that it had ever existed (</w:t>
      </w:r>
      <w:r>
        <w:rPr>
          <w:i/>
          <w:iCs/>
        </w:rPr>
        <w:t xml:space="preserve">Ibid.</w:t>
      </w:r>
      <w:r>
        <w:t xml:space="preserve">, pp. 444-445) (I have recently been informed that it was later rediscovered by Gregory).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2026-06-01T19:47:00Z</dcterms:created>
  <dcterms:modified xsi:type="dcterms:W3CDTF">2026-06-01T19:47:00Z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