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Most modern scholars regard “God” as a separate therapeutic response to the difficult reading. Although it dominates the Greek MSS (over 98 percent), it is certainly attested by only two versions, the Georgian and Slavonic (both late). But it also dominates the Greek Fathers. Around AD 100 there are possible allusions in Barnabas, “</w:t>
      </w:r>
      <w:r>
        <w:rPr>
          <w:i/>
          <w:iCs/>
        </w:rPr>
        <w:t xml:space="preserve">Ιησους … ο υιος του Θεου τυπω και εν σαρκι φανερωθεις</w:t>
      </w:r>
      <w:r>
        <w:t xml:space="preserve">” (Cap. xii), and in Ignatius, “</w:t>
      </w:r>
      <w:r>
        <w:rPr>
          <w:i/>
          <w:iCs/>
        </w:rPr>
        <w:t xml:space="preserve">Θεου ανθρωπινως φανερουμενου</w:t>
      </w:r>
      <w:r>
        <w:t xml:space="preserve">” (Ad Ephes. c. 19) and “</w:t>
      </w:r>
      <w:r>
        <w:rPr>
          <w:i/>
          <w:iCs/>
        </w:rPr>
        <w:t xml:space="preserve">εν σαρκι γενομενος Θεος</w:t>
      </w:r>
      <w:r>
        <w:t xml:space="preserve">” (Ibid., c. 7). In the third century there seem to be clear references in Hippolytus, “</w:t>
      </w:r>
      <w:r>
        <w:rPr>
          <w:i/>
          <w:iCs/>
        </w:rPr>
        <w:t xml:space="preserve">Θεος εν σωματι εφανερωθη</w:t>
      </w:r>
      <w:r>
        <w:t xml:space="preserve">” (Contra Haeresim Noeti, c. xvii), Dionysius, “</w:t>
      </w:r>
      <w:r>
        <w:rPr>
          <w:i/>
          <w:iCs/>
        </w:rPr>
        <w:t xml:space="preserve">Θεος γαρ εφανερωθη εν σαρκι</w:t>
      </w:r>
      <w:r>
        <w:t xml:space="preserve">” (Concilia, i. 853a) and Gregory Thaumaturgus, “</w:t>
      </w:r>
      <w:r>
        <w:rPr>
          <w:i/>
          <w:iCs/>
        </w:rPr>
        <w:t xml:space="preserve">και εστιν Θεος αληθινος ο ασαρκος εν σαρκι φανερωθεις</w:t>
      </w:r>
      <w:r>
        <w:t xml:space="preserve">” (quoted by Photius). In the 4th century there are clear quotes or references in Gregory of Nyssa (22 times), Gregory of Nazianzus, Didymus of Alexandria, Diodorus, the Apostolic Constitutions, and Chrysostom, followed by Cyril of Alexandria, Theodoret, and Euthalius in the fifth century, and so on (Burgon, Ibid, pp. 456-476, 486-490).</w:t>
      </w:r>
    </w:p>
    <w:p>
      <w:pPr>
        <w:pStyle w:val="FootnoteText"/>
      </w:pPr>
      <w:r>
        <w:t xml:space="preserve">Większość współczesnych badaczy uznaje słowo „Bóg” za odrębną terapętyczną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rozdz. 19) oraz „</w:t>
      </w:r>
      <w:r>
        <w:rPr>
          <w:i/>
          <w:iCs/>
        </w:rPr>
        <w:t xml:space="preserve">εν σαρκι γενομενος Θεος</w:t>
      </w:r>
      <w:r>
        <w:t xml:space="preserve">” (</w:t>
      </w:r>
      <w:r>
        <w:rPr>
          <w:i/>
          <w:iCs/>
        </w:rPr>
        <w:t xml:space="preserve">Ibid.</w:t>
      </w:r>
      <w:r>
        <w:t xml:space="preserve">, rozdz.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rozdz. xvii), u Dionizego: „</w:t>
      </w:r>
      <w:r>
        <w:rPr>
          <w:i/>
          <w:iCs/>
        </w:rPr>
        <w:t xml:space="preserve">Θεος γαρ εφανερωθη εν σαρκι</w:t>
      </w:r>
      <w:r>
        <w:t xml:space="preserve">” (</w:t>
      </w:r>
      <w:r>
        <w:rPr>
          <w:i/>
          <w:iCs/>
        </w:rPr>
        <w:t xml:space="preserve">Concilia</w:t>
      </w:r>
      <w:r>
        <w:t xml:space="preserve">, tom I 853a) oraz u Grzegorza Cudotwórcy: „</w:t>
      </w:r>
      <w:r>
        <w:rPr>
          <w:i/>
          <w:iCs/>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
          <w:iCs/>
        </w:rPr>
        <w:t xml:space="preserve">Ibid.</w:t>
      </w:r>
      <w:r>
        <w:t xml:space="preserve">, s. 456–476, 486–490).</w:t>
      </w:r>
    </w:p>
    <w:p>
      <w:pPr>
        <w:pStyle w:val="FootnoteText"/>
      </w:pPr>
      <w:r>
        <w:t xml:space="preserve">As for the grammatically aberrant reading, “who”, aside from the MSS already cited, the earliest version that clearly supports it is the gothic (fourth century). To get a clear Greek Patristic witness to this reading pretty well requires the sequence</w:t>
      </w:r>
      <w:r>
        <w:t xml:space="preserve"> </w:t>
      </w:r>
      <w:r>
        <w:rPr>
          <w:i/>
          <w:iCs/>
        </w:rPr>
        <w:t xml:space="preserve">μυστηριον ος εφανερωθη</w:t>
      </w:r>
      <w:r>
        <w:t xml:space="preserve">, since after any reference to Christ, Savior, Son of God, etc. in the prior context the use of a relative clause is predictable. Burgon affirmed that he was aware of no such testimony (and his knowledge of the subject has probably never been equaled) (</w:t>
      </w:r>
      <w:r>
        <w:rPr>
          <w:i/>
          <w:iCs/>
        </w:rPr>
        <w:t xml:space="preserve">Ibid.</w:t>
      </w:r>
      <w:r>
        <w:t xml:space="preserve">, p. 483).</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
          <w:iCs/>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
          <w:iCs/>
        </w:rPr>
        <w:t xml:space="preserve">Ibid.</w:t>
      </w:r>
      <w:r>
        <w:t xml:space="preserve">, s. 483).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2026-06-11T18:35:45Z</dcterms:created>
  <dcterms:modified xsi:type="dcterms:W3CDTF">2026-06-11T18:35:45Z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