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2"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The aberrant text forms</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rzeki „głównego nurtu”. Przypomnij sobie, że możliwość sprawdzenia z Autografami lub gwarantowanymi kopiami musiała służyć powstrzymaniu rozprzestrzeniania się takich form tekstowych.</w:t>
      </w:r>
    </w:p>
    <w:p>
      <w:pPr>
        <w:pStyle w:val="BodyText"/>
      </w:pPr>
      <w:r>
        <w:t xml:space="preserve">The extent of the textual difficulties of the 2nd century can easily be exaggerated. Nevertheless, the evidence cited does prove that aberrant forms of the NT text were produced. Naturally, some of those text forms may have acquired a local and temporary currency, but they could scarcely become more than eddies along the edge of the ‘majority’ river. Recall that the possibility of checking against the Autographs, or guaranteed copies, must have served to inhibit the spread of such text forms.</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2026-05-06T20:29:54Z</dcterms:created>
  <dcterms:modified xsi:type="dcterms:W3CDTF">2026-05-06T20:29:54Z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