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What about Egypt? C.H. Roberts, in a scholarly treatment of the Christian literary papyri of the first three centuries, seems to favor the conclusion that the Alexandrian church was weak and insignificant to the Greek Christian world in the second century.2 Aland states: “Egypt was distinguished from other provinces of the Church, so far as we can judge, by the early dominance of Gnosticism.”3 He further informs us that “at the close of the 2nd century” the Egyptian church was “dominantly gnostic” and then goes on to say: “The copies existing in the gnostic communities could not be used, because they were under suspicion of being corrupt”.4 Now this is all very instructive—what Aland is telling us, in other words, is that up to AD 200 the textual tradition in Egypt could not be trusted. Aland’s assessment here is most probably correct. Notice what Bruce Metzger says about the early church in Egypt:</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
          <w:bCs/>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2026-03-26T04:54:25Z</dcterms:created>
  <dcterms:modified xsi:type="dcterms:W3CDTF">2026-03-26T04:54:25Z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