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5"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44"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4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rPr>
          <w:rStyle w:val="FootnoteReference"/>
        </w:rPr>
        <w:footnoteReference w:id="142"/>
      </w:r>
    </w:p>
    <w:p>
      <w:pPr>
        <w:pStyle w:val="BodyText"/>
      </w:pPr>
      <w:r>
        <w:t xml:space="preserve">In sum, I believe that the evidence clearly favors that interpretation of the history of the text which sees the normal transmission of the text as centered in the Aegean region, the area that was best qualified, from every point of view, to transmit the text, from the very first. The result of that normal transmission is the “Byzantine” text-type. In every age, including the second and third centuries, it has been the traditional text.1</w:t>
      </w:r>
    </w:p>
    <w:bookmarkEnd w:id="143"/>
    <w:bookmarkEnd w:id="144"/>
    <w:bookmarkEnd w:id="1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r>
        <w:t xml:space="preserve"> </w:t>
      </w:r>
      <w:r>
        <w:t xml:space="preserve">Within the broad Byzantine stream there are dozens of rivulets (recall that F. Wisse isolated 36 groups, which included 70 subgroups), but the largest distinct line of transmission is Family 35, the main stream, and it was specifically this family that God used to preserve the precise original wording. For more on this please see Part II.</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2026-04-13T17:01:23Z</dcterms:created>
  <dcterms:modified xsi:type="dcterms:W3CDTF">2026-04-13T17:01:23Z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