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6"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5"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4"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 Apologii I, 66 Justyn mówi: „Albowiem apostołowie w sporządzonych przez siebie pamiętnikach, które zwane są Ewangeliami, w ten sposób przekazali to, co zostało im nakazane…”</w:t>
      </w:r>
      <w:r>
        <w:rPr>
          <w:rStyle w:val="FootnoteReference"/>
        </w:rPr>
        <w:footnoteReference w:id="112"/>
      </w:r>
      <w:r>
        <w:t xml:space="preserve">. A w Dialogu z Żydem Tryfonem 119 mówi, że tak jak Abraham uwierzył głosowi Boga, „tak samo my, uwierzywszy głosowi Boga wypowiedzianemu przez apostołów Chrystusa…”</w:t>
      </w:r>
    </w:p>
    <w:p>
      <w:pPr>
        <w:pStyle w:val="BodyText"/>
      </w:pPr>
      <w:r>
        <w:t xml:space="preserve">In Apol. i.66 Justin says,</w:t>
      </w:r>
      <w:r>
        <w:t xml:space="preserve"> </w:t>
      </w:r>
      <w:r>
        <w:t xml:space="preserve">“</w:t>
      </w:r>
      <w:r>
        <w:t xml:space="preserve">For the apostles in the memoirs composed by them, which are called Gospels, thus handed down what was commanded them…</w:t>
      </w:r>
      <w:r>
        <w:t xml:space="preserve">”</w:t>
      </w:r>
      <w:r>
        <w:rPr>
          <w:rStyle w:val="FootnoteReference"/>
        </w:rPr>
        <w:footnoteReference w:id="113"/>
      </w:r>
      <w:r>
        <w:t xml:space="preserve"> </w:t>
      </w:r>
      <w:r>
        <w:t xml:space="preserve">And in Trypho 119 he says that just as Abraham believed the voice of God,</w:t>
      </w:r>
      <w:r>
        <w:t xml:space="preserve"> </w:t>
      </w:r>
      <w:r>
        <w:t xml:space="preserve">“</w:t>
      </w:r>
      <w:r>
        <w:t xml:space="preserve">in like manner we, having believed God’s voice spoken by the apostles of Christ…</w:t>
      </w:r>
      <w:r>
        <w:t xml:space="preserve">”</w:t>
      </w:r>
    </w:p>
    <w:bookmarkEnd w:id="114"/>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 R. Hardy’ego w Early Christian Fathers, red. C. C. Richardson (Philadelphia: The Westminster Press, 1953).</w:t>
      </w:r>
    </w:p>
  </w:footnote>
  <w:footnote w:id="113">
    <w:p>
      <w:pPr>
        <w:pStyle w:val="FootnoteText"/>
      </w:pPr>
      <w:r>
        <w:rPr>
          <w:rStyle w:val="FootnoteReference"/>
        </w:rPr>
        <w:footnoteRef/>
      </w:r>
      <w:r>
        <w:t xml:space="preserve"> </w:t>
      </w:r>
      <w:r>
        <w:t xml:space="preserve">Skorzystałem z tłumaczenia autorstwa E. R. Hardy’ego w Early Christian Fathers, red. C. C. Richardson (Philadelphia: The Westminster Press, 1953).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2026-01-04T04:37:12Z</dcterms:created>
  <dcterms:modified xsi:type="dcterms:W3CDTF">2026-01-04T04:37:12Z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