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67"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6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4"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21"/>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2"/>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3"/>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4"/>
    <w:bookmarkStart w:id="138"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5"/>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6"/>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7"/>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8"/>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9"/>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30"/>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1"/>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2"/>
      </w:r>
      <w:r>
        <w:t xml:space="preserve"> </w:t>
      </w:r>
      <w:r>
        <w:t xml:space="preserve">Aland stwierdza: „Egipt wyróżniał się spośród innych prowincji Kościoła, na ile możemy to ocenić, wczesną dominacją gnostycyzmu”.</w:t>
      </w:r>
      <w:r>
        <w:rPr>
          <w:rStyle w:val="FootnoteReference"/>
        </w:rPr>
        <w:footnoteReference w:id="133"/>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4"/>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5"/>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6"/>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7"/>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8"/>
    <w:bookmarkStart w:id="153"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9"/>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40"/>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1"/>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2"/>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3"/>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4"/>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5"/>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6"/>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7"/>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8"/>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9"/>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50"/>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51"/>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2"/>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3"/>
    <w:bookmarkStart w:id="165"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5" name="Picture"/>
            <a:graphic>
              <a:graphicData uri="http://schemas.openxmlformats.org/drawingml/2006/picture">
                <pic:pic>
                  <pic:nvPicPr>
                    <pic:cNvPr descr="images/Rysunek_A.jpg" id="156" name="Picture"/>
                    <pic:cNvPicPr>
                      <a:picLocks noChangeArrowheads="1" noChangeAspect="1"/>
                    </pic:cNvPicPr>
                  </pic:nvPicPr>
                  <pic:blipFill>
                    <a:blip r:embed="rId154"/>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7"/>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58"/>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
          <w:iCs/>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59"/>
      </w:r>
      <w:r>
        <w:t xml:space="preserve"> </w:t>
      </w:r>
      <w:r>
        <w:t xml:space="preserve">Kiedy mówię, że Tekst Większościowy dominuje strumień, mam na myśli to, że jest on reprezentowany w około 95% manuskryptów.</w:t>
      </w:r>
      <w:r>
        <w:rPr>
          <w:rStyle w:val="FootnoteReference"/>
        </w:rPr>
        <w:footnoteReference w:id="160"/>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61"/>
      </w:r>
    </w:p>
    <w:p>
      <w:pPr>
        <w:pStyle w:val="BodyText"/>
      </w:pPr>
      <w:r>
        <w:t xml:space="preserve">A członkowie niezgadzającej się grupy różnią się od odczytu do odczytu.</w:t>
      </w:r>
      <w:r>
        <w:rPr>
          <w:rStyle w:val="FootnoteReference"/>
        </w:rPr>
        <w:footnoteReference w:id="162"/>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63"/>
      </w:r>
      <w:r>
        <w:t xml:space="preserve"> </w:t>
      </w:r>
      <w:r>
        <w:t xml:space="preserve">Ale gdyby te trzy „typy tekstów” były równe, w jaki sposób tak zwany „bizantyjski” mógłby kiedykolwiek uzyskać przewagę wynoszącą 90–95%?</w:t>
      </w:r>
    </w:p>
    <w:p>
      <w:pPr>
        <w:pStyle w:val="BodyText"/>
      </w:pPr>
      <w:r>
        <w:t xml:space="preserve">W tym miejscu z całą mocą pojawia się argument oparty na prawdopodobieństwie statystycznym. Zachowane manuskrypty nie tylko przedstawiają nam jedną formę tekstową, która cieszy się 95-procentową przewagą, ale pozostałe 5% nie stanowi żadnej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słowo „Bóg”, podczas gdy tylko dziewięć odczytów zawiera inne słowo. Spośród tych dziewięciu odczytów, trzy mają odczyty prywatne, a sześć zgadza się co do odczytu „kto”.</w:t>
      </w:r>
      <w:r>
        <w:rPr>
          <w:rStyle w:val="FootnoteReference"/>
        </w:rPr>
        <w:footnoteReference w:id="164"/>
      </w:r>
      <w:r>
        <w:t xml:space="preserve"> </w:t>
      </w:r>
      <w:r>
        <w:t xml:space="preserve">Musimy więc rozstrzygać między 98,5% a 1%, „Bóg” kontra „kto”. Trudno wyobrazić sobie jakikolwiek zestaw okoliczności w historii przekazywania, który wystarczyłby do wywołania katastrofalnego przewrotu w prawdopodobieństwie statystycznym, wymaganego przez twierdzenie, że „kto” jest odczytem oryginalnym.</w:t>
      </w:r>
    </w:p>
    <w:p>
      <w:pPr>
        <w:pStyle w:val="BodyText"/>
      </w:pPr>
      <w:r>
        <w:t xml:space="preserve">The argument from statistical probability enters here with a vengeance. Not only do the extant MSS present us with one text form enjoying a 95% majority, but the remaining 5% do not represent a single competing text form. The minority MSS disagree as much (or more) among themselves as they do with the majority. For any two of them to agree so closely as do P</w:t>
      </w:r>
      <w:r>
        <w:rPr>
          <w:vertAlign w:val="superscript"/>
        </w:rPr>
        <w:t xml:space="preserve">75</w:t>
      </w:r>
      <w:r>
        <w:t xml:space="preserve"> </w:t>
      </w:r>
      <w:r>
        <w:t xml:space="preserve">and B is an oddity. We are not judging, therefore, between two text forms, one representing 95% of the MSS and the other 5%. Rather, we have to judge between 95% and a fraction of 1% (comparing the Majority Text with the P</w:t>
      </w:r>
      <w:r>
        <w:rPr>
          <w:vertAlign w:val="superscript"/>
        </w:rPr>
        <w:t xml:space="preserve">75</w:t>
      </w:r>
      <w:r>
        <w:t xml:space="preserve">,B text form for example). Or to take a specific case, in 1 Timothy 3:16 some 600 Greek MSS (besides the Lectionaries) read “God” while only nine read something else. Of those nine, three have private readings and six agree in reading “who”.3 So we have to judge between 98.5% and 1%, “God” versus “who”. It is hard to imagine any possible set of circumstances in the transmissional history sufficient to produce the cataclysmic overthrow in statistical probability required by the claim that “who” is the original reading.</w:t>
      </w:r>
    </w:p>
    <w:bookmarkEnd w:id="165"/>
    <w:bookmarkEnd w:id="166"/>
    <w:bookmarkEnd w:id="1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t xml:space="preserve">Określenia</w:t>
      </w:r>
      <w:r>
        <w:t xml:space="preserve"> </w:t>
      </w:r>
      <w:r>
        <w:rPr>
          <w:i/>
          <w:iCs/>
        </w:rPr>
        <w:t xml:space="preserve">odczyt</w:t>
      </w:r>
      <w:r>
        <w:t xml:space="preserve"> </w:t>
      </w:r>
      <w:r>
        <w:t xml:space="preserve">oraz</w:t>
      </w:r>
      <w:r>
        <w:t xml:space="preserve"> </w:t>
      </w:r>
      <w:r>
        <w:rPr>
          <w:i/>
          <w:iCs/>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
          <w:iCs/>
        </w:rPr>
        <w:t xml:space="preserve">O naukowej polszczyźnie humanistycznej</w:t>
      </w:r>
      <w:r>
        <w:t xml:space="preserve">, Katowice 2025, s. 29.</w:t>
      </w:r>
    </w:p>
  </w:footnote>
  <w:footnote w:id="122">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3">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5">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6">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7">
    <w:p>
      <w:pPr>
        <w:pStyle w:val="FootnoteText"/>
      </w:pPr>
      <w:r>
        <w:rPr>
          <w:rStyle w:val="FootnoteReference"/>
        </w:rPr>
        <w:footnoteRef/>
      </w:r>
      <w:r>
        <w:t xml:space="preserve"> </w:t>
      </w:r>
      <w:r>
        <w:t xml:space="preserve">B.M. Metzger, The Early Versions of the New Testament (Oksford: Clarendon Press, 1977), s. 104.</w:t>
      </w:r>
    </w:p>
  </w:footnote>
  <w:footnote w:id="128">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9">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30">
    <w:p>
      <w:pPr>
        <w:pStyle w:val="FootnoteText"/>
      </w:pPr>
      <w:r>
        <w:rPr>
          <w:rStyle w:val="FootnoteReference"/>
        </w:rPr>
        <w:footnoteRef/>
      </w:r>
      <w:r>
        <w:t xml:space="preserve"> </w:t>
      </w:r>
      <w:r>
        <w:t xml:space="preserve">K. i B. Aland, Tekst Nowego Testamentu (Grand Rapids: Eerdmans, 1981), s. 52–53.</w:t>
      </w:r>
    </w:p>
  </w:footnote>
  <w:footnote w:id="131">
    <w:p>
      <w:pPr>
        <w:pStyle w:val="FootnoteText"/>
      </w:pPr>
      <w:r>
        <w:rPr>
          <w:rStyle w:val="FootnoteReference"/>
        </w:rPr>
        <w:footnoteRef/>
      </w:r>
      <w:r>
        <w:t xml:space="preserve"> </w:t>
      </w:r>
      <w:r>
        <w:rPr>
          <w:i/>
          <w:iCs/>
        </w:rPr>
        <w:t xml:space="preserve">Ibid.</w:t>
      </w:r>
      <w:r>
        <w:t xml:space="preserve">, strona 53.</w:t>
      </w:r>
    </w:p>
  </w:footnote>
  <w:footnote w:id="132">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3">
    <w:p>
      <w:pPr>
        <w:pStyle w:val="FootnoteText"/>
      </w:pPr>
      <w:r>
        <w:rPr>
          <w:rStyle w:val="FootnoteReference"/>
        </w:rPr>
        <w:footnoteRef/>
      </w:r>
      <w:r>
        <w:t xml:space="preserve"> </w:t>
      </w:r>
      <w:r>
        <w:t xml:space="preserve">K. i B. Aland, s. 59.</w:t>
      </w:r>
    </w:p>
  </w:footnote>
  <w:footnote w:id="134">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5">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6">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7">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9">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40">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1">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2">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3">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4">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5">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6">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7">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8">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9">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50">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1">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52">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7">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8">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 w:id="159">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
          <w:iCs/>
        </w:rPr>
        <w:t xml:space="preserve">W</w:t>
      </w:r>
      <w:r>
        <w:t xml:space="preserve">, czyli Waszyngtońskiego, przyp. tłum.] albo wirze P</w:t>
      </w:r>
      <w:r>
        <w:rPr>
          <w:vertAlign w:val="superscript"/>
        </w:rPr>
        <w:t xml:space="preserve">75</w:t>
      </w:r>
      <w:r>
        <w:t xml:space="preserve">/B [papirus 75 z kodeksu</w:t>
      </w:r>
      <w:r>
        <w:t xml:space="preserve"> </w:t>
      </w:r>
      <w:r>
        <w:rPr>
          <w:i/>
          <w:iCs/>
        </w:rPr>
        <w:t xml:space="preserve">B</w:t>
      </w:r>
      <w:r>
        <w:t xml:space="preserve">, czyli Watykańskiego, przyp. tłum.].</w:t>
      </w:r>
    </w:p>
  </w:footnote>
  <w:footnote w:id="160">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
          <w:bCs/>
        </w:rPr>
        <w:t xml:space="preserve">będą</w:t>
      </w:r>
      <w:r>
        <w:t xml:space="preserve"> </w:t>
      </w:r>
      <w:r>
        <w:t xml:space="preserve">błędami).</w:t>
      </w:r>
    </w:p>
  </w:footnote>
  <w:footnote w:id="161">
    <w:p>
      <w:pPr>
        <w:pStyle w:val="FootnoteText"/>
      </w:pPr>
      <w:r>
        <w:rPr>
          <w:rStyle w:val="FootnoteReference"/>
        </w:rPr>
        <w:footnoteRef/>
      </w:r>
      <w:r>
        <w:t xml:space="preserve"> </w:t>
      </w:r>
      <w:r>
        <w:t xml:space="preserve">Nie jestem przygotowany do obrony podanych konkretnych liczb – są to</w:t>
      </w:r>
      <w:r>
        <w:t xml:space="preserve"> </w:t>
      </w:r>
      <w:r>
        <w:rPr>
          <w:b/>
          <w:bCs/>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
          <w:iCs/>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62">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
          <w:iCs/>
        </w:rPr>
        <w:t xml:space="preserve">Identity IV</w:t>
      </w:r>
      <w:r>
        <w:t xml:space="preserve">, w sekcji zatytułowanej „Czy świadków nie należy raczej ważyć, a nie liczyć?”.</w:t>
      </w:r>
    </w:p>
  </w:footnote>
  <w:footnote w:id="163">
    <w:p>
      <w:pPr>
        <w:pStyle w:val="FootnoteText"/>
      </w:pPr>
      <w:r>
        <w:rPr>
          <w:rStyle w:val="FootnoteReference"/>
        </w:rPr>
        <w:footnoteRef/>
      </w:r>
      <w:r>
        <w:t xml:space="preserve"> </w:t>
      </w:r>
      <w:r>
        <w:t xml:space="preserve">Sturz, op. cit. [łac.</w:t>
      </w:r>
      <w:r>
        <w:t xml:space="preserve"> </w:t>
      </w:r>
      <w:r>
        <w:rPr>
          <w:i/>
          <w:iCs/>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64">
    <w:p>
      <w:pPr>
        <w:pStyle w:val="FootnoteText"/>
      </w:pPr>
      <w:r>
        <w:rPr>
          <w:rStyle w:val="FootnoteReference"/>
        </w:rPr>
        <w:footnoteRef/>
      </w:r>
      <w:r>
        <w:t xml:space="preserve"> </w:t>
      </w:r>
      <w:r>
        <w:t xml:space="preserve">Odczyty wraz z popierającymi je manuskryptami są jak następuje [ w formie:</w:t>
      </w:r>
      <w:r>
        <w:t xml:space="preserve"> </w:t>
      </w:r>
      <w:r>
        <w:rPr>
          <w:i/>
          <w:iCs/>
        </w:rPr>
        <w:t xml:space="preserve">grecka fraza</w:t>
      </w:r>
      <w:r>
        <w:t xml:space="preserve"> </w:t>
      </w:r>
      <w:r>
        <w:t xml:space="preserve">- identyfikatory manuskryptów, przyp. tłum.]:</w:t>
      </w:r>
    </w:p>
    <w:p>
      <w:pPr>
        <w:pStyle w:val="FootnoteText"/>
      </w:pPr>
      <w:r>
        <w:rPr>
          <w:i/>
          <w:iCs/>
        </w:rPr>
        <w:t xml:space="preserve">ο</w:t>
      </w:r>
      <w:r>
        <w:t xml:space="preserve"> </w:t>
      </w:r>
      <w:r>
        <w:t xml:space="preserve">– D</w:t>
      </w:r>
    </w:p>
    <w:p>
      <w:pPr>
        <w:pStyle w:val="FootnoteText"/>
      </w:pPr>
      <w:r>
        <w:rPr>
          <w:i/>
          <w:iCs/>
        </w:rPr>
        <w:t xml:space="preserve">ω</w:t>
      </w:r>
      <w:r>
        <w:t xml:space="preserve"> </w:t>
      </w:r>
      <w:r>
        <w:t xml:space="preserve">– 061</w:t>
      </w:r>
    </w:p>
    <w:p>
      <w:pPr>
        <w:pStyle w:val="FootnoteText"/>
      </w:pPr>
      <w:r>
        <w:rPr>
          <w:i/>
          <w:iCs/>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
          <w:iCs/>
        </w:rPr>
        <w:t xml:space="preserve">ος</w:t>
      </w:r>
      <w:r>
        <w:t xml:space="preserve"> </w:t>
      </w:r>
      <w:r>
        <w:t xml:space="preserve">– ℵ, 33, 365, 442, 1175, 2127 (plus trzy Lekcjonarze)</w:t>
      </w:r>
    </w:p>
    <w:p>
      <w:pPr>
        <w:pStyle w:val="FootnoteText"/>
      </w:pPr>
      <w:r>
        <w:rPr>
          <w:i/>
          <w:iCs/>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
          <w:iCs/>
        </w:rPr>
        <w:t xml:space="preserve">ο Θεος</w:t>
      </w:r>
      <w:r>
        <w:t xml:space="preserve"> </w:t>
      </w:r>
      <w:r>
        <w:t xml:space="preserve">oraz jeden lekcjonarz mający odczyt</w:t>
      </w:r>
      <w:r>
        <w:t xml:space="preserve"> </w:t>
      </w:r>
      <w:r>
        <w:rPr>
          <w:i/>
          <w:iCs/>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
          <w:iCs/>
        </w:rPr>
        <w:t xml:space="preserve">Θ</w:t>
      </w:r>
      <w:r>
        <w:t xml:space="preserve">, które dwadzieścia lat później (tj. w 1785 roku) przestały być dla niego widoczne” (</w:t>
      </w:r>
      <w:r>
        <w:rPr>
          <w:i/>
          <w:iCs/>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
          <w:iCs/>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
          <w:iCs/>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
          <w:bCs/>
        </w:rPr>
        <w:t xml:space="preserve">Kreska skrótu</w:t>
      </w:r>
      <w:r>
        <w:t xml:space="preserve"> </w:t>
      </w:r>
      <w:r>
        <w:t xml:space="preserve">[ang.</w:t>
      </w:r>
      <w:r>
        <w:t xml:space="preserve"> </w:t>
      </w:r>
      <w:r>
        <w:rPr>
          <w:i/>
          <w:iCs/>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
          <w:iCs/>
        </w:rPr>
        <w:t xml:space="preserve">Ibid.</w:t>
      </w:r>
      <w:r>
        <w:t xml:space="preserve">, s. 437-438.</w:t>
      </w:r>
    </w:p>
    <w:p>
      <w:pPr>
        <w:pStyle w:val="FootnoteText"/>
      </w:pPr>
      <w:r>
        <w:t xml:space="preserve">W kodeksach F/G występuje odczyt</w:t>
      </w:r>
      <w:r>
        <w:t xml:space="preserve"> </w:t>
      </w:r>
      <w:r>
        <w:rPr>
          <w:i/>
          <w:iCs/>
        </w:rPr>
        <w:t xml:space="preserve">OC</w:t>
      </w:r>
      <w:r>
        <w:t xml:space="preserve">, gdzie kreska skrótu ma postać ukośnej kreski. Argumentowano, że kreska ta oznacza aspiratę [</w:t>
      </w:r>
      <w:r>
        <w:rPr>
          <w:i/>
          <w:iCs/>
        </w:rPr>
        <w:t xml:space="preserve">aspirata</w:t>
      </w:r>
      <w:r>
        <w:t xml:space="preserve"> </w:t>
      </w:r>
      <w:r>
        <w:t xml:space="preserve">- spółgłoska wymawiana z przydechem, czyli następującym po niej dźwiękiem przypominającym krótkie</w:t>
      </w:r>
      <w:r>
        <w:t xml:space="preserve"> </w:t>
      </w:r>
      <w:r>
        <w:t xml:space="preserve">‘h’</w:t>
      </w:r>
      <w:r>
        <w:t xml:space="preserve"> </w:t>
      </w:r>
      <w:r>
        <w:t xml:space="preserve">- https://sjp.pl/aspirata, przyp. tłum.]</w:t>
      </w:r>
      <w:r>
        <w:t xml:space="preserve"> </w:t>
      </w:r>
      <w:r>
        <w:rPr>
          <w:i/>
          <w:iCs/>
        </w:rPr>
        <w:t xml:space="preserve">ος</w:t>
      </w:r>
      <w:r>
        <w:t xml:space="preserve">, ale Burgon dowodzi, że omawiana kreska nigdy nie oznacza oddechu, lecz jest niezmiennie znakiem skrótu i potwierdza, że „</w:t>
      </w:r>
      <w:r>
        <w:rPr>
          <w:i/>
          <w:iCs/>
        </w:rPr>
        <w:t xml:space="preserve">ος</w:t>
      </w:r>
      <w:r>
        <w:t xml:space="preserve"> </w:t>
      </w:r>
      <w:r>
        <w:t xml:space="preserve">nie jest</w:t>
      </w:r>
      <w:r>
        <w:t xml:space="preserve"> </w:t>
      </w:r>
      <w:r>
        <w:rPr>
          <w:b/>
          <w:bCs/>
        </w:rPr>
        <w:t xml:space="preserve">nigdzie</w:t>
      </w:r>
      <w:r>
        <w:t xml:space="preserve"> </w:t>
      </w:r>
      <w:r>
        <w:t xml:space="preserve">indziej zapisane jako</w:t>
      </w:r>
      <w:r>
        <w:t xml:space="preserve"> </w:t>
      </w:r>
      <w:r>
        <w:rPr>
          <w:i/>
          <w:iCs/>
        </w:rPr>
        <w:t xml:space="preserve">OC</w:t>
      </w:r>
      <w:r>
        <w:t xml:space="preserve"> </w:t>
      </w:r>
      <w:r>
        <w:t xml:space="preserve">(z kreską) w żadnym z kodeksów” (</w:t>
      </w:r>
      <w:r>
        <w:rPr>
          <w:i/>
          <w:iCs/>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
          <w:iCs/>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
          <w:iCs/>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
          <w:iCs/>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
          <w:iCs/>
        </w:rPr>
        <w:t xml:space="preserve">Ιησους … ο υιος του Θεου τυπω και εν σαρκι φανερωθεις</w:t>
      </w:r>
      <w:r>
        <w:t xml:space="preserve">” (rozdz. XII) oraz u Ignacego: „</w:t>
      </w:r>
      <w:r>
        <w:rPr>
          <w:i/>
          <w:iCs/>
        </w:rPr>
        <w:t xml:space="preserve">Θεου ανθρωπινως φανερουμενου</w:t>
      </w:r>
      <w:r>
        <w:t xml:space="preserve">” (</w:t>
      </w:r>
      <w:r>
        <w:rPr>
          <w:i/>
          <w:iCs/>
        </w:rPr>
        <w:t xml:space="preserve">Ad Ephes.</w:t>
      </w:r>
      <w:r>
        <w:t xml:space="preserve"> </w:t>
      </w:r>
      <w:r>
        <w:t xml:space="preserve">rozdz. 19) oraz „</w:t>
      </w:r>
      <w:r>
        <w:rPr>
          <w:i/>
          <w:iCs/>
        </w:rPr>
        <w:t xml:space="preserve">εν σαρκι γενομενος Θεος</w:t>
      </w:r>
      <w:r>
        <w:t xml:space="preserve">” (</w:t>
      </w:r>
      <w:r>
        <w:rPr>
          <w:i/>
          <w:iCs/>
        </w:rPr>
        <w:t xml:space="preserve">Ibid.</w:t>
      </w:r>
      <w:r>
        <w:t xml:space="preserve">, rozdz. 7). W III wieku wydają się istnieć wyraźne odniesienia u Hipolita: „</w:t>
      </w:r>
      <w:r>
        <w:rPr>
          <w:i/>
          <w:iCs/>
        </w:rPr>
        <w:t xml:space="preserve">Θεος εν σωματι εφανερωθη</w:t>
      </w:r>
      <w:r>
        <w:t xml:space="preserve">” (</w:t>
      </w:r>
      <w:r>
        <w:rPr>
          <w:i/>
          <w:iCs/>
        </w:rPr>
        <w:t xml:space="preserve">Contra Haeresim Noeti</w:t>
      </w:r>
      <w:r>
        <w:t xml:space="preserve">, rozdz. XVII), u Dionizego: „</w:t>
      </w:r>
      <w:r>
        <w:rPr>
          <w:i/>
          <w:iCs/>
        </w:rPr>
        <w:t xml:space="preserve">Θεος γαρ εφανερωθη εν σαρκι</w:t>
      </w:r>
      <w:r>
        <w:t xml:space="preserve">” (</w:t>
      </w:r>
      <w:r>
        <w:rPr>
          <w:i/>
          <w:iCs/>
        </w:rPr>
        <w:t xml:space="preserve">Concilia</w:t>
      </w:r>
      <w:r>
        <w:t xml:space="preserve">, tom I 853a) oraz u Grzegorza Cudotwórcy: „</w:t>
      </w:r>
      <w:r>
        <w:rPr>
          <w:i/>
          <w:iCs/>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
          <w:iCs/>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
          <w:iCs/>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
          <w:iCs/>
        </w:rPr>
        <w:t xml:space="preserve">Ibid.</w:t>
      </w:r>
      <w:r>
        <w:t xml:space="preserve">, s. 483).</w:t>
      </w:r>
    </w:p>
    <w:p>
      <w:pPr>
        <w:pStyle w:val="FootnoteText"/>
      </w:pPr>
      <w:r>
        <w:t xml:space="preserve">It thus appears that the “Western” and “Byzantine” readings have earlier attestation than does the “Alexandrian”. Yet if “which” was caused by “who”, then the latter must be older. The reading “who” is admittedly the most difficult, so much so that to apply the “harder reading” canon in the face of an easy transcriptional explanation (the accidental omission of the two strokes of the pen) for the difficult reading seems unreasonable. As Burgon so well put it:</w:t>
      </w:r>
    </w:p>
    <w:p>
      <w:pPr>
        <w:pStyle w:val="FootnoteBlockText"/>
      </w:pPr>
      <w:r>
        <w:t xml:space="preserve">I trust we are at least agreed that the maxim “</w:t>
      </w:r>
      <w:r>
        <w:rPr>
          <w:i/>
          <w:iCs/>
        </w:rPr>
        <w:t xml:space="preserve">proclivi lectioni praestat ardua,</w:t>
      </w:r>
      <w:r>
        <w:t xml:space="preserve">” does not enunciate so foolish a proposition as that in choosing between two or more conflicting readings, we are to prefer</w:t>
      </w:r>
      <w:r>
        <w:t xml:space="preserve"> </w:t>
      </w:r>
      <w:r>
        <w:rPr>
          <w:b/>
          <w:bCs/>
        </w:rPr>
        <w:t xml:space="preserve">that</w:t>
      </w:r>
      <w:r>
        <w:t xml:space="preserve"> </w:t>
      </w:r>
      <w:r>
        <w:t xml:space="preserve">one which has the feeblest external attestation, — provided it be but in itself almost unintelligible? (</w:t>
      </w:r>
      <w:r>
        <w:rPr>
          <w:i/>
          <w:iCs/>
        </w:rPr>
        <w:t xml:space="preserve">Ibid.</w:t>
      </w:r>
      <w:r>
        <w:t xml:space="preserve">, p. 497).</w:t>
      </w:r>
    </w:p>
    <w:p>
      <w:pPr>
        <w:pStyle w:val="FootnoteText"/>
      </w:pPr>
      <w:r>
        <w:t xml:space="preserve">Whatever the intention of those editors who choose ‘who’, their text emasculates this strong statement of the deity of Jesus Christ, besides being a stupidity—what is a ‘mystery’ about any human male being manifested in flesh? All human beings have bodies. In the Greek Text the relative pronoun has no antecedent, so it is a grammatical ‘impossibility’.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4" Target="media/rId154.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2026-06-12T05:10:31Z</dcterms:created>
  <dcterms:modified xsi:type="dcterms:W3CDTF">2026-06-12T05:10:31Z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