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Override PartName="/word/media/rId15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67" w:name="część-i-dowody-historyczne"/>
    <w:p>
      <w:pPr>
        <w:pStyle w:val="Heading1"/>
      </w:pPr>
      <w:r>
        <w:t xml:space="preserve">CZĘŚĆ I: Dowody historyczne</w:t>
      </w:r>
    </w:p>
    <w:bookmarkStart w:id="52"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 Ewolucjoniści twierdzą, że granit krystalizował się przez 300 milionów lat, ale w granicie występują „pierścienie polonowe” [ang. Polonium haloes, przyp. tłum.]</w:t>
      </w:r>
      <w:r>
        <w:rPr>
          <w:rStyle w:val="FootnoteReference"/>
        </w:rPr>
        <w:footnoteReference w:id="49"/>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0"/>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1"/>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2"/>
    <w:bookmarkStart w:id="74" w:name="wprowadzenie"/>
    <w:p>
      <w:pPr>
        <w:pStyle w:val="Heading2"/>
      </w:pPr>
      <w:r>
        <w:t xml:space="preserve">Wprowadzenie</w:t>
      </w:r>
    </w:p>
    <w:bookmarkStart w:id="68" w:name="natchnienie"/>
    <w:p>
      <w:pPr>
        <w:pStyle w:val="Heading3"/>
      </w:pPr>
      <w:r>
        <w:t xml:space="preserve">Natchnienie</w:t>
      </w:r>
    </w:p>
    <w:p>
      <w:pPr>
        <w:pStyle w:val="FirstParagraph"/>
      </w:pPr>
      <w:r>
        <w:t xml:space="preserve">Gdy piszę książkę</w:t>
      </w:r>
      <w:r>
        <w:rPr>
          <w:rStyle w:val="FootnoteReference"/>
        </w:rPr>
        <w:footnoteReference w:id="53"/>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4"/>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5"/>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6"/>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7"/>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8"/>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59"/>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0"/>
      </w:r>
      <w:r>
        <w:t xml:space="preserve"> </w:t>
      </w:r>
      <w:r>
        <w:t xml:space="preserve">Ewangelii Chrystusa</w:t>
      </w:r>
      <w:r>
        <w:rPr>
          <w:rStyle w:val="FootnoteReference"/>
        </w:rPr>
        <w:footnoteReference w:id="61"/>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2"/>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3"/>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4"/>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5"/>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6"/>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7"/>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8"/>
    <w:bookmarkStart w:id="70"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69"/>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0"/>
    <w:bookmarkStart w:id="73"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1"/>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2"/>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3"/>
    <w:bookmarkEnd w:id="74"/>
    <w:bookmarkStart w:id="166"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5"/>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2"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6"/>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7"/>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8"/>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79"/>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0"/>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1"/>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2"/>
    <w:bookmarkStart w:id="110" w:name="X2567adac6f25933c916ef36242b5d7814bc2aed"/>
    <w:p>
      <w:pPr>
        <w:pStyle w:val="Heading3"/>
      </w:pPr>
      <w:r>
        <w:t xml:space="preserve">Wczesne rozpoznanie</w:t>
      </w:r>
      <w:r>
        <w:t xml:space="preserve"> </w:t>
      </w:r>
      <w:r>
        <w:rPr>
          <w:rStyle w:val="FootnoteReference"/>
        </w:rPr>
        <w:footnoteReference w:id="83"/>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4"/>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5"/>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6"/>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7"/>
      </w:r>
      <w:r>
        <w:t xml:space="preserve"> </w:t>
      </w:r>
      <w:r>
        <w:t xml:space="preserve">tak jak ci, którzy stali się naocznymi świadkami, od początku, i słudzy Słowa dostarczyli nam je,</w:t>
      </w:r>
      <w:r>
        <w:rPr>
          <w:rStyle w:val="FootnoteReference"/>
        </w:rPr>
        <w:footnoteReference w:id="88"/>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89"/>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0"/>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1"/>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2"/>
      </w:r>
    </w:p>
    <w:p>
      <w:pPr>
        <w:pStyle w:val="BodyText"/>
      </w:pPr>
      <w:r>
        <w:t xml:space="preserve">Autor, kimkolwiek był, wyraźnie przypisuje boskie autorstwo temu cytatowi, który wydaje się pochodzić z 2 Listu Piotra 3,8.</w:t>
      </w:r>
      <w:r>
        <w:rPr>
          <w:rStyle w:val="FootnoteReference"/>
        </w:rPr>
        <w:footnoteReference w:id="93"/>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4"/>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5"/>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6"/>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7"/>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8"/>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99"/>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0"/>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1"/>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2"/>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3"/>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4"/>
      </w:r>
      <w:r>
        <w:t xml:space="preserve">. Podobnie traktuje on Ewangelię Mateusza 19,9 lub Ewangelię Marka 10,11 w rozdziale 33.</w:t>
      </w:r>
    </w:p>
    <w:p>
      <w:pPr>
        <w:pStyle w:val="BodyText"/>
      </w:pPr>
      <w:r>
        <w:t xml:space="preserve">Teofil, biskup Antiochii</w:t>
      </w:r>
      <w:r>
        <w:rPr>
          <w:rStyle w:val="FootnoteReference"/>
        </w:rPr>
        <w:footnoteReference w:id="105"/>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6"/>
      </w:r>
    </w:p>
    <w:p>
      <w:pPr>
        <w:pStyle w:val="BodyText"/>
      </w:pPr>
      <w:r>
        <w:t xml:space="preserve">Dzieła Ireneusza (zm. 202 r.)</w:t>
      </w:r>
      <w:r>
        <w:rPr>
          <w:rStyle w:val="FootnoteReference"/>
        </w:rPr>
        <w:footnoteReference w:id="107"/>
      </w:r>
      <w:r>
        <w:t xml:space="preserve">, które zachowały się do dziś, jego główne dzieło</w:t>
      </w:r>
      <w:r>
        <w:t xml:space="preserve"> </w:t>
      </w:r>
      <w:r>
        <w:rPr>
          <w:i/>
          <w:iCs/>
        </w:rPr>
        <w:t xml:space="preserve">Przeciw heretykom</w:t>
      </w:r>
      <w:r>
        <w:rPr>
          <w:rStyle w:val="FootnoteReference"/>
        </w:rPr>
        <w:footnoteReference w:id="108"/>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09"/>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0"/>
    <w:bookmarkStart w:id="124"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1"/>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2"/>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3"/>
      </w:r>
      <w:r>
        <w:t xml:space="preserve"> </w:t>
      </w:r>
      <w:r>
        <w:t xml:space="preserve">którzy nie uznają Jezusa Chrystusa jako przychodzącego w ciele</w:t>
      </w:r>
      <w:r>
        <w:rPr>
          <w:rStyle w:val="FootnoteReference"/>
        </w:rPr>
        <w:footnoteReference w:id="114"/>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5"/>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6"/>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7"/>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8"/>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19"/>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0"/>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rPr>
          <w:rStyle w:val="FootnoteReference"/>
        </w:rPr>
        <w:footnoteReference w:id="121"/>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2"/>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3"/>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4"/>
    <w:bookmarkStart w:id="138"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5"/>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6"/>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7"/>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8"/>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9"/>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30"/>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1"/>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32"/>
      </w:r>
      <w:r>
        <w:t xml:space="preserve"> </w:t>
      </w:r>
      <w:r>
        <w:t xml:space="preserve">Aland stwierdza: „Egipt wyróżniał się spośród innych prowincji Kościoła, na ile możemy to ocenić, wczesną dominacją gnostycyzmu”.</w:t>
      </w:r>
      <w:r>
        <w:rPr>
          <w:rStyle w:val="FootnoteReference"/>
        </w:rPr>
        <w:footnoteReference w:id="133"/>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34"/>
      </w:r>
      <w:r>
        <w:t xml:space="preserve"> </w:t>
      </w:r>
      <w:r>
        <w:t xml:space="preserve">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35"/>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 istniał na długo przed Lucjanem.</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36"/>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37"/>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
          <w:iCs/>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38"/>
    <w:bookmarkStart w:id="153"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39"/>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
          <w:iCs/>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40"/>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41"/>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42"/>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
          <w:iCs/>
        </w:rPr>
        <w:t xml:space="preserve">Nienormalny przebieg przekazywania</w:t>
      </w:r>
      <w:r>
        <w:rPr>
          <w:rStyle w:val="FootnoteReference"/>
        </w:rPr>
        <w:footnoteReference w:id="143"/>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dotyczy dokładnie i wyłącznie walki z heretykami. Jest jasne, że w II wieku, a być może już w I, osoby takie sporządziły wiele kopii pism Nowego Testamentu zawierających ich zmiany.</w:t>
      </w:r>
      <w:r>
        <w:rPr>
          <w:rStyle w:val="FootnoteReference"/>
        </w:rPr>
        <w:footnoteReference w:id="144"/>
      </w:r>
      <w:r>
        <w:t xml:space="preserve"> </w:t>
      </w:r>
      <w:r>
        <w:t xml:space="preserve">Niektóre z nich najwyraźniej krążyły dość szeroko, przez pewien czas.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p>
      <w:pPr>
        <w:pStyle w:val="BodyText"/>
      </w:pPr>
      <w:r>
        <w:t xml:space="preserve">Największe zniszczenia miały miejsce do 200 r. n.e.</w:t>
      </w:r>
    </w:p>
    <w:p>
      <w:pPr>
        <w:pStyle w:val="BodyText"/>
      </w:pPr>
      <w:r>
        <w:t xml:space="preserve">Powszechnie uznaje się, że większość istotnych wariantów istniała już pod koniec II wieku. „Przeważająca większość odczytów powstała przed rokiem 200” – potwierdził Colwell.</w:t>
      </w:r>
      <w:r>
        <w:rPr>
          <w:rStyle w:val="FootnoteReference"/>
        </w:rPr>
        <w:footnoteReference w:id="145"/>
      </w:r>
      <w:r>
        <w:t xml:space="preserve"> </w:t>
      </w:r>
      <w:r>
        <w:t xml:space="preserve">„Nie mniej prawdziwe niż paradoksalne w brzmieniu jest to, że najgorsze zniekształcenia, jakim kiedykolwiek poddano Nowy Testament, powstały w ciągu stu lat od jego powstania” – stwierdził kilkadziesiąt lat wcześniej Scrivener.</w:t>
      </w:r>
      <w:r>
        <w:rPr>
          <w:rStyle w:val="FootnoteReference"/>
        </w:rPr>
        <w:footnoteReference w:id="146"/>
      </w:r>
      <w:r>
        <w:t xml:space="preserve"> </w:t>
      </w:r>
      <w:r>
        <w:t xml:space="preserve">Kilpatrick komentował dowody najwcześniejszych papirusów.</w:t>
      </w:r>
    </w:p>
    <w:p>
      <w:pPr>
        <w:pStyle w:val="BodyText"/>
      </w:pPr>
      <w:r>
        <w:t xml:space="preserve">Weźmy nasze dwa rękopisy z mniej więcej tego okresu [ok. 200 r. n.e.], które zawierają fragmenty Ewangelii Jana: papirus Chester Beatty’ego i papirus Bodmera. Łącznie zachowało się w nich około siedemdziesięciu wersetów. W tych siedemdziesięciu wersetach różnią się one między sobą około siedemdziesiąt trzy razy, nie licząc błędów.</w:t>
      </w:r>
    </w:p>
    <w:p>
      <w:pPr>
        <w:pStyle w:val="BodyText"/>
      </w:pPr>
      <w:r>
        <w:t xml:space="preserve">Ponadto w papirusie Bodmera oryginalny skryba wielokrotnie poprawiał to, co napisał wcześniej. W niektórych miejscach poprawiał własne błędy, ale w innych zastępował jedną formę sformułowania inną. W przypadku około siedemdziesięciu pięciu takich zamian obie alternatywy są znane z innych manuskryptów, niezależnie od siebie. Skryba w rzeczywistości zastępuje jeden wariant odczytu innym w około siedemdziesięciu miejscach, co pozwala nam wnioskować, że już w jego czasach w tych miejscach występowały wariacje.</w:t>
      </w:r>
      <w:r>
        <w:rPr>
          <w:rStyle w:val="FootnoteReference"/>
        </w:rPr>
        <w:footnoteReference w:id="147"/>
      </w:r>
    </w:p>
    <w:p>
      <w:pPr>
        <w:pStyle w:val="BodyText"/>
      </w:pPr>
      <w:r>
        <w:t xml:space="preserve">Papirus Bodmera to P</w:t>
      </w:r>
      <w:r>
        <w:rPr>
          <w:vertAlign w:val="superscript"/>
        </w:rPr>
        <w:t xml:space="preserve">66</w:t>
      </w:r>
      <w:r>
        <w:t xml:space="preserve">, a to, czego Kilpatrick Ci nie wspomina, to fakt, że w tych 75 miejscach skryba na przemian stosował odczyty bizantyjskie i aleksandryjskie: czasami zaczynał od odczytu bizantyjskiego, a następnie zmieniał go na aleksandryjski, a czasami robił odwrotnie. Miał on oczywiście przed sobą takie wzorce, co oznacza, że tekst bizantyjski istniał już w roku 200!</w:t>
      </w:r>
    </w:p>
    <w:p>
      <w:pPr>
        <w:pStyle w:val="BodyText"/>
      </w:pPr>
      <w:r>
        <w:t xml:space="preserve">G. Zuntz również dostrzegł to wszystko. „Współczesna krytyka zatrzymuje się przed barierą II wieku, epoki, jak się wydaje, nieograniczonej swobody względem tekstu”.</w:t>
      </w:r>
      <w:r>
        <w:rPr>
          <w:rStyle w:val="FootnoteReference"/>
        </w:rPr>
        <w:footnoteReference w:id="148"/>
      </w:r>
    </w:p>
    <w:p>
      <w:pPr>
        <w:pStyle w:val="BodyText"/>
      </w:pPr>
      <w:r>
        <w:t xml:space="preserve">Kilpatrick twierdzi następnie, że tworzenie nowych wariantów ustało około 200 roku n.e., ponieważ nie dało się ich już „sprzedać”. Omawia on niektóre próby wprowadzenia zmian w tekście podjęte przez Orygenesa, a następnie kontynuuje:</w:t>
      </w:r>
    </w:p>
    <w:p>
      <w:pPr>
        <w:pStyle w:val="BlockText"/>
      </w:pPr>
      <w:r>
        <w:t xml:space="preserve">Sposób, w jaki Orygenes potraktował fragment z Ewangelii Mateusza 19,19, ma znaczenie pod dwoma innymi względami. Po pierwsze, był on prawdopodobnie najbardziej wpływowym komentatorem w Kościele starożytnym, a jednak wydaje się, że jego domysły w tym miejscu wpłynęły tylko na jeden manuskrypt lokalnej wersji Nowego Testamentu. Tradycja grecka pozostała najwyraźniej zupełnie nimi niedotknięta. Od III wieku nawet Orygenes nie był w stanie skutecznie zmienić tekst.</w:t>
      </w:r>
    </w:p>
    <w:p>
      <w:pPr>
        <w:pStyle w:val="BlockText"/>
      </w:pPr>
      <w:r>
        <w:t xml:space="preserve">To prowadzi nas do drugiej istotnej kwestii – okresu, w którym żył. Od początku III wieku nie można już było korzystać z przysługującej wcześniej swobody wprowadzania zmian w tekście. Tatian jest ostatnim autorem, o którym mamy jednoznaczne informacje, że celowo wprowadzał zmiany w tekście. Pomiędzy Tatianem a Orygenesem poglądy chrześcijańskie uległy takiej zmianie, że nie było już możliwe wprowadzanie zmian w tekście, niezależnie od tego, czy były one niegroźne, czy też nie.</w:t>
      </w:r>
      <w:r>
        <w:t xml:space="preserve"> </w:t>
      </w:r>
      <w:r>
        <w:rPr>
          <w:rStyle w:val="FootnoteReference"/>
        </w:rPr>
        <w:footnoteReference w:id="149"/>
      </w:r>
    </w:p>
    <w:p>
      <w:pPr>
        <w:pStyle w:val="FirstParagraph"/>
      </w:pPr>
      <w:r>
        <w:t xml:space="preserve">Uważa on, że postawa ta była reakcją na przeróbkę tekstu dokonaną przez heretyków z II wieku. Z pewnością wywołało to ogromne oburzenie i niezależnie od przyczyny wydaje się, że po 200 r. n.e. nie doszło już do większych szkód.</w:t>
      </w:r>
      <w:r>
        <w:rPr>
          <w:rStyle w:val="FootnoteReference"/>
        </w:rPr>
        <w:footnoteReference w:id="150"/>
      </w:r>
      <w:r>
        <w:t xml:space="preserve"> </w:t>
      </w:r>
      <w:r>
        <w:t xml:space="preserve">Jednak zdecydowanie nie zgadzam się z twierdzeniem Kilpatricka na temat „przysługującej wcześniej swobody wprowadzania zmian w tekście”. Nie było takiej „swobody”, była to przewrotność wrogów Prawdy.</w:t>
      </w:r>
    </w:p>
    <w:p>
      <w:pPr>
        <w:pStyle w:val="BodyText"/>
      </w:pPr>
      <w:r>
        <w:t xml:space="preserve">Zniekształcone formy tekstowe</w:t>
      </w:r>
    </w:p>
    <w:p>
      <w:pPr>
        <w:pStyle w:val="BodyText"/>
      </w:pPr>
      <w:r>
        <w:t xml:space="preserve">Skala trudności tekstowych z II wieku może być łatwo wyolbrzymiona. Niemniej jednak przytoczone dowody potwierdzają, że tworzone były zniekształcone formy tekstu Nowego Testamentu. Naturalnie, niektóre z tych form tekstowych mogły zdobyć lokalną i tymczasową popularność, ale z trudem mogły stać się czymś więcej niż tylko zawirowaniami na obrzeżach nurtu „większościowego”. Przypomnij sobie, że możliwość sprawdzenia z Autografami lub gwarantowanymi kopiami musiała służyć powstrzymaniu rozprzestrzeniania się takich form tekstowych.</w:t>
      </w:r>
    </w:p>
    <w:p>
      <w:pPr>
        <w:pStyle w:val="BodyText"/>
      </w:pPr>
      <w:r>
        <w:t xml:space="preserve">Dla przykładu Gajusz</w:t>
      </w:r>
      <w:r>
        <w:rPr>
          <w:rStyle w:val="FootnoteReference"/>
        </w:rPr>
        <w:footnoteReference w:id="151"/>
      </w:r>
      <w:r>
        <w:t xml:space="preserve">, ortodoksyjny Ojciec piszący pod koniec II wieku, wymienił czterech heretyków, którzy nie tylko zmieniali tekst, ale mieli uczniów, którzy powielali kopie ich dzieł. Szczególnie interesujący tu jest jego zarzut, że nie mogli oni zaprzeczyć swojej winie, ponieważ nie byli w stanie przedstawić oryginałów, z których sporządzili swoje kopie.</w:t>
      </w:r>
      <w:r>
        <w:rPr>
          <w:rStyle w:val="FootnoteReference"/>
        </w:rPr>
        <w:footnoteReference w:id="152"/>
      </w:r>
      <w:r>
        <w:t xml:space="preserve"> </w:t>
      </w:r>
      <w:r>
        <w:t xml:space="preserve">Byłoby to pustym oskarżeniem ze strony Gajusza, gdyby on sam również nie był w stanie przedstawić tych Oryginałów. Argumentowałem już, że kościoły w Azji Mniejszej, na przykład, nadal posiadały albo Autografy, albo dokładne kopie, które same sporządzili – dzięki czemu</w:t>
      </w:r>
      <w:r>
        <w:t xml:space="preserve"> </w:t>
      </w:r>
      <w:r>
        <w:rPr>
          <w:b/>
          <w:bCs/>
        </w:rPr>
        <w:t xml:space="preserve">wiedzieli</w:t>
      </w:r>
      <w:r>
        <w:t xml:space="preserve"> </w:t>
      </w:r>
      <w:r>
        <w:t xml:space="preserve">absolutnie, jakie były prawdziwe sformułowania i mogli odrzucać zniekształcone formy z pełnym przekonaniem. Człowiek taki jak Polikarp byłby nadal w stanie potwierdzić w 150 r. n.e., w razie potrzeby litera po literze, oryginalne sformułowania tekstu większości ksiąg Nowego Testamentu. I prawdopodobnie jego manuskrypty nie zostały spalone wraz z nim.</w:t>
      </w:r>
    </w:p>
    <w:p>
      <w:pPr>
        <w:pStyle w:val="BodyText"/>
      </w:pPr>
      <w:r>
        <w:t xml:space="preserve">Presja wynikałaby nie tylko z Autografów, ale także z już ugruntowanej dynamiki przekazywania tekstu, jaką cieszyła się większościowa forma tekstowa. Jak już omówiliśmy, statystyczne prawdopodobieństwa przemawiające przeciwko jakimkolwiek zniekształconym formom tekstowym byłyby przytłaczające. Krótko mówiąc, chociaż powstała oszałamiająca liczba wariantów, sądząc po zachowanych świadkach, i rzeczywiście wywierały one zakłócający wpływ na strumień przekazywania, nie zdołałyby one udaremnić postępu normalnego przebiegu przekazywania.</w:t>
      </w:r>
    </w:p>
    <w:bookmarkEnd w:id="153"/>
    <w:bookmarkStart w:id="165" w:name="strumień-przekazywania"/>
    <w:p>
      <w:pPr>
        <w:pStyle w:val="Heading3"/>
      </w:pPr>
      <w:r>
        <w:t xml:space="preserve">Strumień przekazywania</w:t>
      </w:r>
    </w:p>
    <w:p>
      <w:pPr>
        <w:pStyle w:val="FirstParagraph"/>
      </w:pPr>
      <w:r>
        <w:t xml:space="preserve">Jakiego rodzaju obrazu możemy się zatem spodziewać po zachowanych świadkach, zakładając, że historia przekazywania Tekstu Nowego Testamentu przebiegała w przeważającej mierze normalnie? Możemy spodziewać się szerokiego spektrum kopii, wykazujących drobne różnice wynikające z błędów kopiowania, ale wszystkie odzwierciedlające jedną wspólną tradycję. Jednoczesne istnienie nienormalnego przekazywania w pierwszych wiekach skutkowałoby pojawieniem się nielicznych kopii, chaotycznie rozmieszczonych poza tym głównym strumieniem. Obraz ten wyglądałby mniej więcej tak, jak na</w:t>
      </w:r>
      <w:r>
        <w:t xml:space="preserve"> </w:t>
      </w:r>
      <w:r>
        <w:rPr>
          <w:i/>
          <w:iCs/>
        </w:rPr>
        <w:t xml:space="preserve">rysunku A</w:t>
      </w:r>
      <w:r>
        <w:t xml:space="preserve">.</w:t>
      </w:r>
    </w:p>
    <w:p>
      <w:pPr>
        <w:pStyle w:val="BodyText"/>
      </w:pPr>
      <w:r>
        <w:t xml:space="preserve">Manuskrypty w obrębie stożków reprezentują „normalny” przebieg przekazywania. Po lewej stronie zaznaczyłem kilka możliwych przedstawicieli tego, co moglibyśmy nazwać „nieodpowiedzialnym” przekazywaniem tekstu – kopiści tworzyli kiepskie kopie z powodu niekompetencji lub niedbalstwa, ale nie wprowadzali celowych zmian. Po prawej stronie zaznaczyłem kilka możliwych przedstawicieli tego, co moglibyśmy nazwać „sfabrykowanym” przekazem tekstu – skrybowie wprowadzali celowe zmiany w tekście (z jakichkolwiek powodów), tworząc sfabrykowane kopie, a nie wierne kopie. Doskonale zdaję sobie sprawę, że manuskrypty przedstawione na poniższym rysunku zawierają zarówno błędy wynikające z niedbalstwa, jak i celowe, w różnych proporcjach (7Q5, 4, 8 oraz P</w:t>
      </w:r>
      <w:r>
        <w:rPr>
          <w:vertAlign w:val="superscript"/>
        </w:rPr>
        <w:t xml:space="preserve">52,64,67</w:t>
      </w:r>
      <w:r>
        <w:t xml:space="preserve"> </w:t>
      </w:r>
      <w:r>
        <w:t xml:space="preserve">są zbyt fragmentaryczne, by można było zaklasyfikować ich błędy jako celowe, a nie wynikające z niedbalstwa), tak więc każda klasyfikacja, jaką tutaj próbuję przeprowadzić, musi być względna i daje zniekształcony obraz. Mimo to ośmielam się twierdzić, że ignorancja, niedbalstwo, nadgorliwość i złe zamiary odcisnęły swoje piętno na przekazie tekstu Nowego Testamentu i musimy je uwzględnić przy każdej próbie rekonstrukcji historii tego przekazu.</w:t>
      </w:r>
    </w:p>
    <w:p>
      <w:pPr>
        <w:pStyle w:val="BodyText"/>
      </w:pPr>
      <w:r>
        <w:drawing>
          <wp:inline>
            <wp:extent cx="5334000" cy="3390972"/>
            <wp:effectExtent b="0" l="0" r="0" t="0"/>
            <wp:docPr descr="Rysunek A" title="" id="155" name="Picture"/>
            <a:graphic>
              <a:graphicData uri="http://schemas.openxmlformats.org/drawingml/2006/picture">
                <pic:pic>
                  <pic:nvPicPr>
                    <pic:cNvPr descr="images/Rysunek_A.jpg" id="156" name="Picture"/>
                    <pic:cNvPicPr>
                      <a:picLocks noChangeArrowheads="1" noChangeAspect="1"/>
                    </pic:cNvPicPr>
                  </pic:nvPicPr>
                  <pic:blipFill>
                    <a:blip r:embed="rId154"/>
                    <a:stretch>
                      <a:fillRect/>
                    </a:stretch>
                  </pic:blipFill>
                  <pic:spPr bwMode="auto">
                    <a:xfrm>
                      <a:off x="0" y="0"/>
                      <a:ext cx="5334000" cy="3390972"/>
                    </a:xfrm>
                    <a:prstGeom prst="rect">
                      <a:avLst/>
                    </a:prstGeom>
                    <a:noFill/>
                    <a:ln w="9525">
                      <a:noFill/>
                      <a:headEnd/>
                      <a:tailEnd/>
                    </a:ln>
                  </pic:spPr>
                </pic:pic>
              </a:graphicData>
            </a:graphic>
          </wp:inline>
        </w:drawing>
      </w:r>
      <w:r>
        <w:br/>
      </w:r>
      <w:r>
        <w:rPr>
          <w:b/>
          <w:bCs/>
        </w:rPr>
        <w:t xml:space="preserve">Rysunek A</w:t>
      </w:r>
      <w:r>
        <w:rPr>
          <w:rStyle w:val="FootnoteReference"/>
        </w:rPr>
        <w:footnoteReference w:id="157"/>
      </w:r>
    </w:p>
    <w:p>
      <w:pPr>
        <w:pStyle w:val="BodyText"/>
      </w:pPr>
      <w:r>
        <w:t xml:space="preserve">Jak sugeruje rysunek, twierdzę, że kampania Dioklecjana miała oczyszczający wpływ na strumień przekazywania. Aby wytrzymać tortury, zamiast oddać manuskrypt(y), trzeba było być prawdziwie oddanym wierzącym, typem człowieka, który pragnął dobrych kopii Pism Świętych. Dlatego też zniszczono prawdopodobnie głównie bardziej zanieczyszczone manuskrypty, pozostawiając te czystsze manuskrypty, by ponownie zasiliły ziemię.</w:t>
      </w:r>
      <w:r>
        <w:rPr>
          <w:rStyle w:val="FootnoteReference"/>
        </w:rPr>
        <w:footnoteReference w:id="158"/>
      </w:r>
      <w:r>
        <w:t xml:space="preserve"> </w:t>
      </w:r>
      <w:r>
        <w:t xml:space="preserve">Strzałka wewnątrz stożków reprezentuje Rodzinę 35 (patrz część II poniżej).</w:t>
      </w:r>
    </w:p>
    <w:p>
      <w:pPr>
        <w:pStyle w:val="BodyText"/>
      </w:pPr>
      <w:r>
        <w:t xml:space="preserve">Nasuwa się jeszcze jedna refleksja – gdyby, zgodnie z doniesieniami, kampania Dioklecjana była najostrzejsza i najskuteczniejsza na obszarze bizantyjskim, przewaga liczebna „bizantyjskiego” typu tekstu nad typami „zachodnim” i „aleksandryjskim” uległaby zmniejszeniu, dając tym ostatnim szansę na wysunięcie się naprzód. Tak się jednak nie stało. Kościół w większości odmówił rozpowszechniania tych form greckiego tekstu.</w:t>
      </w:r>
    </w:p>
    <w:p>
      <w:pPr>
        <w:pStyle w:val="BodyText"/>
      </w:pPr>
      <w:r>
        <w:t xml:space="preserve">To, co odkrywamy po przeanalizowaniu świadków, to właśnie taki obraz. Mamy Tekst Większościowy (Aland) lub Tekst Tradycyjny (Burgon), dominujące strumień przekazu, z kilkoma indywidualnymi świadkami podążającymi własnymi, specyficznymi drogami. W rozdziale 4 mojej książki</w:t>
      </w:r>
      <w:r>
        <w:t xml:space="preserve"> </w:t>
      </w:r>
      <w:r>
        <w:rPr>
          <w:i/>
          <w:iCs/>
        </w:rPr>
        <w:t xml:space="preserve">Tożsamość IV</w:t>
      </w:r>
      <w:r>
        <w:t xml:space="preserve"> </w:t>
      </w:r>
      <w:r>
        <w:t xml:space="preserve">wykazuję, że pojęcie „typów tekstowych” i opracowań krytycznych, jak zdefiniowali je i stosowali Hort i jego zwolennicy, jest bezpodstawne Pojęcie „strumieni” Eppa nie wypada lepiej. Istnieje tylko jeden strumień (właściwie rzeka), z wieloma małymi wirami wzdłuż brzegów.</w:t>
      </w:r>
      <w:r>
        <w:rPr>
          <w:rStyle w:val="FootnoteReference"/>
        </w:rPr>
        <w:footnoteReference w:id="159"/>
      </w:r>
      <w:r>
        <w:t xml:space="preserve"> </w:t>
      </w:r>
      <w:r>
        <w:t xml:space="preserve">Kiedy mówię, że Tekst Większościowy dominuje strumień, mam na myśli to, że jest on reprezentowany w około 95% manuskryptów.</w:t>
      </w:r>
      <w:r>
        <w:rPr>
          <w:rStyle w:val="FootnoteReference"/>
        </w:rPr>
        <w:footnoteReference w:id="160"/>
      </w:r>
    </w:p>
    <w:p>
      <w:pPr>
        <w:pStyle w:val="BodyText"/>
      </w:pPr>
      <w:r>
        <w:t xml:space="preserve">W rzeczywistości takie stwierdzenie jest nie do końca satysfakcjonujące, ponieważ nie pozwala na uwzględnienie mieszanki lub zmiennych podobieństw występujących w poszczególnych manuskryptach. Lepszym, choć bardziej zawiłym sposobem opisania tej sytuacji byłoby coś takiego: 100% manuskryptów zgadza się co do, powiedzmy, 50% Tekstu, 99% zgadza się co do kolejnych 40%, ponad 95% zgadza się co do kolejnych 4%, ponad 90% zgadza się co do kolejnych 2%, ponad 80% zgadza się co do kolejnych 2%, tylko w przypadku około 2% Tekstu mniej niż 80% rękopisów jest zgodnych, a nieproporcjonalnie duża liczba tych przypadków występuje w Objawieniu Jana.</w:t>
      </w:r>
      <w:r>
        <w:rPr>
          <w:rStyle w:val="FootnoteReference"/>
        </w:rPr>
        <w:footnoteReference w:id="161"/>
      </w:r>
    </w:p>
    <w:p>
      <w:pPr>
        <w:pStyle w:val="BodyText"/>
      </w:pPr>
      <w:r>
        <w:t xml:space="preserve">A członkowie niezgadzającej się grupy różnią się od odczytu do odczytu.</w:t>
      </w:r>
      <w:r>
        <w:rPr>
          <w:rStyle w:val="FootnoteReference"/>
        </w:rPr>
        <w:footnoteReference w:id="162"/>
      </w:r>
      <w:r>
        <w:t xml:space="preserve"> </w:t>
      </w:r>
      <w:r>
        <w:t xml:space="preserve">Niemniej jednak, z uwzględnieniem powyższego zastrzeżenia, można zasadnie stwierdzić, że nawet 95% zachowanych manuskryptów należy do większościowej tradycji tekstowej.</w:t>
      </w:r>
    </w:p>
    <w:p>
      <w:pPr>
        <w:pStyle w:val="BodyText"/>
      </w:pPr>
      <w:r>
        <w:t xml:space="preserve">Nie widzę żadnego sposobu, by wyjaśnić dominację na poziomie 95% (lub 90%), chyba że tekst ten wywodzi się z Autografów. Hort dostrzegł ten problem i opracował poprawkę. Wydaje się, że Sturz nie dostrzegł tego problemu. Wykazuje on, że „typ tekstu bizantyjskiego” jest wczesny i niezależny od „typów tekstów zachodnich” i „aleksandryjskich” i podobnie jak von Soden pragnie traktować je jako trzech równych świadków.</w:t>
      </w:r>
      <w:r>
        <w:rPr>
          <w:rStyle w:val="FootnoteReference"/>
        </w:rPr>
        <w:footnoteReference w:id="163"/>
      </w:r>
      <w:r>
        <w:t xml:space="preserve"> </w:t>
      </w:r>
      <w:r>
        <w:t xml:space="preserve">Ale gdyby te trzy „typy tekstów” były równe, w jaki sposób tak zwany „bizantyjski” mógłby kiedykolwiek uzyskać przewagę wynoszącą 90–95%?</w:t>
      </w:r>
    </w:p>
    <w:p>
      <w:pPr>
        <w:pStyle w:val="BodyText"/>
      </w:pPr>
      <w:r>
        <w:t xml:space="preserve">W tym miejscu z całą mocą pojawia się argument oparty na prawdopodobieństwie statystycznym. Zachowane manuskrypty nie tylko przedstawiają nam jedną formę tekstową, która cieszy się 95-procentową przewagą, ale pozostałe 5% nie stanowi żadnej konkurencyjnej formy tekstowej. Manuskrypty mniejszościowe różnią się między sobą w takim samym stopniu (lub nawet bardziej), jak różnią się od tekstu większościowego. To, że dwa z nich są ze sobą tak zgodne, jak P</w:t>
      </w:r>
      <w:r>
        <w:rPr>
          <w:vertAlign w:val="superscript"/>
        </w:rPr>
        <w:t xml:space="preserve">75</w:t>
      </w:r>
      <w:r>
        <w:t xml:space="preserve"> </w:t>
      </w:r>
      <w:r>
        <w:t xml:space="preserve">i B, jest ewenementem. Nie rozstrzygamy zatem między dwiema formami tekstu, z których jedna reprezentuje 95% manuskryptów, a druga 5%. Musimy raczej rozstrzygnąć między 95% a ułamkiem 1% (porównując na przykład tekst większościowy z formą tekstu P</w:t>
      </w:r>
      <w:r>
        <w:rPr>
          <w:vertAlign w:val="superscript"/>
        </w:rPr>
        <w:t xml:space="preserve">75</w:t>
      </w:r>
      <w:r>
        <w:t xml:space="preserve">, B). Albo, aby podać konkretny przykład, w 1 Liście do Tymoteusza 3,16 około 600 greckich manuskryptów (oprócz lekcjonarzy) zawiera słowo „Bóg”, podczas gdy tylko dziewięć odczytów zawiera inne słowo. Spośród tych dziewięciu odczytów, trzy mają odczyty prywatne, a sześć zgadza się co do odczytu „kto”.</w:t>
      </w:r>
      <w:r>
        <w:rPr>
          <w:rStyle w:val="FootnoteReference"/>
        </w:rPr>
        <w:footnoteReference w:id="164"/>
      </w:r>
      <w:r>
        <w:t xml:space="preserve"> </w:t>
      </w:r>
      <w:r>
        <w:t xml:space="preserve">Musimy więc rozstrzygać między 98,5% a 1%, „Bóg” kontra „kto”. Trudno wyobrazić sobie jakikolwiek zestaw okoliczności w historii przekazywania, który wystarczyłby do wywołania katastrofalnego przewrotu w prawdopodobieństwie statystycznym, wymaganego przez twierdzenie, że „kto” jest odczytem oryginalnym.</w:t>
      </w:r>
    </w:p>
    <w:p>
      <w:pPr>
        <w:pStyle w:val="BodyText"/>
      </w:pPr>
      <w:r>
        <w:t xml:space="preserve">The argument from statistical probability enters here with a vengeance. Not only do the extant MSS present us with one text form enjoying a 95% majority, but the remaining 5% do not represent a single competing text form. The minority MSS disagree as much (or more) among themselves as they do with the majority. For any two of them to agree so closely as do P</w:t>
      </w:r>
      <w:r>
        <w:rPr>
          <w:vertAlign w:val="superscript"/>
        </w:rPr>
        <w:t xml:space="preserve">75</w:t>
      </w:r>
      <w:r>
        <w:t xml:space="preserve"> </w:t>
      </w:r>
      <w:r>
        <w:t xml:space="preserve">and B is an oddity. We are not judging, therefore, between two text forms, one representing 95% of the MSS and the other 5%. Rather, we have to judge between 95% and a fraction of 1% (comparing the Majority Text with the P</w:t>
      </w:r>
      <w:r>
        <w:rPr>
          <w:vertAlign w:val="superscript"/>
        </w:rPr>
        <w:t xml:space="preserve">75</w:t>
      </w:r>
      <w:r>
        <w:t xml:space="preserve">,B text form for example). Or to take a specific case, in 1 Timothy 3:16 some 600 Greek MSS (besides the Lectionaries) read “God” while only nine read something else. Of those nine, three have private readings and six agree in reading “who”.3 So we have to judge between 98.5% and 1%, “God” versus “who”. It is hard to imagine any possible set of circumstances in the transmissional history sufficient to produce the cataclysmic overthrow in statistical probability required by the claim that “who” is the original reading.</w:t>
      </w:r>
    </w:p>
    <w:bookmarkEnd w:id="165"/>
    <w:bookmarkEnd w:id="166"/>
    <w:bookmarkEnd w:id="1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wskazują, że Ziemia została stworzona natychmiastowo, w chłodnym stanie.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0">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1">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3">
    <w:p>
      <w:pPr>
        <w:pStyle w:val="FootnoteText"/>
      </w:pPr>
      <w:r>
        <w:rPr>
          <w:rStyle w:val="FootnoteReference"/>
        </w:rPr>
        <w:footnoteRef/>
      </w:r>
      <w:r>
        <w:t xml:space="preserve"> </w:t>
      </w:r>
      <w:r>
        <w:t xml:space="preserve">Do tej pory opublikowałem osiem, plus Tekst Grecki.</w:t>
      </w:r>
    </w:p>
  </w:footnote>
  <w:footnote w:id="54">
    <w:p>
      <w:pPr>
        <w:pStyle w:val="FootnoteText"/>
      </w:pPr>
      <w:r>
        <w:rPr>
          <w:rStyle w:val="FootnoteReference"/>
        </w:rPr>
        <w:footnoteRef/>
      </w:r>
      <w:r>
        <w:t xml:space="preserve"> </w:t>
      </w:r>
      <w:r>
        <w:t xml:space="preserve">Odniosłem się już do 1 Kronik 16,15.</w:t>
      </w:r>
    </w:p>
  </w:footnote>
  <w:footnote w:id="55">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6">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7">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8">
    <w:p>
      <w:pPr>
        <w:pStyle w:val="FootnoteText"/>
      </w:pPr>
      <w:r>
        <w:rPr>
          <w:rStyle w:val="FootnoteReference"/>
        </w:rPr>
        <w:footnoteRef/>
      </w:r>
      <w:r>
        <w:t xml:space="preserve"> </w:t>
      </w:r>
      <w:r>
        <w:t xml:space="preserve">Dostęp do Pisma jest niezbędny do duchowego wzrostu i pracy.</w:t>
      </w:r>
    </w:p>
  </w:footnote>
  <w:footnote w:id="59">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0">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1">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2">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3">
    <w:p>
      <w:pPr>
        <w:pStyle w:val="FootnoteText"/>
      </w:pPr>
      <w:r>
        <w:rPr>
          <w:rStyle w:val="FootnoteReference"/>
        </w:rPr>
        <w:footnoteRef/>
      </w:r>
      <w:r>
        <w:t xml:space="preserve"> </w:t>
      </w:r>
      <w:r>
        <w:t xml:space="preserve">Bardzo niewiele rozdziałów zostało napisanych w języku aramejskim.</w:t>
      </w:r>
    </w:p>
  </w:footnote>
  <w:footnote w:id="64">
    <w:p>
      <w:pPr>
        <w:pStyle w:val="FootnoteText"/>
      </w:pPr>
      <w:r>
        <w:rPr>
          <w:rStyle w:val="FootnoteReference"/>
        </w:rPr>
        <w:footnoteRef/>
      </w:r>
      <w:r>
        <w:t xml:space="preserve"> </w:t>
      </w:r>
      <w:r>
        <w:t xml:space="preserve">Więc nie mamy tu do czynienia z nauką w sensie obiektywnym.</w:t>
      </w:r>
    </w:p>
  </w:footnote>
  <w:footnote w:id="65">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6">
    <w:p>
      <w:pPr>
        <w:pStyle w:val="FootnoteText"/>
      </w:pPr>
      <w:r>
        <w:rPr>
          <w:rStyle w:val="FootnoteReference"/>
        </w:rPr>
        <w:footnoteRef/>
      </w:r>
      <w:r>
        <w:t xml:space="preserve"> </w:t>
      </w:r>
      <w:r>
        <w:t xml:space="preserve">Mowa o informacjach historycznych w Biblii, w porównaniu do proroctw. [przyp. tłum.]</w:t>
      </w:r>
    </w:p>
  </w:footnote>
  <w:footnote w:id="67">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69">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1">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2">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5">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6">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7">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8">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79">
    <w:p>
      <w:pPr>
        <w:pStyle w:val="FootnoteText"/>
      </w:pPr>
      <w:r>
        <w:rPr>
          <w:rStyle w:val="FootnoteReference"/>
        </w:rPr>
        <w:footnoteRef/>
      </w:r>
      <w:r>
        <w:t xml:space="preserve"> </w:t>
      </w:r>
      <w:r>
        <w:t xml:space="preserve">NKJV - Biblia, przekład New King James Version. [przyp. tłum.]</w:t>
      </w:r>
    </w:p>
  </w:footnote>
  <w:footnote w:id="80">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1">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3">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4">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5">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6">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7">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8">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89">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0">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1">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2">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3">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4">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5">
    <w:p>
      <w:pPr>
        <w:pStyle w:val="FootnoteText"/>
      </w:pPr>
      <w:r>
        <w:rPr>
          <w:rStyle w:val="FootnoteReference"/>
        </w:rPr>
        <w:footnoteRef/>
      </w:r>
      <w:r>
        <w:t xml:space="preserve"> </w:t>
      </w:r>
      <w:r>
        <w:t xml:space="preserve">Francis Glimm, ponownie.</w:t>
      </w:r>
    </w:p>
  </w:footnote>
  <w:footnote w:id="96">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7">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8">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99">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0">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1">
    <w:p>
      <w:pPr>
        <w:pStyle w:val="FootnoteText"/>
      </w:pPr>
      <w:r>
        <w:rPr>
          <w:rStyle w:val="FootnoteReference"/>
        </w:rPr>
        <w:footnoteRef/>
      </w:r>
      <w:r>
        <w:t xml:space="preserve"> </w:t>
      </w:r>
      <w:r>
        <w:t xml:space="preserve">Roberts i Donaldson, ponownie.</w:t>
      </w:r>
    </w:p>
  </w:footnote>
  <w:footnote w:id="102">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str. 23, 53), stanowiąc wymowne świadectwo skali ruchu między wczesnymi kościołami.</w:t>
      </w:r>
    </w:p>
  </w:footnote>
  <w:footnote w:id="103">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4">
    <w:p>
      <w:pPr>
        <w:pStyle w:val="FootnoteText"/>
      </w:pPr>
      <w:r>
        <w:rPr>
          <w:rStyle w:val="FootnoteReference"/>
        </w:rPr>
        <w:footnoteRef/>
      </w:r>
      <w:r>
        <w:t xml:space="preserve"> </w:t>
      </w:r>
      <w:r>
        <w:t xml:space="preserve">Skorzystałem z tłumaczenia autorstwa C.C. Richardsona z książki Early Christian Fathers.</w:t>
      </w:r>
    </w:p>
  </w:footnote>
  <w:footnote w:id="105">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6">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7">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8">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09">
    <w:p>
      <w:pPr>
        <w:pStyle w:val="FootnoteText"/>
      </w:pPr>
      <w:r>
        <w:rPr>
          <w:rStyle w:val="FootnoteReference"/>
        </w:rPr>
        <w:footnoteRef/>
      </w:r>
      <w:r>
        <w:t xml:space="preserve"> </w:t>
      </w:r>
      <w:r>
        <w:rPr>
          <w:i/>
          <w:iCs/>
        </w:rPr>
        <w:t xml:space="preserve">Ibid.</w:t>
      </w:r>
      <w:r>
        <w:t xml:space="preserve">, strona 53.</w:t>
      </w:r>
    </w:p>
  </w:footnote>
  <w:footnote w:id="111">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2">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3">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4">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5">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6">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7">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8">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19">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0">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1">
    <w:p>
      <w:pPr>
        <w:pStyle w:val="FootnoteText"/>
      </w:pPr>
      <w:r>
        <w:rPr>
          <w:rStyle w:val="FootnoteReference"/>
        </w:rPr>
        <w:footnoteRef/>
      </w:r>
      <w:r>
        <w:t xml:space="preserve"> </w:t>
      </w:r>
      <w:r>
        <w:t xml:space="preserve">Określenia</w:t>
      </w:r>
      <w:r>
        <w:t xml:space="preserve"> </w:t>
      </w:r>
      <w:r>
        <w:rPr>
          <w:i/>
          <w:iCs/>
        </w:rPr>
        <w:t xml:space="preserve">odczyt</w:t>
      </w:r>
      <w:r>
        <w:t xml:space="preserve"> </w:t>
      </w:r>
      <w:r>
        <w:t xml:space="preserve">oraz</w:t>
      </w:r>
      <w:r>
        <w:t xml:space="preserve"> </w:t>
      </w:r>
      <w:r>
        <w:rPr>
          <w:i/>
          <w:iCs/>
        </w:rPr>
        <w:t xml:space="preserve">lekcja</w:t>
      </w:r>
      <w:r>
        <w:t xml:space="preserve"> </w:t>
      </w:r>
      <w:r>
        <w:t xml:space="preserve">(łac. lectio) oznaczają w krytyce tekstu konkretny kształt słowa, zdania lub zapisu w badanym rękopisie (manuskrypcie) lub starym druku. Autograf to odczyt autentyczny (pierwotny), czyli słowo lub zapis, które faktycznie wyszły spod pióra autora. Odczyt błędny to zniekształcenie autografu. Przykład: manuskrypt A: „Jezus Chrystus”, manuskrypt B: „Chrystus Jezus”, manuskrypt C: „Pan Jezus Chrystus”, to są trzy różne odczyty tego samego fragmentu. [przyp. tłum.]</w:t>
      </w:r>
      <w:r>
        <w:br/>
      </w:r>
      <w:r>
        <w:t xml:space="preserve">https://wsjp.pl/haslo/podglad/2573/lekcja/5223614/odczytanie-edytorskie</w:t>
      </w:r>
      <w:r>
        <w:t xml:space="preserve"> </w:t>
      </w:r>
      <w:r>
        <w:t xml:space="preserve">I. Bobrowski,</w:t>
      </w:r>
      <w:r>
        <w:t xml:space="preserve"> </w:t>
      </w:r>
      <w:r>
        <w:rPr>
          <w:i/>
          <w:iCs/>
        </w:rPr>
        <w:t xml:space="preserve">O naukowej polszczyźnie humanistycznej</w:t>
      </w:r>
      <w:r>
        <w:t xml:space="preserve">, Katowice 2025, s. 29.</w:t>
      </w:r>
    </w:p>
  </w:footnote>
  <w:footnote w:id="122">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3">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5">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6">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7">
    <w:p>
      <w:pPr>
        <w:pStyle w:val="FootnoteText"/>
      </w:pPr>
      <w:r>
        <w:rPr>
          <w:rStyle w:val="FootnoteReference"/>
        </w:rPr>
        <w:footnoteRef/>
      </w:r>
      <w:r>
        <w:t xml:space="preserve"> </w:t>
      </w:r>
      <w:r>
        <w:t xml:space="preserve">B.M. Metzger, The Early Versions of the New Testament (Oksford: Clarendon Press, 1977), s. 104.</w:t>
      </w:r>
    </w:p>
  </w:footnote>
  <w:footnote w:id="128">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9">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30">
    <w:p>
      <w:pPr>
        <w:pStyle w:val="FootnoteText"/>
      </w:pPr>
      <w:r>
        <w:rPr>
          <w:rStyle w:val="FootnoteReference"/>
        </w:rPr>
        <w:footnoteRef/>
      </w:r>
      <w:r>
        <w:t xml:space="preserve"> </w:t>
      </w:r>
      <w:r>
        <w:t xml:space="preserve">K. i B. Aland, Tekst Nowego Testamentu (Grand Rapids: Eerdmans, 1981), s. 52–53.</w:t>
      </w:r>
    </w:p>
  </w:footnote>
  <w:footnote w:id="131">
    <w:p>
      <w:pPr>
        <w:pStyle w:val="FootnoteText"/>
      </w:pPr>
      <w:r>
        <w:rPr>
          <w:rStyle w:val="FootnoteReference"/>
        </w:rPr>
        <w:footnoteRef/>
      </w:r>
      <w:r>
        <w:t xml:space="preserve"> </w:t>
      </w:r>
      <w:r>
        <w:rPr>
          <w:i/>
          <w:iCs/>
        </w:rPr>
        <w:t xml:space="preserve">Ibid.</w:t>
      </w:r>
      <w:r>
        <w:t xml:space="preserve">, strona 53.</w:t>
      </w:r>
    </w:p>
  </w:footnote>
  <w:footnote w:id="132">
    <w:p>
      <w:pPr>
        <w:pStyle w:val="FootnoteText"/>
      </w:pPr>
      <w:r>
        <w:rPr>
          <w:rStyle w:val="FootnoteReference"/>
        </w:rPr>
        <w:footnoteRef/>
      </w:r>
      <w:r>
        <w:t xml:space="preserve"> </w:t>
      </w:r>
      <w:r>
        <w:t xml:space="preserve">C.H. Roberts,</w:t>
      </w:r>
      <w:r>
        <w:t xml:space="preserve"> </w:t>
      </w:r>
      <w:r>
        <w:rPr>
          <w:i/>
          <w:iCs/>
        </w:rPr>
        <w:t xml:space="preserve">Manuscript, Society and Belief in Early Christian Egypt</w:t>
      </w:r>
      <w:r>
        <w:t xml:space="preserve"> </w:t>
      </w:r>
      <w:r>
        <w:t xml:space="preserve">(Londyn: Oxford University Press, 1979), s. 42–43, 54–58.</w:t>
      </w:r>
    </w:p>
  </w:footnote>
  <w:footnote w:id="133">
    <w:p>
      <w:pPr>
        <w:pStyle w:val="FootnoteText"/>
      </w:pPr>
      <w:r>
        <w:rPr>
          <w:rStyle w:val="FootnoteReference"/>
        </w:rPr>
        <w:footnoteRef/>
      </w:r>
      <w:r>
        <w:t xml:space="preserve"> </w:t>
      </w:r>
      <w:r>
        <w:t xml:space="preserve">K. i B. Aland, s. 59.</w:t>
      </w:r>
    </w:p>
  </w:footnote>
  <w:footnote w:id="134">
    <w:p>
      <w:pPr>
        <w:pStyle w:val="FootnoteText"/>
      </w:pPr>
      <w:r>
        <w:rPr>
          <w:rStyle w:val="FootnoteReference"/>
        </w:rPr>
        <w:footnoteRef/>
      </w:r>
      <w:r>
        <w:t xml:space="preserve"> </w:t>
      </w:r>
      <w:r>
        <w:t xml:space="preserve">K. Aland, „The Text of the Church?”,</w:t>
      </w:r>
      <w:r>
        <w:t xml:space="preserve"> </w:t>
      </w:r>
      <w:r>
        <w:rPr>
          <w:i/>
          <w:iCs/>
        </w:rPr>
        <w:t xml:space="preserve">Trinity Journal</w:t>
      </w:r>
      <w:r>
        <w:t xml:space="preserve">, 1987, 8NS:138.</w:t>
      </w:r>
    </w:p>
  </w:footnote>
  <w:footnote w:id="135">
    <w:p>
      <w:pPr>
        <w:pStyle w:val="FootnoteText"/>
      </w:pPr>
      <w:r>
        <w:rPr>
          <w:rStyle w:val="FootnoteReference"/>
        </w:rPr>
        <w:footnoteRef/>
      </w:r>
      <w:r>
        <w:t xml:space="preserve"> </w:t>
      </w:r>
      <w:r>
        <w:t xml:space="preserve">Metzger,</w:t>
      </w:r>
      <w:r>
        <w:t xml:space="preserve"> </w:t>
      </w:r>
      <w:r>
        <w:rPr>
          <w:i/>
          <w:iCs/>
        </w:rPr>
        <w:t xml:space="preserve">Early Versions</w:t>
      </w:r>
      <w:r>
        <w:t xml:space="preserve">, s. 101.</w:t>
      </w:r>
    </w:p>
  </w:footnote>
  <w:footnote w:id="136">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37">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39">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40">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
          <w:iCs/>
        </w:rPr>
        <w:t xml:space="preserve">The Identity of the New Testament Text IV</w:t>
      </w:r>
      <w:r>
        <w:t xml:space="preserve">, dostępnej na Amazon.com jak również na mojej stronie internetowej www.prunch.org.</w:t>
      </w:r>
    </w:p>
  </w:footnote>
  <w:footnote w:id="141">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42">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43">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b/>
          <w:bCs/>
        </w:rPr>
        <w:t xml:space="preserve">natchnionego Tekstu</w:t>
      </w:r>
      <w:r>
        <w:t xml:space="preserve">, czemu Westcott i Hort zaprzeczali. Odnoszę się do wierzących kopiujących tekst, który</w:t>
      </w:r>
      <w:r>
        <w:t xml:space="preserve"> </w:t>
      </w:r>
      <w:r>
        <w:rPr>
          <w:b/>
          <w:bCs/>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
          <w:iCs/>
        </w:rPr>
        <w:t xml:space="preserve">The Identity of the New Testament Text</w:t>
      </w:r>
      <w:r>
        <w:t xml:space="preserve">: A Review Article”,</w:t>
      </w:r>
      <w:r>
        <w:t xml:space="preserve"> </w:t>
      </w:r>
      <w:r>
        <w:rPr>
          <w:i/>
          <w:iCs/>
        </w:rPr>
        <w:t xml:space="preserve">The Westminster Theological Journal</w:t>
      </w:r>
      <w:r>
        <w:t xml:space="preserve">, XLI [wiosna 1979], str. 404-408) oraz błędnie przedstawiając mój pogląd na temat normalnego przebiegu przekazywania (</w:t>
      </w:r>
      <w:r>
        <w:rPr>
          <w:i/>
          <w:iCs/>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44">
    <w:p>
      <w:pPr>
        <w:pStyle w:val="FootnoteText"/>
      </w:pPr>
      <w:r>
        <w:rPr>
          <w:rStyle w:val="FootnoteReference"/>
        </w:rPr>
        <w:footnoteRef/>
      </w:r>
      <w:r>
        <w:t xml:space="preserve"> </w:t>
      </w:r>
      <w:r>
        <w:t xml:space="preserve">3 J.W. Burgon,</w:t>
      </w:r>
      <w:r>
        <w:t xml:space="preserve"> </w:t>
      </w:r>
      <w:r>
        <w:rPr>
          <w:i/>
          <w:iCs/>
        </w:rPr>
        <w:t xml:space="preserve">The Revision Revised</w:t>
      </w:r>
      <w:r>
        <w:t xml:space="preserve"> </w:t>
      </w:r>
      <w:r>
        <w:t xml:space="preserve">(Londyn: John Murray, 1883), s. 323–324.</w:t>
      </w:r>
    </w:p>
  </w:footnote>
  <w:footnote w:id="145">
    <w:p>
      <w:pPr>
        <w:pStyle w:val="FootnoteText"/>
      </w:pPr>
      <w:r>
        <w:rPr>
          <w:rStyle w:val="FootnoteReference"/>
        </w:rPr>
        <w:footnoteRef/>
      </w:r>
      <w:r>
        <w:t xml:space="preserve"> </w:t>
      </w:r>
      <w:r>
        <w:t xml:space="preserve">E.C. Colwell, „The Origin of Text-types of New Testament Manuscripts”,</w:t>
      </w:r>
      <w:r>
        <w:t xml:space="preserve"> </w:t>
      </w:r>
      <w:r>
        <w:rPr>
          <w:i/>
          <w:iCs/>
        </w:rPr>
        <w:t xml:space="preserve">Early Christian Origins</w:t>
      </w:r>
      <w:r>
        <w:t xml:space="preserve">, red. Allen Wikgren (Chicago: Quadrangle Books, 1961), s. 138.</w:t>
      </w:r>
    </w:p>
  </w:footnote>
  <w:footnote w:id="146">
    <w:p>
      <w:pPr>
        <w:pStyle w:val="FootnoteText"/>
      </w:pPr>
      <w:r>
        <w:rPr>
          <w:rStyle w:val="FootnoteReference"/>
        </w:rPr>
        <w:footnoteRef/>
      </w:r>
      <w:r>
        <w:t xml:space="preserve"> </w:t>
      </w:r>
      <w:r>
        <w:t xml:space="preserve">F.H.A. Scrivener,</w:t>
      </w:r>
      <w:r>
        <w:t xml:space="preserve"> </w:t>
      </w:r>
      <w:r>
        <w:rPr>
          <w:i/>
          <w:iCs/>
        </w:rPr>
        <w:t xml:space="preserve">A Plain Introduction to the Criticism of the New Testament</w:t>
      </w:r>
      <w:r>
        <w:t xml:space="preserve">, wydanie czwarte pod redakcją E. Millera (2 tomy; Londyn: George Bell and Sons, 1894), II, 264.</w:t>
      </w:r>
    </w:p>
  </w:footnote>
  <w:footnote w:id="147">
    <w:p>
      <w:pPr>
        <w:pStyle w:val="FootnoteText"/>
      </w:pPr>
      <w:r>
        <w:rPr>
          <w:rStyle w:val="FootnoteReference"/>
        </w:rPr>
        <w:footnoteRef/>
      </w:r>
      <w:r>
        <w:t xml:space="preserve"> </w:t>
      </w:r>
      <w:r>
        <w:t xml:space="preserve">G.D. Kilpatrick, „The Transmission of the New Testament and its Reliability”,</w:t>
      </w:r>
      <w:r>
        <w:t xml:space="preserve"> </w:t>
      </w:r>
      <w:r>
        <w:rPr>
          <w:i/>
          <w:iCs/>
        </w:rPr>
        <w:t xml:space="preserve">The Bible Translator</w:t>
      </w:r>
      <w:r>
        <w:t xml:space="preserve">, IX (lipiec 1958), 128-29.</w:t>
      </w:r>
    </w:p>
  </w:footnote>
  <w:footnote w:id="148">
    <w:p>
      <w:pPr>
        <w:pStyle w:val="FootnoteText"/>
      </w:pPr>
      <w:r>
        <w:rPr>
          <w:rStyle w:val="FootnoteReference"/>
        </w:rPr>
        <w:footnoteRef/>
      </w:r>
      <w:r>
        <w:t xml:space="preserve"> </w:t>
      </w:r>
      <w:r>
        <w:t xml:space="preserve">G. Zuntz,</w:t>
      </w:r>
      <w:r>
        <w:t xml:space="preserve"> </w:t>
      </w:r>
      <w:r>
        <w:rPr>
          <w:i/>
          <w:iCs/>
        </w:rPr>
        <w:t xml:space="preserve">The Text of the Epistles</w:t>
      </w:r>
      <w:r>
        <w:t xml:space="preserve"> </w:t>
      </w:r>
      <w:r>
        <w:t xml:space="preserve">(Londyn: Oxford University Press, 1953), s. 11.</w:t>
      </w:r>
    </w:p>
  </w:footnote>
  <w:footnote w:id="149">
    <w:p>
      <w:pPr>
        <w:pStyle w:val="FootnoteText"/>
      </w:pPr>
      <w:r>
        <w:rPr>
          <w:rStyle w:val="FootnoteReference"/>
        </w:rPr>
        <w:footnoteRef/>
      </w:r>
      <w:r>
        <w:t xml:space="preserve"> </w:t>
      </w:r>
      <w:r>
        <w:t xml:space="preserve">Kilpatrick, „Atticism and the Text of the Greek New Testament”, Neutestamentliche Aufsatze (Regensburg: Verlag Friedrich Pustet, 1963), s. 129–130.</w:t>
      </w:r>
    </w:p>
  </w:footnote>
  <w:footnote w:id="150">
    <w:p>
      <w:pPr>
        <w:pStyle w:val="FootnoteText"/>
      </w:pPr>
      <w:r>
        <w:rPr>
          <w:rStyle w:val="FootnoteReference"/>
        </w:rPr>
        <w:footnoteRef/>
      </w:r>
      <w:r>
        <w:t xml:space="preserve"> </w:t>
      </w:r>
      <w:r>
        <w:t xml:space="preserve">Uważam, że można zasadnie założyć, iż istotne warianty, które po raz pierwszy pojawiają się w późniejszym okresie wśród zachowanych manuskryptów, powstały w rzeczywistości znacznie wcześniej.</w:t>
      </w:r>
    </w:p>
  </w:footnote>
  <w:footnote w:id="151">
    <w:p>
      <w:pPr>
        <w:pStyle w:val="FootnoteText"/>
      </w:pPr>
      <w:r>
        <w:rPr>
          <w:rStyle w:val="FootnoteReference"/>
        </w:rPr>
        <w:footnoteRef/>
      </w:r>
      <w:r>
        <w:t xml:space="preserve"> </w:t>
      </w:r>
      <w:r>
        <w:t xml:space="preserve">Gajusz/Kajusz (II/III wiek). Euzebiusz z Cezarei w dziele Historia kościelna twierdzi, że Kajusz jest autorem dialogu pt. Przeciwko Prokulowi, zwolennikowi Montana. Dzieło to zachowało się we fragmentach. [przyp. tłum.]</w:t>
      </w:r>
      <w:r>
        <w:br/>
      </w:r>
      <w:r>
        <w:t xml:space="preserve">https://pl.wikipedia.org/wiki/Kajusz_(kap%C5%82an)</w:t>
      </w:r>
    </w:p>
  </w:footnote>
  <w:footnote w:id="152">
    <w:p>
      <w:pPr>
        <w:pStyle w:val="FootnoteText"/>
      </w:pPr>
      <w:r>
        <w:rPr>
          <w:rStyle w:val="FootnoteReference"/>
        </w:rPr>
        <w:footnoteRef/>
      </w:r>
      <w:r>
        <w:t xml:space="preserve"> </w:t>
      </w:r>
      <w:r>
        <w:t xml:space="preserve">Zob. Burgon,</w:t>
      </w:r>
      <w:r>
        <w:t xml:space="preserve"> </w:t>
      </w:r>
      <w:r>
        <w:rPr>
          <w:i/>
          <w:iCs/>
        </w:rPr>
        <w:t xml:space="preserve">The Revision Revised</w:t>
      </w:r>
      <w:r>
        <w:t xml:space="preserve">, s. 323.</w:t>
      </w:r>
    </w:p>
  </w:footnote>
  <w:footnote w:id="157">
    <w:p>
      <w:pPr>
        <w:pStyle w:val="FootnoteText"/>
      </w:pPr>
      <w:r>
        <w:rPr>
          <w:rStyle w:val="FootnoteReference"/>
        </w:rPr>
        <w:footnoteRef/>
      </w:r>
      <w:r>
        <w:t xml:space="preserve"> </w:t>
      </w:r>
      <w:r>
        <w:t xml:space="preserve">Historia miejsca, w którym znaleziono Kodeks W, wskazuje, że musiał on zostać skopiowany przed 200 r. n.e.: znaleziono go w ruinach miasta opuszczonego w 200 r. n.e. kiedy jego wody wyschły. Miasto to położone jest na odizolowanym obszarze otoczonym pustynią. Ponieważ Kodeks W wykazuje wpływy bizantyjskie, ten typ tekstu istniał już w II wieku.</w:t>
      </w:r>
    </w:p>
  </w:footnote>
  <w:footnote w:id="158">
    <w:p>
      <w:pPr>
        <w:pStyle w:val="FootnoteText"/>
      </w:pPr>
      <w:r>
        <w:rPr>
          <w:rStyle w:val="FootnoteReference"/>
        </w:rPr>
        <w:footnoteRef/>
      </w:r>
      <w:r>
        <w:t xml:space="preserve"> </w:t>
      </w:r>
      <w:r>
        <w:t xml:space="preserve">Bardziej szczegółowe omówienie tej kwestii można znaleźć w sekcji „Imperialne represje wobec Nowego Testamentu” w rozdziale 6 mojej książki</w:t>
      </w:r>
      <w:r>
        <w:t xml:space="preserve"> </w:t>
      </w:r>
      <w:r>
        <w:rPr>
          <w:i/>
          <w:iCs/>
        </w:rPr>
        <w:t xml:space="preserve">The Identity of the New Testament Text IV</w:t>
      </w:r>
      <w:r>
        <w:t xml:space="preserve">, dostępnej na Amazon.com oraz na mojej stronie internetowej www.prunch.org.</w:t>
      </w:r>
    </w:p>
  </w:footnote>
  <w:footnote w:id="159">
    <w:p>
      <w:pPr>
        <w:pStyle w:val="FootnoteText"/>
      </w:pPr>
      <w:r>
        <w:rPr>
          <w:rStyle w:val="FootnoteReference"/>
        </w:rPr>
        <w:footnoteRef/>
      </w:r>
      <w:r>
        <w:t xml:space="preserve"> </w:t>
      </w:r>
      <w:r>
        <w:t xml:space="preserve">Można by na przykład mówić o wirze P</w:t>
      </w:r>
      <w:r>
        <w:rPr>
          <w:vertAlign w:val="superscript"/>
        </w:rPr>
        <w:t xml:space="preserve">45</w:t>
      </w:r>
      <w:r>
        <w:t xml:space="preserve">/W [papirus 45 z kodeksu</w:t>
      </w:r>
      <w:r>
        <w:t xml:space="preserve"> </w:t>
      </w:r>
      <w:r>
        <w:rPr>
          <w:i/>
          <w:iCs/>
        </w:rPr>
        <w:t xml:space="preserve">W</w:t>
      </w:r>
      <w:r>
        <w:t xml:space="preserve">, czyli Waszyngtońskiego, przyp. tłum.] albo wirze P</w:t>
      </w:r>
      <w:r>
        <w:rPr>
          <w:vertAlign w:val="superscript"/>
        </w:rPr>
        <w:t xml:space="preserve">75</w:t>
      </w:r>
      <w:r>
        <w:t xml:space="preserve">/B [papirus 75 z kodeksu</w:t>
      </w:r>
      <w:r>
        <w:t xml:space="preserve"> </w:t>
      </w:r>
      <w:r>
        <w:rPr>
          <w:i/>
          <w:iCs/>
        </w:rPr>
        <w:t xml:space="preserve">B</w:t>
      </w:r>
      <w:r>
        <w:t xml:space="preserve">, czyli Watykańskiego, przyp. tłum.].</w:t>
      </w:r>
    </w:p>
  </w:footnote>
  <w:footnote w:id="160">
    <w:p>
      <w:pPr>
        <w:pStyle w:val="FootnoteText"/>
      </w:pPr>
      <w:r>
        <w:rPr>
          <w:rStyle w:val="FootnoteReference"/>
        </w:rPr>
        <w:footnoteRef/>
      </w:r>
      <w:r>
        <w:t xml:space="preserve"> </w:t>
      </w:r>
      <w:r>
        <w:t xml:space="preserve">Chociaż w niektórych swoich pracach zastosowałem z konieczności termin „typ tekstu”, postrzegam Tekst Większościowy jako będący znacznie szerszy. Jest to tradycja tekstowa, o której można powiedzieć, że obejmuje szereg powiązanych „typów tekstów”, takich jak K</w:t>
      </w:r>
      <w:r>
        <w:rPr>
          <w:vertAlign w:val="superscript"/>
        </w:rPr>
        <w:t xml:space="preserve">a</w:t>
      </w:r>
      <w:r>
        <w:t xml:space="preserve">, K</w:t>
      </w:r>
      <w:r>
        <w:rPr>
          <w:vertAlign w:val="superscript"/>
        </w:rPr>
        <w:t xml:space="preserve">i</w:t>
      </w:r>
      <w:r>
        <w:t xml:space="preserve"> </w:t>
      </w:r>
      <w:r>
        <w:t xml:space="preserve">i K</w:t>
      </w:r>
      <w:r>
        <w:rPr>
          <w:vertAlign w:val="superscript"/>
        </w:rPr>
        <w:t xml:space="preserve">l</w:t>
      </w:r>
      <w:r>
        <w:t xml:space="preserve"> </w:t>
      </w:r>
      <w:r>
        <w:t xml:space="preserve">von Sodena. Pragnę ponownie podkreślić, że to tylko zgodność w błędach determinuje relacje genealogiczne. Wynika z tego, że pojęcia „genealogii” i „typu tekstu” są nieistotne w odniesieniu do oryginalnych odczytów – są one przydatne jedynie (gdy są właściwie stosowane) do identyfikacji fałszywych odczytów. Cóż, jeśli istnieje rodzina, która odzwierciedla oryginał bardzo blisko, jej „profil” lub mozaika odczytów odróżni ją od wszystkich innych rodzin, ale większość tych odczytów nie będzie błędami (konkurencyjne warianty charakterystyczne dla innych rodzin</w:t>
      </w:r>
      <w:r>
        <w:t xml:space="preserve"> </w:t>
      </w:r>
      <w:r>
        <w:rPr>
          <w:b/>
          <w:bCs/>
        </w:rPr>
        <w:t xml:space="preserve">będą</w:t>
      </w:r>
      <w:r>
        <w:t xml:space="preserve"> </w:t>
      </w:r>
      <w:r>
        <w:t xml:space="preserve">błędami).</w:t>
      </w:r>
    </w:p>
  </w:footnote>
  <w:footnote w:id="161">
    <w:p>
      <w:pPr>
        <w:pStyle w:val="FootnoteText"/>
      </w:pPr>
      <w:r>
        <w:rPr>
          <w:rStyle w:val="FootnoteReference"/>
        </w:rPr>
        <w:footnoteRef/>
      </w:r>
      <w:r>
        <w:t xml:space="preserve"> </w:t>
      </w:r>
      <w:r>
        <w:t xml:space="preserve">Nie jestem przygotowany do obrony podanych konkretnych liczb – są to</w:t>
      </w:r>
      <w:r>
        <w:t xml:space="preserve"> </w:t>
      </w:r>
      <w:r>
        <w:rPr>
          <w:b/>
          <w:bCs/>
        </w:rPr>
        <w:t xml:space="preserve">przypuszczenia</w:t>
      </w:r>
      <w:r>
        <w:t xml:space="preserve"> </w:t>
      </w:r>
      <w:r>
        <w:t xml:space="preserve">– ale uważam, że stanowią one rozsądne przybliżenie rzeczywistości. Zgadzam się w pełni z Colwellem, gdy podkreśla on, że musimy „rygorystycznie wyeliminować odczyt pojedynczy” („External Evidence and New Testament Criticism”,</w:t>
      </w:r>
      <w:r>
        <w:t xml:space="preserve"> </w:t>
      </w:r>
      <w:r>
        <w:rPr>
          <w:i/>
          <w:iCs/>
        </w:rPr>
        <w:t xml:space="preserve">Studies in the History of the Text of the New Testament</w:t>
      </w:r>
      <w:r>
        <w:t xml:space="preserve">, red. B.L. Daniels i M.J. Suggs [Salt Lake City: University of Utah Press, 1967], s. 8) w oparciu o całkowicie rozsądne założenie (jak mi się wydaje), że pojedynczy świadek przeciwko całemu światu nie może mieć racji.</w:t>
      </w:r>
    </w:p>
  </w:footnote>
  <w:footnote w:id="162">
    <w:p>
      <w:pPr>
        <w:pStyle w:val="FootnoteText"/>
      </w:pPr>
      <w:r>
        <w:rPr>
          <w:rStyle w:val="FootnoteReference"/>
        </w:rPr>
        <w:footnoteRef/>
      </w:r>
      <w:r>
        <w:t xml:space="preserve"> </w:t>
      </w:r>
      <w:r>
        <w:t xml:space="preserve">Z pewnością zostanie mi przypomniane, że świadków należy ważyć, a nie liczyć. Moje rozważania na ten temat można znaleźć w rozdziale 6 mojej książki</w:t>
      </w:r>
      <w:r>
        <w:t xml:space="preserve"> </w:t>
      </w:r>
      <w:r>
        <w:rPr>
          <w:i/>
          <w:iCs/>
        </w:rPr>
        <w:t xml:space="preserve">Identity IV</w:t>
      </w:r>
      <w:r>
        <w:t xml:space="preserve">, w sekcji zatytułowanej „Czy świadków nie należy raczej ważyć, a nie liczyć?”.</w:t>
      </w:r>
    </w:p>
  </w:footnote>
  <w:footnote w:id="163">
    <w:p>
      <w:pPr>
        <w:pStyle w:val="FootnoteText"/>
      </w:pPr>
      <w:r>
        <w:rPr>
          <w:rStyle w:val="FootnoteReference"/>
        </w:rPr>
        <w:footnoteRef/>
      </w:r>
      <w:r>
        <w:t xml:space="preserve"> </w:t>
      </w:r>
      <w:r>
        <w:t xml:space="preserve">Sturz, op. cit. [łac.</w:t>
      </w:r>
      <w:r>
        <w:t xml:space="preserve"> </w:t>
      </w:r>
      <w:r>
        <w:rPr>
          <w:i/>
          <w:iCs/>
        </w:rPr>
        <w:t xml:space="preserve">opus citatum</w:t>
      </w:r>
      <w:r>
        <w:t xml:space="preserve"> </w:t>
      </w:r>
      <w:r>
        <w:t xml:space="preserve">- „w cytowanym dziele” / „dzieło cytowane”, przyp. tłum.] Tekst powstały przez przyjęcie dwóch „typów tekstów” przeciw jednemu przesunąłby tekst UBS [tekst UBS to tekst krytyczny wydawany przez United Bible Societies, przyp. tłum.] o około 80% drogi w kierunku tekstu większościowego.</w:t>
      </w:r>
    </w:p>
  </w:footnote>
  <w:footnote w:id="164">
    <w:p>
      <w:pPr>
        <w:pStyle w:val="FootnoteText"/>
      </w:pPr>
      <w:r>
        <w:rPr>
          <w:rStyle w:val="FootnoteReference"/>
        </w:rPr>
        <w:footnoteRef/>
      </w:r>
      <w:r>
        <w:t xml:space="preserve"> </w:t>
      </w:r>
      <w:r>
        <w:t xml:space="preserve">Odczyty wraz z popierającymi je manuskryptami są jak następuje [ w formie:</w:t>
      </w:r>
      <w:r>
        <w:t xml:space="preserve"> </w:t>
      </w:r>
      <w:r>
        <w:rPr>
          <w:i/>
          <w:iCs/>
        </w:rPr>
        <w:t xml:space="preserve">grecka fraza</w:t>
      </w:r>
      <w:r>
        <w:t xml:space="preserve"> </w:t>
      </w:r>
      <w:r>
        <w:t xml:space="preserve">- identyfikatory manuskryptów, przyp. tłum.]:</w:t>
      </w:r>
    </w:p>
    <w:p>
      <w:pPr>
        <w:pStyle w:val="FootnoteText"/>
      </w:pPr>
      <w:r>
        <w:rPr>
          <w:i/>
          <w:iCs/>
        </w:rPr>
        <w:t xml:space="preserve">ο</w:t>
      </w:r>
      <w:r>
        <w:t xml:space="preserve"> </w:t>
      </w:r>
      <w:r>
        <w:t xml:space="preserve">– D</w:t>
      </w:r>
    </w:p>
    <w:p>
      <w:pPr>
        <w:pStyle w:val="FootnoteText"/>
      </w:pPr>
      <w:r>
        <w:rPr>
          <w:i/>
          <w:iCs/>
        </w:rPr>
        <w:t xml:space="preserve">ω</w:t>
      </w:r>
      <w:r>
        <w:t xml:space="preserve"> </w:t>
      </w:r>
      <w:r>
        <w:t xml:space="preserve">– 061</w:t>
      </w:r>
    </w:p>
    <w:p>
      <w:pPr>
        <w:pStyle w:val="FootnoteText"/>
      </w:pPr>
      <w:r>
        <w:rPr>
          <w:i/>
          <w:iCs/>
        </w:rPr>
        <w:t xml:space="preserve">ος Θεος</w:t>
      </w:r>
      <w:r>
        <w:t xml:space="preserve"> </w:t>
      </w:r>
      <w:r>
        <w:t xml:space="preserve">– jeden minuskuł [minuskuł/cursive - manuskrypt w którym litery są połączone ze sobą i często lekko pochylone w prawo, aby pisać szybciej i płynniej, przyp. tłum.], 256 (oraz jeden Lekcjonarz [lekcjonarz - księga liturgiczna zawierająca czytania biblijne do nabożeństw, przyp. tłum.])</w:t>
      </w:r>
    </w:p>
    <w:p>
      <w:pPr>
        <w:pStyle w:val="FootnoteText"/>
      </w:pPr>
      <w:r>
        <w:rPr>
          <w:i/>
          <w:iCs/>
        </w:rPr>
        <w:t xml:space="preserve">ος</w:t>
      </w:r>
      <w:r>
        <w:t xml:space="preserve"> </w:t>
      </w:r>
      <w:r>
        <w:t xml:space="preserve">– ℵ, 33, 365, 442, 1175, 2127 (plus trzy Lekcjonarze)</w:t>
      </w:r>
    </w:p>
    <w:p>
      <w:pPr>
        <w:pStyle w:val="FootnoteText"/>
      </w:pPr>
      <w:r>
        <w:rPr>
          <w:i/>
          <w:iCs/>
        </w:rPr>
        <w:t xml:space="preserve">Θεος</w:t>
      </w:r>
      <w:r>
        <w:t xml:space="preserve"> </w:t>
      </w:r>
      <w:r>
        <w:t xml:space="preserve">– A, C</w:t>
      </w:r>
      <w:r>
        <w:rPr>
          <w:vertAlign w:val="superscript"/>
        </w:rPr>
        <w:t xml:space="preserve">vid</w:t>
      </w:r>
      <w:r>
        <w:t xml:space="preserve">[vid - wydaje się, że ma taki odczyt, przyp. tłum.], F/G</w:t>
      </w:r>
      <w:r>
        <w:rPr>
          <w:vertAlign w:val="superscript"/>
        </w:rPr>
        <w:t xml:space="preserve">vid</w:t>
      </w:r>
      <w:r>
        <w:t xml:space="preserve">, K, L, P, Ψ, około 600 minuskułów (oprócz Lekcjonarzy) (w tym cztery minuskuły mające odczyt</w:t>
      </w:r>
      <w:r>
        <w:t xml:space="preserve"> </w:t>
      </w:r>
      <w:r>
        <w:rPr>
          <w:i/>
          <w:iCs/>
        </w:rPr>
        <w:t xml:space="preserve">ο Θεος</w:t>
      </w:r>
      <w:r>
        <w:t xml:space="preserve"> </w:t>
      </w:r>
      <w:r>
        <w:t xml:space="preserve">oraz jeden lekcjonarz mający odczyt</w:t>
      </w:r>
      <w:r>
        <w:t xml:space="preserve"> </w:t>
      </w:r>
      <w:r>
        <w:rPr>
          <w:i/>
          <w:iCs/>
        </w:rPr>
        <w:t xml:space="preserve">Θεου</w:t>
      </w:r>
      <w:r>
        <w:t xml:space="preserve">).</w:t>
      </w:r>
    </w:p>
    <w:p>
      <w:pPr>
        <w:pStyle w:val="FootnoteText"/>
      </w:pPr>
      <w:r>
        <w:t xml:space="preserve">Będzie zauważone, że moje sformułowanie różni się na przykład od tego zawartego w tekście UBS. Proponuję następujące wyjaśnienie.</w:t>
      </w:r>
    </w:p>
    <w:p>
      <w:pPr>
        <w:pStyle w:val="FootnoteText"/>
      </w:pPr>
      <w:r>
        <w:t xml:space="preserve">Young, Huish, Pearson, Fell i Mill w XVII wieku, Creyk, Bentley, Wotton, Wetstein, Bengel, Berriman i Woide w XVIII wieku, a także Scrivener jeszcze w 1881 roku – wszyscy oni potwierdzili po dokładnej analizie, że w Kodeksie A widnieje słowo „Bóg”. Aby zapoznać się z dogłębną dyskusją na ten temat, proszę zajrzeć do Burgona, który mówi w odniesieniu do Woide’a: „Ten uczony i skrupulatny redaktor Kodeksu oświadcza, że jeszcze w 1765 roku dostrzegał ślady litery</w:t>
      </w:r>
      <w:r>
        <w:t xml:space="preserve"> </w:t>
      </w:r>
      <w:r>
        <w:rPr>
          <w:i/>
          <w:iCs/>
        </w:rPr>
        <w:t xml:space="preserve">Θ</w:t>
      </w:r>
      <w:r>
        <w:t xml:space="preserve">, które dwadzieścia lat później (tj. w 1785 roku) przestały być dla niego widoczne” (</w:t>
      </w:r>
      <w:r>
        <w:rPr>
          <w:i/>
          <w:iCs/>
        </w:rPr>
        <w:t xml:space="preserve">The Revision Revised</w:t>
      </w:r>
      <w:r>
        <w:t xml:space="preserve">, s. 434. Por. s. 431-436). Dopiero po 1765 r. uczeni zaczęli kwestionować odczyt A (z powodu wyblaknięcia i zużycia środkowa linia litery theta nie jest już zauważalna).</w:t>
      </w:r>
    </w:p>
    <w:p>
      <w:pPr>
        <w:pStyle w:val="FootnoteText"/>
      </w:pPr>
      <w:r>
        <w:t xml:space="preserve">H.C. Hoskier poświęcił dodatek J do pracy</w:t>
      </w:r>
      <w:r>
        <w:t xml:space="preserve"> </w:t>
      </w:r>
      <w:r>
        <w:rPr>
          <w:i/>
          <w:iCs/>
        </w:rPr>
        <w:t xml:space="preserve">A Full Account and Collation of the Greek Codex Evangelium 604</w:t>
      </w:r>
      <w:r>
        <w:t xml:space="preserve"> </w:t>
      </w:r>
      <w:r>
        <w:t xml:space="preserve">(Londyn: David Nutt, 1890) (załącznik ten jest przedrukiem części artykułu, który ukazał się w</w:t>
      </w:r>
      <w:r>
        <w:t xml:space="preserve"> </w:t>
      </w:r>
      <w:r>
        <w:rPr>
          <w:i/>
          <w:iCs/>
        </w:rPr>
        <w:t xml:space="preserve">Clergyman’s Magazine</w:t>
      </w:r>
      <w:r>
        <w:t xml:space="preserve"> </w:t>
      </w:r>
      <w:r>
        <w:t xml:space="preserve">z lutego 1887 r.) na szczegółową dyskusję dotyczącą odczytu Kodeksu C. Spędził trzy godziny na badaniu omawianego fragmentu w tym manuskrypcie (sam manuskrypt) i przytacza dowody, które moim zdaniem jasno wskazują, że pierwotnym odczytem C jest „Bóg”. Przeanalizował otaczający kontekst i zauważa: „</w:t>
      </w:r>
      <w:r>
        <w:rPr>
          <w:b/>
          <w:bCs/>
        </w:rPr>
        <w:t xml:space="preserve">Kreska skrótu</w:t>
      </w:r>
      <w:r>
        <w:t xml:space="preserve">[ang.</w:t>
      </w:r>
      <w:r>
        <w:t xml:space="preserve"> </w:t>
      </w:r>
      <w:r>
        <w:rPr>
          <w:i/>
          <w:iCs/>
        </w:rPr>
        <w:t xml:space="preserve">contracting bar</w:t>
      </w:r>
      <w:r>
        <w:t xml:space="preserve">, pozioma kreska nad wyrazem używana w greckich rękopisach przy nomina sacra (skróty imion świętych) w greckich i łacińskich rękopisach biblijnych, np. ΘΣ̅ jako skrót od Θεός („Bóg”) - pl.wikipedia.org/wiki/Nomina_sacra, przyp. tłum.] często zanikała całkowicie (jak sądzę, na podstawie pobieżnej analizy, częściej niż rzadziej), ale w innych przypadkach jest wyraźna i umieszczona w taki sam sposób, jak w 1 Liście do Tymoteusza 3,16” (Dodatek J, s. 2). Zob. również Burgon,</w:t>
      </w:r>
      <w:r>
        <w:t xml:space="preserve"> </w:t>
      </w:r>
      <w:r>
        <w:rPr>
          <w:i/>
          <w:iCs/>
        </w:rPr>
        <w:t xml:space="preserve">Ibid.</w:t>
      </w:r>
      <w:r>
        <w:t xml:space="preserve">, s. 437-438.</w:t>
      </w:r>
    </w:p>
    <w:p>
      <w:pPr>
        <w:pStyle w:val="FootnoteText"/>
      </w:pPr>
      <w:r>
        <w:t xml:space="preserve">H.C. Hoskier devotes Appendix J of</w:t>
      </w:r>
      <w:r>
        <w:t xml:space="preserve"> </w:t>
      </w:r>
      <w:r>
        <w:rPr>
          <w:i/>
          <w:iCs/>
        </w:rPr>
        <w:t xml:space="preserve">A Full Account and Collation of the Greek Codex Evangelium 604</w:t>
      </w:r>
      <w:r>
        <w:t xml:space="preserve"> </w:t>
      </w:r>
      <w:r>
        <w:t xml:space="preserve">(London: David Nutt, 1890) (the appendix being a reprint of part of an article that appeared in the</w:t>
      </w:r>
      <w:r>
        <w:t xml:space="preserve"> </w:t>
      </w:r>
      <w:r>
        <w:rPr>
          <w:i/>
          <w:iCs/>
        </w:rPr>
        <w:t xml:space="preserve">Clergyman’s Magazine</w:t>
      </w:r>
      <w:r>
        <w:t xml:space="preserve"> </w:t>
      </w:r>
      <w:r>
        <w:t xml:space="preserve">for February 1887) to a careful discussion of the reading of Codex C. He spent three hours examining the passage in question in this MS (the MS itself) and adduces evidence that shows clearly, I believe, that the original reading of C is “God”. He examined the surrounding context and observes, “The</w:t>
      </w:r>
      <w:r>
        <w:t xml:space="preserve"> </w:t>
      </w:r>
      <w:r>
        <w:rPr>
          <w:b/>
          <w:bCs/>
        </w:rPr>
        <w:t xml:space="preserve">contracting-bar</w:t>
      </w:r>
      <w:r>
        <w:t xml:space="preserve"> </w:t>
      </w:r>
      <w:r>
        <w:t xml:space="preserve">has often vanished completely (I believe, from a cursory examination, more often than not), but at other times it is plain and imposed in the same way as at 1 Timothy iii.16” (Appendix J, p. 2). See also Burgon,</w:t>
      </w:r>
      <w:r>
        <w:t xml:space="preserve"> </w:t>
      </w:r>
      <w:r>
        <w:rPr>
          <w:i/>
          <w:iCs/>
        </w:rPr>
        <w:t xml:space="preserve">Ibid.</w:t>
      </w:r>
      <w:r>
        <w:t xml:space="preserve">, pp. 437-438.</w:t>
      </w:r>
    </w:p>
    <w:p>
      <w:pPr>
        <w:pStyle w:val="FootnoteText"/>
      </w:pPr>
      <w:r>
        <w:t xml:space="preserve">Codices F/G read</w:t>
      </w:r>
      <w:r>
        <w:t xml:space="preserve"> </w:t>
      </w:r>
      <w:r>
        <w:rPr>
          <w:i/>
          <w:iCs/>
        </w:rPr>
        <w:t xml:space="preserve">OC</w:t>
      </w:r>
      <w:r>
        <w:t xml:space="preserve"> </w:t>
      </w:r>
      <w:r>
        <w:t xml:space="preserve">wherein the contracting-bar is a slanting stroke. It has been argued that the stroke represents the aspirate of ος, but Burgon demonstrates that the stroke in question never represents breathing but is invariably the sign of contraction and affirms that “ος is nowhere else written OC [with a cross-bar] in either codex” (Ibid., p. 442. Cf. pp. 438-42). Presumably the cross-line in the common parent had become too faint to see. As for cursive 365, Burgon conducted an exhaustive search for it. He not only failed to find it but could find no evidence that it had ever existed (Ibid., pp. 444-45) [I have re- cently been informed that it was later rediscovered by Gregory].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image" Id="rId154" Target="media/rId154.jp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2026-05-31T06:41:24Z</dcterms:created>
  <dcterms:modified xsi:type="dcterms:W3CDTF">2026-05-31T06:41:24Z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