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Objawień 22,18-19.</w:t>
      </w:r>
    </w:p>
    <w:p>
      <w:pPr>
        <w:pStyle w:val="BodyText"/>
      </w:pPr>
      <w:r>
        <w:t xml:space="preserve">Considering Polycarp’s intimacy with John, his personal copy of Revelation would most probably have been taken from the Autograph. And considering Irenaeus’ veneration for Polycarp his personal copy of Revelation was probably taken from Polycarp’s. Although Irenaeus evidently was no longer able to refer to the Autograph (not ninety years after it was written!) he was clearly in a position to identify a faithful copy and to declare with certainty the original reading—this in 186 AD. Which brings us to Tertullian.</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2026-02-24T05:19:26Z</dcterms:created>
  <dcterms:modified xsi:type="dcterms:W3CDTF">2026-02-24T05:19:26Z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