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8"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r>
        <w:pict>
          <v:rect style="width:0;height:1.5pt" o:hralign="center" o:hrstd="t" o:hr="t"/>
        </w:pict>
      </w:r>
    </w:p>
    <w:p>
      <w:pPr>
        <w:pStyle w:val="FirstParagraph"/>
      </w:pPr>
      <w:r>
        <w:t xml:space="preserve">Of all the books, f35 has the most distinct profile in Acts, with far and away the most diagnostic variants.</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r>
        <w:pict>
          <v:rect style="width:0;height:1.5pt" o:hralign="center" o:hrstd="t" o:hr="t"/>
        </w:pict>
      </w:r>
    </w:p>
    <w:p>
      <w:pPr>
        <w:pStyle w:val="FirstParagraph"/>
      </w:pPr>
      <w:r>
        <w:t xml:space="preserve">None for 2 Thessalonians. (f35 is always accompanied by at least 40% of the Byzantine bulk.)</w:t>
      </w:r>
    </w:p>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7"/>
    <w:bookmarkEnd w:id="2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2026-08-21T16:45:19Z</dcterms:created>
  <dcterms:modified xsi:type="dcterms:W3CDTF">2026-08-21T16:45:19Z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