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kopii. Dzisiaj pierwszy nakład książki wynosi zazwyczaj tysiące egzemplarzy, ale w tamtych czasach każda kopia musiała być napisana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6"/>
      </w:r>
      <w:r>
        <w:t xml:space="preserve"> </w:t>
      </w:r>
      <w:r>
        <w:t xml:space="preserve">Jednakże papirus nie wytrzymuje częstego używania, a do roku 38 było wiele zgromadzeń chrześcijańskich na samym na terytorium żydowskim, nie wspominając o innych miejscach. Jeśli Duch Święty zamierzał, aby pisma Nowego Testamentu miały szeroki obieg, co wydaje się oczywiste, konieczne byłoby zacząć od wielu kopii.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jest dostępna w języku angielskim, chińskim, filipińskim, portugalskim i hiszpańskim.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6">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2025-10-14T19:43:03Z</dcterms:created>
  <dcterms:modified xsi:type="dcterms:W3CDTF">2025-10-14T19:43:03Z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