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zostało opisane — rzeczy wydarzyły się właśnie w ten sposób. Powinno być oczywiste, że opisy grzechu, kłamstwa, przestępstwa czy wynaturzenia nie są normatywne, choć służą jako negatywne przykłady i ostrzeżenie. Księga Rodzaju 3:4 rejestruje kłamstwo: „Wtedy rzekł wąż do kobiety: Na pewno nie umrzecie”. Oczywiście natchnienie nie zgadza się z kłamstwem, lecz jedynie gwarantuje, że wąż rzeczywiście tak powiedział. Informacje historyczne, czyli zapis, mogą zawierać normatywną orientację. Zawsze należy bardzo uważnie zwracać uwagę na kontekst, który słusznie można nazwać „królem interpretacji”.</w:t>
      </w:r>
    </w:p>
    <w:p>
      <w:pPr>
        <w:pStyle w:val="FirstParagraph"/>
      </w:pPr>
      <w:r>
        <w:t xml:space="preserve">Historical information is somewhat different; inspiration guarantees the veracity of what is described — things happened in just that way. It should be obvious that descriptions of sin, lying, crime, or perversity are not normative, although they serve as negative examples to warn us. Genesis 3:4 registers a lie,</w:t>
      </w:r>
      <w:r>
        <w:t xml:space="preserve"> </w:t>
      </w:r>
      <w:r>
        <w:t xml:space="preserve">“</w:t>
      </w:r>
      <w:r>
        <w:t xml:space="preserve">Then the serpent said to the woman: You will not surely die</w:t>
      </w:r>
      <w:r>
        <w:t xml:space="preserve">”</w:t>
      </w:r>
      <w:r>
        <w:t xml:space="preserve">. Obviously inspiration is not agreeing with the lie, it merely guarantees that the serpent said precisely that. Historical information, or record, may include normative orientation. It is always necessary to pay close attention to the context, that may appropriately be called the</w:t>
      </w:r>
      <w:r>
        <w:t xml:space="preserve"> </w:t>
      </w:r>
      <w:r>
        <w:t xml:space="preserve">‘</w:t>
      </w:r>
      <w:r>
        <w:t xml:space="preserve">king of interpretation</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2025-08-22T05:49:07Z</dcterms:created>
  <dcterms:modified xsi:type="dcterms:W3CDTF">2025-08-22T05:49:07Z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