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ujawnione,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Twierdzę, że powyższe odniesienia można rozsądnie rozumieć jako stanowiące deklarację, że Suwerenny Stwórca zamierza, aby Jego pisemne Objawienie było dostępne dla wszystkich pokoleń aż do końca świata – Jego troska rozciąga się na poszczególne słowa, a nawet litery (Mt 5,18)! Ponieważ jednak nie podał On żadnych wskazówek, w jaki sposób zamierza to osiągnąć, musimy wywnioskować odpowiedź, analizując to, co uczynił. Zacznę od Nowego Testamentu. Przechodzę do przedstawienia dowodów.</w:t>
      </w:r>
    </w:p>
    <w:p>
      <w:pPr>
        <w:pStyle w:val="Heading3"/>
      </w:pPr>
      <w:bookmarkStart w:id="84" w:name="autografy"/>
      <w:r>
        <w:t xml:space="preserve">Autografy</w:t>
      </w:r>
      <w:bookmarkEnd w:id="84"/>
    </w:p>
    <w:p>
      <w:pPr>
        <w:pStyle w:val="FirstParagraph"/>
      </w:pPr>
      <w:r>
        <w:t xml:space="preserve">Kiedy mówię o boskim zachowaniu Tekstu Nowego Testamentu, odnoszę się do jego dokładnej treści w oryginalnych dokumentach, Autografach. Kiedy mówię o zachowaniu, zakładam boskie natchnienie, są one logicznie współzależne. Po co Bóg miałby natchnąć pisemne objawienie, gdyby nie zamierzał go zachować? Po co Bóg miałby zachowywać pisma, których nie natchnął? Uważam, że zachowanie Tekstu Nowego Testamentu jest być może najsilniejszym argumentem przemawiającym za jego natchnionym charakterem. To samo dotyczy precyzyjnego doboru ksiąg, które składają się na Kanon Nowego Testamentu. Ponieważ uważam, że Ewangelia Mateusza była pierwszą księgą Nowego Testamentu, która została udostępniona publicznie („opublikowana”), zacznę od niej.</w:t>
      </w:r>
    </w:p>
    <w:p>
      <w:pPr>
        <w:pStyle w:val="BodyText"/>
      </w:pPr>
      <w:r>
        <w:t xml:space="preserve">Kiedy Mateusz „opublikował” swoją Ewangelię w 38 roku n.e.</w:t>
      </w:r>
      <w:r>
        <w:rPr>
          <w:rStyle w:val="FootnoteReference"/>
        </w:rPr>
        <w:footnoteReference w:id="85"/>
      </w:r>
      <w:r>
        <w:t xml:space="preserve">, produkcja książek w Imperium Rzymskim była powszechna, ale nie istniało coś takiego jak „prawa autorskie”. Gdy tylko książka trafiała do obiegu, stawała się „domeną publiczną” i każdy mógł z niej korzystać oraz wprowadzać w niej zmiany. Jeśli więc Duch Święty chciał chronić dzieła, które natchnął, przed swobodną edycją, co mógł zrobić? Sugeruję, że najbardziej oczywistym sposobem byłoby „opublikowanie” tych dzieł w formie wielu kopii. Dzisiaj pierwszy nakład książki wynosi zazwyczaj tysiące egzemplarzy, ale w tamtych czasach każda kopia musiała być napisana ręcznie (rękopis).</w:t>
      </w:r>
    </w:p>
    <w:p>
      <w:pPr>
        <w:pStyle w:val="BodyText"/>
      </w:pPr>
      <w:r>
        <w:t xml:space="preserve">A book the size of Matthew’s Gospel would represent a considerable investment of time and effort, as well as papyrus and ink. I believe the NT writings were prepared in book form from the first (not scroll), and the material used was probably papyrus.XXX However, papyrus cannot stand a lot of handling, and by the year 38 there were many Christian congregations just in the Jewish territory, not to mention elsewhere. If the Holy Spirit intended that the NT writings should have a wide circulation, which would seem to be obvious, it would be necessary to start out with multiple copies.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 w:id="85">
    <w:p>
      <w:pPr>
        <w:pStyle w:val="FootnoteText"/>
      </w:pPr>
      <w:r>
        <w:rPr>
          <w:rStyle w:val="FootnoteReference"/>
        </w:rPr>
        <w:footnoteRef/>
      </w:r>
      <w:r>
        <w:t xml:space="preserve"> </w:t>
      </w:r>
      <w:r>
        <w:t xml:space="preserve">Kolofony [kolofon (stgr. κολοφών kolophōn „szczyt, wierzchołek; zwieńczenie pracy”) – formuła umieszczona na końcu średniowiecznej książki rękopiśmiennej, zawierająca tytuł dzieła, datację, imię pisarza itp. https://pl.wikipedia.org/wiki/Kolofon przyp. tłum.] w 50% rękopisów, włącznie z</w:t>
      </w:r>
      <w:r>
        <w:t xml:space="preserve"> </w:t>
      </w:r>
      <w:r>
        <w:t xml:space="preserve">“</w:t>
      </w:r>
      <w:r>
        <w:t xml:space="preserve">Rodziną 35</w:t>
      </w:r>
      <w:r>
        <w:t xml:space="preserve">”</w:t>
      </w:r>
      <w:r>
        <w:t xml:space="preserve"> </w:t>
      </w:r>
      <w:r>
        <w:t xml:space="preserve">[Nowy Testament Rodzina 35 (ang. Family 35 NT) – wersja Nowego Testamentu, która została przetłumaczona przez Wilbura N. Pickeringa, według którego angielskie wydanie tej Biblii zawiera dokładnie oryginalne sformułowania. Pickering porównał setki znanych greckich rękopisów NT, aby określić jedyną linię transmisji, która ma wykazalny archetyp dla każdej księgi NT. Wersja ta jest dostępna w języku angielskim, chińskim, filipińskim, portugalskim i hiszpańskim. https://www.family35nt.org przyp. tłum.], podają, że Ewangelia Mateusza została „opublikowana” osiem lat po wniebowstąpieniu Chrystusa. Ponieważ Jezus wstąpił do nieba w 30 r. n.e., Ewangelia Mateusza została wydana w 38 r. Kolofony podają, że Ewangelia Marka została opublikowana dwa lata później (40 r.), a Ewangelia Łukasza kolejne pięć lat później (45 r.), a Ewangelia Jana w 62 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2025-10-13T18:06:55Z</dcterms:created>
  <dcterms:modified xsi:type="dcterms:W3CDTF">2025-10-13T18:06:55Z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