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objawione,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In Matthew 4,4 Sovereign Jesus rebuts Satan, quoting Deuteronomy 8,3.</w:t>
      </w:r>
      <w:r>
        <w:t xml:space="preserve"> </w:t>
      </w:r>
      <w:r>
        <w:t xml:space="preserve">“</w:t>
      </w:r>
      <w:r>
        <w:t xml:space="preserve">It is written:</w:t>
      </w:r>
      <w:r>
        <w:t xml:space="preserve"> </w:t>
      </w:r>
      <w:r>
        <w:t xml:space="preserve">‘</w:t>
      </w:r>
      <w:r>
        <w:t xml:space="preserve">Man shall not live by bread alone, but by every word coming out of God’s mouth</w:t>
      </w:r>
      <w:r>
        <w:t xml:space="preserve">’</w:t>
      </w:r>
      <w:r>
        <w:t xml:space="preserve">.</w:t>
      </w:r>
      <w:r>
        <w:t xml:space="preserve">”</w:t>
      </w:r>
      <w:r>
        <w:t xml:space="preserve"> </w:t>
      </w:r>
      <w:r>
        <w:t xml:space="preserve">If we are to live by</w:t>
      </w:r>
      <w:r>
        <w:t xml:space="preserve"> </w:t>
      </w:r>
      <w:r>
        <w:t xml:space="preserve">‘</w:t>
      </w:r>
      <w:r>
        <w:t xml:space="preserve">every word</w:t>
      </w:r>
      <w:r>
        <w:t xml:space="preserve">’</w:t>
      </w:r>
      <w:r>
        <w:t xml:space="preserve">, then every word must be kept available.1 Notice also Deuteronomy 29,29,</w:t>
      </w:r>
      <w:r>
        <w:t xml:space="preserve"> </w:t>
      </w:r>
      <w:r>
        <w:t xml:space="preserve">“</w:t>
      </w:r>
      <w:r>
        <w:t xml:space="preserve">the secret things belong to the LORD our God, but those which are revealed belong to us and to our children forever, that we may do all the words of this law</w:t>
      </w:r>
      <w:r>
        <w:t xml:space="preserve">”</w:t>
      </w:r>
      <w:r>
        <w:t xml:space="preserve">.</w:t>
      </w:r>
      <w:r>
        <w:t xml:space="preserve"> </w:t>
      </w:r>
      <w:r>
        <w:t xml:space="preserve">“</w:t>
      </w:r>
      <w:r>
        <w:t xml:space="preserve">All the words</w:t>
      </w:r>
      <w:r>
        <w:t xml:space="preserve">”</w:t>
      </w:r>
      <w:r>
        <w:t xml:space="preserve"> </w:t>
      </w:r>
      <w:r>
        <w:t xml:space="preserve">includes each individual word that contributes to the whole, and for the three hundredth generation to obey them all, they all must still be available. Consider also Isaiah 59,21—</w:t>
      </w:r>
      <w:r>
        <w:t xml:space="preserve">“</w:t>
      </w:r>
      <w:r>
        <w:t xml:space="preserve">As for Me</w:t>
      </w:r>
      <w:r>
        <w:t xml:space="preserve">”</w:t>
      </w:r>
      <w:r>
        <w:t xml:space="preserve">, says the LORD,</w:t>
      </w:r>
      <w:r>
        <w:t xml:space="preserve"> </w:t>
      </w:r>
      <w:r>
        <w:t xml:space="preserve">“</w:t>
      </w:r>
      <w:r>
        <w:t xml:space="preserve">this is My covenant with them: My Spirit who is upon you, and My words which I have put in your mouths, shall not depart from your mouth, nor from the mouth of your descendants, nor from the mouth of your descendants’ descendants</w:t>
      </w:r>
      <w:r>
        <w:t xml:space="preserve">”</w:t>
      </w:r>
      <w:r>
        <w:t xml:space="preserve">, says the LORD,</w:t>
      </w:r>
      <w:r>
        <w:t xml:space="preserve"> </w:t>
      </w:r>
      <w:r>
        <w:t xml:space="preserve">“</w:t>
      </w:r>
      <w:r>
        <w:t xml:space="preserve">from this time and forevermore</w:t>
      </w:r>
      <w:r>
        <w:t xml:space="preserve">”</w:t>
      </w:r>
      <w:r>
        <w:t xml:space="preserve">.</w:t>
      </w:r>
      <w:r>
        <w:t xml:space="preserve"> </w:t>
      </w:r>
      <w:r>
        <w:t xml:space="preserve">“</w:t>
      </w:r>
      <w:r>
        <w:t xml:space="preserve">My words</w:t>
      </w:r>
      <w:r>
        <w:t xml:space="preserve">”</w:t>
      </w:r>
      <w:r>
        <w:t xml:space="preserve"> </w:t>
      </w:r>
      <w:r>
        <w:t xml:space="preserve">includes each individual word that contributes to the whole, and they are to be available</w:t>
      </w:r>
      <w:r>
        <w:t xml:space="preserve"> </w:t>
      </w:r>
      <w:r>
        <w:t xml:space="preserve">“</w:t>
      </w:r>
      <w:r>
        <w:t xml:space="preserve">from this time and forevermore</w:t>
      </w:r>
      <w:r>
        <w:t xml:space="preserve">”</w:t>
      </w:r>
      <w:r>
        <w:t xml:space="preserve">, which includes all intervening generations. Revelation 22,18-19 also emphasizes the individual words.</w:t>
      </w:r>
    </w:p>
    <w:p>
      <w:pPr>
        <w:pStyle w:val="BodyText"/>
      </w:pPr>
      <w:r>
        <w:t xml:space="preserve">I submit that the references presented above may reasonably be understood to constitute a declaration that the Sovereign Creator intends that His written Revelation be available to all generations until the end of the world—His concern extends to the individual words, and even the letters (Matthew 5:18)! However, since He gave no indication as to just how He proposed to do it, we must deduce the answer by analyzing what He did. I will begin with the New Testament. I proceed to marshal the evidences.</w:t>
      </w:r>
    </w:p>
    <w:p>
      <w:pPr>
        <w:pStyle w:val="Heading3"/>
      </w:pPr>
      <w:bookmarkStart w:id="84" w:name="autografy"/>
      <w:r>
        <w:t xml:space="preserve">Autografy</w:t>
      </w:r>
      <w:bookmarkEnd w:id="8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2025-10-08T18:03:07Z</dcterms:created>
  <dcterms:modified xsi:type="dcterms:W3CDTF">2025-10-08T18:03:07Z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