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jpg" ContentType="image/jpeg"/>
  <Override PartName="/word/media/rId55.jpg" ContentType="image/jpe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od-tłumacza"/>
    <w:p>
      <w:pPr>
        <w:pStyle w:val="Heading1"/>
      </w:pPr>
      <w:r>
        <w:t xml:space="preserve">Od tłumacza</w:t>
      </w:r>
    </w:p>
    <w:p>
      <w:pPr>
        <w:pStyle w:val="FirstParagraph"/>
      </w:pPr>
      <w:r>
        <w:t xml:space="preserve">Tłumaczenie czwartej edycji książki</w:t>
      </w:r>
      <w:r>
        <w:t xml:space="preserve"> </w:t>
      </w:r>
      <w:hyperlink r:id="rId20">
        <w:r>
          <w:rPr>
            <w:rStyle w:val="Hyperlink"/>
            <w:iCs/>
            <w:i/>
          </w:rPr>
          <w:t xml:space="preserve">GOD HAS PRESERVED HIS TEXT! The Divine Preservation of the New Testament</w:t>
        </w:r>
      </w:hyperlink>
      <w:r>
        <w:br/>
      </w:r>
      <w:r>
        <w:t xml:space="preserve">ISBN: 978-0-9974686-9-4</w:t>
      </w:r>
      <w:r>
        <w:br/>
      </w:r>
      <w:r>
        <w:rPr>
          <w:iCs/>
          <w:i/>
        </w:rPr>
        <w:t xml:space="preserve">Wilbur N. Pickering</w:t>
      </w:r>
    </w:p>
    <w:p>
      <w:pPr>
        <w:pStyle w:val="BodyText"/>
      </w:pPr>
      <w:r>
        <w:t xml:space="preserve">Tłumaczenie wykonał Tomasz Skraskowski dla</w:t>
      </w:r>
      <w:r>
        <w:t xml:space="preserve"> </w:t>
      </w:r>
      <w:hyperlink r:id="rId21">
        <w:r>
          <w:rPr>
            <w:rStyle w:val="Hyperlink"/>
          </w:rPr>
          <w:t xml:space="preserve">Wydawnictwa Świadome Chrześcijaństwo</w:t>
        </w:r>
      </w:hyperlink>
      <w:r>
        <w:t xml:space="preserve">. Zdjęcia dodane przez tłumacza zazaczone są adnotacją</w:t>
      </w:r>
      <w:r>
        <w:t xml:space="preserve"> </w:t>
      </w:r>
      <w:r>
        <w:rPr>
          <w:iCs/>
          <w:i/>
        </w:rPr>
        <w:t xml:space="preserve">[zdj. tłum.]</w:t>
      </w:r>
      <w:r>
        <w:t xml:space="preserve">, przypisy dodane przez tłumacza zaznaczone są adnotacją</w:t>
      </w:r>
      <w:r>
        <w:t xml:space="preserve"> </w:t>
      </w:r>
      <w:r>
        <w:rPr>
          <w:iCs/>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2">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3">
        <w:r>
          <w:rPr>
            <w:rStyle w:val="Hyperlink"/>
          </w:rPr>
          <w:t xml:space="preserve">EPUB</w:t>
        </w:r>
      </w:hyperlink>
    </w:p>
    <w:p>
      <w:pPr>
        <w:numPr>
          <w:ilvl w:val="0"/>
          <w:numId w:val="1001"/>
        </w:numPr>
        <w:pStyle w:val="Compact"/>
      </w:pPr>
      <w:hyperlink r:id="rId24">
        <w:r>
          <w:rPr>
            <w:rStyle w:val="Hyperlink"/>
          </w:rPr>
          <w:t xml:space="preserve">PDF</w:t>
        </w:r>
      </w:hyperlink>
    </w:p>
    <w:p>
      <w:pPr>
        <w:numPr>
          <w:ilvl w:val="0"/>
          <w:numId w:val="1001"/>
        </w:numPr>
        <w:pStyle w:val="Compact"/>
      </w:pPr>
      <w:hyperlink r:id="rId25">
        <w:r>
          <w:rPr>
            <w:rStyle w:val="Hyperlink"/>
          </w:rPr>
          <w:t xml:space="preserve">DOCX</w:t>
        </w:r>
      </w:hyperlink>
    </w:p>
    <w:p>
      <w:pPr>
        <w:pStyle w:val="FirstParagraph"/>
      </w:pPr>
      <w:r>
        <w:rPr>
          <w:iCs/>
          <w:i/>
        </w:rPr>
        <w:t xml:space="preserve">© 2021 Wilbur N. Pickering</w:t>
      </w:r>
      <w:r>
        <w:br/>
      </w:r>
      <w:r>
        <w:t xml:space="preserve">Oryginał dostępny na http://thechristiancommons.com.</w:t>
      </w:r>
    </w:p>
    <w:p>
      <w:pPr>
        <w:pStyle w:val="BodyText"/>
      </w:pPr>
      <w:r>
        <w:t xml:space="preserve">Udostępniono na licencji:</w:t>
      </w:r>
      <w:r>
        <w:br/>
      </w:r>
      <w:r>
        <w:rPr>
          <w:iCs/>
          <w:i/>
        </w:rPr>
        <w:t xml:space="preserve">Uznanie autorstwa - Na tych samych warunkach 4.0 Międzynarodowa</w:t>
      </w:r>
      <w:r>
        <w:br/>
      </w:r>
      <w:r>
        <w:t xml:space="preserve">CC BY-SA 4.0 -</w:t>
      </w:r>
      <w:r>
        <w:t xml:space="preserve"> </w:t>
      </w:r>
      <w:hyperlink r:id="rId26">
        <w:r>
          <w:rPr>
            <w:rStyle w:val="Hyperlink"/>
          </w:rPr>
          <w:t xml:space="preserve">creativecommons.org/licenses/by-sa/4.0</w:t>
        </w:r>
      </w:hyperlink>
    </w:p>
    <w:p>
      <w:pPr>
        <w:pStyle w:val="BodyText"/>
      </w:pPr>
      <w:r>
        <w:t xml:space="preserve">Licencja zezwala na:</w:t>
      </w:r>
    </w:p>
    <w:p>
      <w:pPr>
        <w:numPr>
          <w:ilvl w:val="0"/>
          <w:numId w:val="1002"/>
        </w:numPr>
        <w:pStyle w:val="Compact"/>
      </w:pPr>
      <w:r>
        <w:rPr>
          <w:bCs/>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Cs/>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Cs/>
          <w:b/>
        </w:rPr>
        <w:t xml:space="preserve">Uznanie autorstwa</w:t>
      </w:r>
      <w:r>
        <w:t xml:space="preserve"> </w:t>
      </w:r>
      <w:r>
        <w:t xml:space="preserve">— Utwór należy oznaczyć słowami</w:t>
      </w:r>
      <w:r>
        <w:t xml:space="preserve"> </w:t>
      </w:r>
      <w:r>
        <w:t xml:space="preserve">“</w:t>
      </w:r>
      <w:r>
        <w:rPr>
          <w:iCs/>
          <w:i/>
        </w:rPr>
        <w:t xml:space="preserve">Oryginał dostępny na http://thechristiancommons.com.</w:t>
      </w:r>
      <w:r>
        <w:t xml:space="preserve">”</w:t>
      </w:r>
      <w:r>
        <w:t xml:space="preserve">, podać link do licencji i</w:t>
      </w:r>
      <w:r>
        <w:t xml:space="preserve"> </w:t>
      </w:r>
      <w:hyperlink r:id="rId27">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Cs/>
          <w:b/>
        </w:rPr>
        <w:t xml:space="preserve">Na tych samych warunkach</w:t>
      </w:r>
      <w:r>
        <w:t xml:space="preserve"> </w:t>
      </w:r>
      <w:r>
        <w:t xml:space="preserve">— Remiksując utwór, przetwarzając go lub tworząc na jego podstawie, należy swoje dzieło rozpowszechniać na</w:t>
      </w:r>
      <w:r>
        <w:t xml:space="preserve"> </w:t>
      </w:r>
      <w:hyperlink r:id="rId28">
        <w:r>
          <w:rPr>
            <w:rStyle w:val="Hyperlink"/>
          </w:rPr>
          <w:t xml:space="preserve">tej samej licencji</w:t>
        </w:r>
      </w:hyperlink>
      <w:r>
        <w:t xml:space="preserve">, co oryginał.</w:t>
      </w:r>
    </w:p>
    <w:p>
      <w:pPr>
        <w:numPr>
          <w:ilvl w:val="0"/>
          <w:numId w:val="1003"/>
        </w:numPr>
        <w:pStyle w:val="Compact"/>
      </w:pPr>
      <w:r>
        <w:rPr>
          <w:bCs/>
          <w:b/>
        </w:rPr>
        <w:t xml:space="preserve">Brak dodatkowych ograniczeń</w:t>
      </w:r>
      <w:r>
        <w:t xml:space="preserve"> </w:t>
      </w:r>
      <w:r>
        <w:t xml:space="preserve">— Nie możesz korzystać ze środków prawnych lub technologicznych, które ograniczają innych w korzystaniu z utworu na warunkach określonych w licencji.</w:t>
      </w:r>
    </w:p>
    <w:bookmarkStart w:id="29" w:name="wydawnictwo-świadome-chrześcijaństwo"/>
    <w:p>
      <w:pPr>
        <w:pStyle w:val="Heading2"/>
      </w:pPr>
      <w:r>
        <w:t xml:space="preserve">Wydawnictwo Świadome Chrześcijaństwo</w:t>
      </w:r>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Cs/>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1">
        <w:r>
          <w:rPr>
            <w:rStyle w:val="Hyperlink"/>
          </w:rPr>
          <w:t xml:space="preserve">wswch.pl</w:t>
        </w:r>
      </w:hyperlink>
      <w:r>
        <w:t xml:space="preserve">.</w:t>
      </w:r>
    </w:p>
    <w:bookmarkEnd w:id="29"/>
    <w:bookmarkEnd w:id="30"/>
    <w:bookmarkStart w:id="34" w:name="przedmowa"/>
    <w:p>
      <w:pPr>
        <w:pStyle w:val="Heading1"/>
      </w:pPr>
      <w:r>
        <w:t xml:space="preserve">Przedmowa</w:t>
      </w:r>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1"/>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2"/>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3"/>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Cs/>
          <w:i/>
        </w:rPr>
        <w:t xml:space="preserve">The Sovereign Creator Has Spoken: Objective Authority for Living, Second Edition</w:t>
      </w:r>
      <w:r>
        <w:t xml:space="preserve">, dostępne na jego stronie www.prunch.org oraz na Amazon.com.</w:t>
      </w:r>
    </w:p>
    <w:bookmarkEnd w:id="34"/>
    <w:bookmarkStart w:id="36" w:name="podziękowania"/>
    <w:p>
      <w:pPr>
        <w:pStyle w:val="Heading1"/>
      </w:pPr>
      <w:r>
        <w:t xml:space="preserve">Podziękowania</w:t>
      </w:r>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5"/>
      </w:r>
      <w:r>
        <w:t xml:space="preserve">.</w:t>
      </w:r>
    </w:p>
    <w:bookmarkEnd w:id="36"/>
    <w:bookmarkStart w:id="96" w:name="część-i-dowody-historyczne"/>
    <w:p>
      <w:pPr>
        <w:pStyle w:val="Heading1"/>
      </w:pPr>
      <w:r>
        <w:t xml:space="preserve">CZĘŚĆ I: Dowody historyczne</w:t>
      </w:r>
    </w:p>
    <w:bookmarkStart w:id="64" w:name="preambuła"/>
    <w:p>
      <w:pPr>
        <w:pStyle w:val="Heading2"/>
      </w:pPr>
      <w:r>
        <w:t xml:space="preserve">Preambuła</w:t>
      </w:r>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7"/>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38"/>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39"/>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0"/>
      </w:r>
      <w:r>
        <w:t xml:space="preserve"> </w:t>
      </w:r>
      <w:r>
        <w:t xml:space="preserve">– to po prostu głupie, absurdalnie niemożliwe! W USA jest wysokie plateau (mesa)</w:t>
      </w:r>
      <w:r>
        <w:rPr>
          <w:rStyle w:val="FootnoteReference"/>
        </w:rPr>
        <w:footnoteReference w:id="41"/>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2"/>
      </w:r>
      <w:r>
        <w:t xml:space="preserve">.</w:t>
      </w:r>
    </w:p>
    <w:p>
      <w:pPr>
        <w:pStyle w:val="BodyText"/>
      </w:pPr>
      <w:r>
        <w:drawing>
          <wp:inline>
            <wp:extent cx="5334000" cy="4000500"/>
            <wp:effectExtent b="0" l="0" r="0" t="0"/>
            <wp:docPr descr="Góra Chief Mountain" title="" id="44" name="Picture"/>
            <a:graphic>
              <a:graphicData uri="http://schemas.openxmlformats.org/drawingml/2006/picture">
                <pic:pic>
                  <pic:nvPicPr>
                    <pic:cNvPr descr="images/Chief_Mountain.jp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Cs/>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Cs/>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Cs/>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Cs/>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52" name="Picture"/>
            <a:graphic>
              <a:graphicData uri="http://schemas.openxmlformats.org/drawingml/2006/picture">
                <pic:pic>
                  <pic:nvPicPr>
                    <pic:cNvPr descr="images/Paluxy_River_Taylor_Site,_Glen_Rose,_Texas._Two_elongate_footprints.png" id="53"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4">
        <w:r>
          <w:rPr>
            <w:rStyle w:val="Hyperlink"/>
          </w:rPr>
          <w:t xml:space="preserve">core.ac.uk/download/pdf/47225227.pdf</w:t>
        </w:r>
      </w:hyperlink>
    </w:p>
    <w:p>
      <w:pPr>
        <w:pStyle w:val="BodyText"/>
      </w:pPr>
      <w:r>
        <w:drawing>
          <wp:inline>
            <wp:extent cx="5334000" cy="4000500"/>
            <wp:effectExtent b="0" l="0" r="0" t="0"/>
            <wp:docPr descr="Creation Evidences Museum" title="" id="56" name="Picture"/>
            <a:graphic>
              <a:graphicData uri="http://schemas.openxmlformats.org/drawingml/2006/picture">
                <pic:pic>
                  <pic:nvPicPr>
                    <pic:cNvPr descr="images/Creation_Evidence_Museum_Original.jpeg" id="57" name="Picture"/>
                    <pic:cNvPicPr>
                      <a:picLocks noChangeArrowheads="1" noChangeAspect="1"/>
                    </pic:cNvPicPr>
                  </pic:nvPicPr>
                  <pic:blipFill>
                    <a:blip r:embed="rId5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8">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9"/>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60"/>
      </w:r>
      <w:r>
        <w:t xml:space="preserve">. Ewolucjoniści twierdzą, że granit krystalizował się przez 300 milionów lat, ale w granicie występują „pierścienie polonowe” (ang. Polonium haloes)</w:t>
      </w:r>
      <w:r>
        <w:rPr>
          <w:rStyle w:val="FootnoteReference"/>
        </w:rPr>
        <w:footnoteReference w:id="61"/>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62"/>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63"/>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bookmarkEnd w:id="64"/>
    <w:bookmarkStart w:id="86" w:name="wprowadzenie"/>
    <w:p>
      <w:pPr>
        <w:pStyle w:val="Heading2"/>
      </w:pPr>
      <w:r>
        <w:t xml:space="preserve">Wprowadzenie</w:t>
      </w:r>
    </w:p>
    <w:bookmarkStart w:id="80" w:name="natchnienie"/>
    <w:p>
      <w:pPr>
        <w:pStyle w:val="Heading3"/>
      </w:pPr>
      <w:r>
        <w:t xml:space="preserve">Natchnienie</w:t>
      </w:r>
    </w:p>
    <w:p>
      <w:pPr>
        <w:pStyle w:val="FirstParagraph"/>
      </w:pPr>
      <w:r>
        <w:t xml:space="preserve">Gdy piszę książkę</w:t>
      </w:r>
      <w:r>
        <w:rPr>
          <w:rStyle w:val="FootnoteReference"/>
        </w:rPr>
        <w:footnoteReference w:id="65"/>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Cs/>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Cs/>
          <w:b/>
        </w:rPr>
        <w:t xml:space="preserve">tylko wieczny Byt mógł wydać wieczne Słowo</w:t>
      </w:r>
      <w:r>
        <w:rPr>
          <w:rStyle w:val="FootnoteReference"/>
        </w:rPr>
        <w:footnoteReference w:id="66"/>
      </w:r>
      <w:r>
        <w:t xml:space="preserve">.</w:t>
      </w:r>
    </w:p>
    <w:p>
      <w:pPr>
        <w:pStyle w:val="BodyText"/>
      </w:pPr>
      <w:r>
        <w:t xml:space="preserve">Mateusza 5,18: „Zaprawdę bowiem powiadam wam, dopóki nie przeminie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7"/>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8"/>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9"/>
      </w:r>
    </w:p>
    <w:p>
      <w:pPr>
        <w:pStyle w:val="BodyText"/>
      </w:pPr>
      <w:r>
        <w:rPr>
          <w:iCs/>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70"/>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71"/>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72"/>
      </w:r>
      <w:r>
        <w:t xml:space="preserve"> </w:t>
      </w:r>
      <w:r>
        <w:t xml:space="preserve">Ewangelii Chrystusa</w:t>
      </w:r>
      <w:r>
        <w:rPr>
          <w:rStyle w:val="FootnoteReference"/>
        </w:rPr>
        <w:footnoteReference w:id="73"/>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4"/>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Jednakże, możemy dostrzec tę wrodzoną cechę, porównując materiały natchnione z materiałami, które nie są natchnione. Rozważ naturę treści Biblii, lub przesłanie: nie jest to tego rodzaju rzecz, jaką człowiek chciałaby napisać, nawet gdyby mógł, ani coś, co mógłby napisać, nawet gdyby chciał. A następnie jest jedność Biblii: chociaż 66 ksiąg zostało napisanych przez co najmniej trzydziestu różnych ludzkich autorów, na przestrzeni około 2000 lat, i w dwóch bardzo różnych językach (hebrajskim i greckim)</w:t>
      </w:r>
      <w:r>
        <w:rPr>
          <w:rStyle w:val="FootnoteReference"/>
        </w:rPr>
        <w:footnoteReference w:id="75"/>
      </w:r>
      <w:r>
        <w:t xml:space="preserve">, całość jest spójna, nie przeczy sama sobie. Istnieją też konkretne i szczegółowe proroctwa, nawet włączające imię osoby, podane wieki przed faktem, które zostały dokładnie spełnione.</w:t>
      </w:r>
    </w:p>
    <w:p>
      <w:pPr>
        <w:pStyle w:val="BodyText"/>
      </w:pPr>
      <w:r>
        <w:t xml:space="preserve">Dla tych, którzy wierzą, że Jezus Chrystus jest Bogiem, Jego postawa względem Starego Testamentu będzie istotna. Przypisywał On Staremu Testamentowi absolutny autorytet, w Janie 5,45-47 postawił On pisma Mojżesza na równi z Jego własnym słowem, które ogłosił jako mające ważność na wieki (Łukasz 21,33). Jak podano w czterech Ewangeliach, cytował On przynajmniej Księgę Rodzaju, Wyjścia, Liczb, Powtórzonego Prawa, Psalmy, Izajasza, Jeremiasza, Daniela, Ozeasza, Jonasza, Zachariasza oraz Malachiasza. W Ewangelii Łukasza 24,44 jasno uznał trzy części kanonu hebrajskiego: Prawo, Proroków i Pisma (Psalmy). Następnie jest Mateusza 23,35: „Aby przyszła na was wszelka krew sprawiedliwa, przelana na ziemi, od krwi sprawiedliwego Abla aż do krwi Zachariasza, syna Barachiasza, którego zamordowaliście między świątynią a ołtarzem”. Jezus kończy tutaj swoje potępienie uczonych w Piśmie i faryzeuszy. Morderstwo Abla to pierwsze morderstwo odnotowane w Biblii (Rodzaju 4,8). Zwróć, proszę uwagę, że Jezus potwierdza historyczność Abla, a ponieważ Abel miał rodziców, siłą rzeczy Jezus potwierdza też historyczność rodziców Abla, Adama i Ewy! Zachariasz był współczesnym Ezdrasza i Aggeusza w czasie budowy drugiej świątyni. Tak więc „wszelka krew sprawiedliwa, przelana” między tymi dwoma mężczyznami obejmuje cały Stary Testament, około 3 500 lat!</w:t>
      </w:r>
    </w:p>
    <w:p>
      <w:pPr>
        <w:pStyle w:val="BodyText"/>
      </w:pPr>
      <w:r>
        <w:t xml:space="preserve">Powiedziawszy wszystko powyższe, mimo wszystko uznaję, iż stwierdzenie Bożego natchnienia Biblii jest wyznaniem wiary — inteligentnej wiary, opartej na dowodach, ale wciąż wiary, ponieważ dowody nie są absolutne</w:t>
      </w:r>
      <w:r>
        <w:rPr>
          <w:rStyle w:val="FootnoteReference"/>
        </w:rPr>
        <w:footnoteReference w:id="76"/>
      </w:r>
      <w:r>
        <w:t xml:space="preserve">, i nie są absolutne z bardzo ważnego powodu. Suwerenny Stwórca celowo nie pozwala, by dowody były absolutne, ponieważ wtedy nie byłoby prawdziwej próby. Stwórca wymaga, aby ludzie wybierali między dobrem a złem, a wybór ten nie może być wymuszony. Tej ostatniej nocy, w górnej sali, Suwerenny Jezus odniósł się do Ducha Świętego jako „Ducha Prawdy” i oświadczył, że „On was poprowadzi we wszelką prawdę” (Jana 16,13). Jest to prerogatywa Ducha Świętego, aby uświadamiać i przekonywać.</w:t>
      </w:r>
    </w:p>
    <w:p>
      <w:pPr>
        <w:pStyle w:val="BodyText"/>
      </w:pPr>
      <w:r>
        <w:rPr>
          <w:iCs/>
          <w:i/>
        </w:rPr>
        <w:t xml:space="preserve">Natura Tekstu</w:t>
      </w:r>
    </w:p>
    <w:p>
      <w:pPr>
        <w:pStyle w:val="BodyText"/>
      </w:pPr>
      <w:r>
        <w:t xml:space="preserve">Używamy terminu „natchnienie” w odniesieniu do procesu, którego Suwerenny Stwórca użył do stworzenia Swojego pisemnego Objawienia. Stwórca zdecydował się posłużyć ludzkimi autorami, z wyjątkiem kamiennych tablic zawierających Dekalog, które Stwórca Sam wyrył (Wyjścia 31,18; 32,16). Porównując styl ksiąg napisanych przez różnych ludzi, widać wyraźnie, że osobowość autora nie została stłumiona lub zablokowana: Paweł pisze w jeden sposób, Jan pisze w inny sposób i tak dalej. A ten sam autor zmieni styl w zależności od docelowych odbiorców lub adresata. Więc gdy Piotr pisze, że autorzy byli „niesieni przez Ducha Świętego” (2 Piotra 1,21), możemy rozumieć, że „niesienie” gwarantowało, iż zapisane słowa poprawnie wyrażały znaczenie, jakie Duch Święty chciał przekazać. Zarówno żywe Słowo, jak i spisane Słowo obejmują unię hipostatyczną</w:t>
      </w:r>
      <w:r>
        <w:rPr>
          <w:rStyle w:val="FootnoteReference"/>
        </w:rPr>
        <w:footnoteReference w:id="77"/>
      </w:r>
      <w:r>
        <w:t xml:space="preserve">: jak Jezus Chrystus może być w 100% Bogiem i jednocześnie w 100% człowiekiem jest tajemnicą, jak spisane Słowo może być w 100% boskie i jednocześnie w 100% ludzkie, również jest tajemnicą.</w:t>
      </w:r>
    </w:p>
    <w:p>
      <w:pPr>
        <w:pStyle w:val="BodyText"/>
      </w:pPr>
      <w:r>
        <w:t xml:space="preserve">Ale to nie wszystko. Sposób, w jaki działa natchnienie, różni się w zależności od rodzaju literatury.</w:t>
      </w:r>
    </w:p>
    <w:p>
      <w:pPr>
        <w:numPr>
          <w:ilvl w:val="0"/>
          <w:numId w:val="1005"/>
        </w:numPr>
      </w:pPr>
      <w:r>
        <w:t xml:space="preserve">Ściśle rzecz biorąc, „objawienie” oznacza informację przekazaną bezpośrednio komuś przez Stwórcę (czasem wykorzystując anioła). Prawdziwe proroctwo to prorok powtarzający słowo w słowo to, co Stwórca do niego powiedział: „słowo PANA przyszło do mnie mówiące” (Jeremiasz 1,4). Z konieczności, informacje zawarte w pierwszym rozdziale Księgi Rodzaju, zostały przekazane przez Stwórcę bezpośrednio Adamowi. Podobnie, informacje zawarte w Księdze Hioba 1,6-12 i 2,1-7 musiały zostać przekazane bezpośrednio autorowi księgi (być może Elihu, synowi Barachela — Księga Hioba 32,2). Dzieje Apostolskie 1,16 mówią, że Duch Święty przemówił ustami Dawida. W odniesieniu do „Wieczerzy Pańskiej” Paweł napisał: „Otrzymałem od Pana to, co również przekazałem, wam” (1 Koryntian 11,23). Mógłbym przywołać kolejne fragmenty, ale podałem już wystarczająco dużo, aby zilustrować „objawienie”. Takie objawienie jest zazwyczaj normatywne, służy ukierunkowaniu naszego postępowania.</w:t>
      </w:r>
    </w:p>
    <w:p>
      <w:pPr>
        <w:numPr>
          <w:ilvl w:val="0"/>
          <w:numId w:val="1005"/>
        </w:numPr>
      </w:pPr>
      <w:r>
        <w:t xml:space="preserve">Informacje historyczne są nieco inne, natchnienie gwarantuje prawdziwość tego, co jest opisane — rzeczy wydarzyły się właśnie w ten sposób</w:t>
      </w:r>
      <w:r>
        <w:rPr>
          <w:rStyle w:val="FootnoteReference"/>
        </w:rPr>
        <w:footnoteReference w:id="78"/>
      </w:r>
      <w:r>
        <w:t xml:space="preserve">. Powinno być oczywiste, że opisy grzechu, kłamstwa, przestępstwa czy perwersyjności nie są normatywne, choć służą jako negatywne przykłady, żeby nas ostrzegać. Księga Rodzaju 3,4 rejestruje kłamstwo: „Wtedy wąż rzekł do kobiety: Na pewno nie umrzecie”. Oczywiście natchnienie nie zgadza się z kłamstwem, jedynie gwarantuje, że wąż powiedział dokładnie to. Informacje historyczne lub zapisy mogą zawierać orientację normatywną. Zawsze konieczne jest zwrócenie szczególnej uwagi na kontekst, który można słusznie nazwać „królem interpretacji”.</w:t>
      </w:r>
    </w:p>
    <w:p>
      <w:pPr>
        <w:numPr>
          <w:ilvl w:val="0"/>
          <w:numId w:val="1005"/>
        </w:numPr>
      </w:pPr>
      <w:r>
        <w:t xml:space="preserve">Materiał poetycki jest trudniejszy. To gatunek komunikacji, który ma własne zasady i kontekst jest najważniejszy. Pieśń nad Pieśniami składa się z trzynastu „kantyczek”</w:t>
      </w:r>
      <w:r>
        <w:rPr>
          <w:rStyle w:val="FootnoteReference"/>
        </w:rPr>
        <w:footnoteReference w:id="79"/>
      </w:r>
      <w:r>
        <w:t xml:space="preserve">, które nie są przedstawione jako normatywne. Ponieważ relacja między mężczyzną i kobietą jest fundamentalna dla ludzkiego istnienia, naturalne jest, że ten temat pojawia się w pisemnym Objawieniu. To, że Stwórca wybrał gatunek poetycki, było Jego prerogatywą i to dobrze pasuje do tematu — emocje często znajdują wyraz w formie poetyckiej.</w:t>
      </w:r>
    </w:p>
    <w:p>
      <w:pPr>
        <w:pStyle w:val="FirstParagraph"/>
      </w:pPr>
      <w:r>
        <w:t xml:space="preserve">Dla porównania, Księga Przysłów jest generalnie normatywna. W Księdze Koheleta 12,9-11 Salomon deklaruje natchnienie przysłów: zostały one „dane przez jednego Pasterza”.</w:t>
      </w:r>
    </w:p>
    <w:p>
      <w:pPr>
        <w:pStyle w:val="BodyText"/>
      </w:pPr>
      <w:r>
        <w:t xml:space="preserve">Z drugiej strony, sam Salomon nie twierdzi tego samego o Księdze Koheleta, innej księdze, którą napisał. Drugi werset: „Marność nad marnościami, mówi kaznodzieja, marność nad marnościami, wszystko jest marnością”, oczywiście nie zgadza się z resztą Biblii. Służenie Bogu nie jest marnością, zbawienie w Chrystusie nie jest marnością i tak dalej. Rzeczywiście, Salomon otwarcie deklaruje, w jaki sposób powstała ta księga: „Nastawiłem serce swoje, aby szukało i znajdowało mądrością” (1,13), „Rozmawiałem z sercem swoim” (1,16), „Nastawiłem serce swoje na poznanie mądrości i szaleństwa i głupoty” (1,17), „Szukałem w sercu swoim, jak zaspokoić ciało swe” (2,3). Księga wyraźnie jest próbą zrozumienia życia i świata poprzez czysto humanistyczną analizę, z pominięciem Suwerennego Stwórcy. Takiej analizy podjął się człowiek, który był bardzo inteligentny. Przyjmuję, że księga została włączona do kanonu dokładnie po to, aby pokazać, do jakiego wniosku czysto humanistyczna analiza musi doprowadzić — do pustki i rozpaczy. Jednakże, autor podsumował księgę poprzez stwierdzenie prawdziwej prawdy, aby nikt nie został zwiedziony: „Posłuchajmy więc wniosku całej tej sprawy: Bój się Boga i przestrzegaj Jego przykazań, bo to jest wszystko u człowieka. Bóg bowiem przywiedzie pod osąd każde dzieło, w tym każdą tajemnicę, czy to dobrą, czy złą”.</w:t>
      </w:r>
    </w:p>
    <w:bookmarkEnd w:id="80"/>
    <w:bookmarkStart w:id="82" w:name="oświecenie"/>
    <w:p>
      <w:pPr>
        <w:pStyle w:val="Heading3"/>
      </w:pPr>
      <w:r>
        <w:t xml:space="preserve">Oświecenie</w:t>
      </w:r>
    </w:p>
    <w:p>
      <w:pPr>
        <w:pStyle w:val="FirstParagraph"/>
      </w:pPr>
      <w:r>
        <w:t xml:space="preserve">Twierdzę, że ważne jest, abyśmy rozróżniali między natchnieniem a oświeceniem w odniesieniu do Pisma Świętego. Natchnienie odnosi się do pisania materiałów biblijnych, a oświecenie odnosi się do interpretacji materiałów biblijnych. Zarówno natchnienie, jak i oświecenie są dziełem Ducha Świętego. Oświecenie jest zazwyczaj zarezerwowane dla tych, którzy zostali odrodzeni. „Człowiek zaś duszewny</w:t>
      </w:r>
      <w:r>
        <w:rPr>
          <w:rStyle w:val="FootnoteReference"/>
        </w:rPr>
        <w:footnoteReference w:id="81"/>
      </w:r>
      <w:r>
        <w:t xml:space="preserve"> </w:t>
      </w:r>
      <w:r>
        <w:t xml:space="preserve">nie przyjmuje rzeczy Ducha Bożego, bo są dla niego głupstwem, zaiste, nie może ich zrozumieć, ponieważ są one duchowo rozróżniane” (1 List do Koryntian 2,14). Tak właśnie mówi Tekst. Osoba „duszewna” nie jest w stanie pojąć spraw duchowych, co brzmi raczej jak wada wrodzona. Konkretne fakty zawarte w zapisach historycznych mogą być zrozumiane przez każdego. To, że Dawid zabił Goliata, jest faktem zrozumiałym dla każdego. Jednak zrozumienie celu Ducha Świętego stojącego za natchnionym stwierdzeniem zależy od oświecenia, a aby je otrzymać, trzeba być duchowym (1 Kor 2,15).</w:t>
      </w:r>
    </w:p>
    <w:bookmarkEnd w:id="82"/>
    <w:bookmarkStart w:id="85" w:name="kanon"/>
    <w:p>
      <w:pPr>
        <w:pStyle w:val="Heading3"/>
      </w:pPr>
      <w:r>
        <w:t xml:space="preserve">Kanon</w:t>
      </w:r>
    </w:p>
    <w:p>
      <w:pPr>
        <w:pStyle w:val="FirstParagraph"/>
      </w:pPr>
      <w:r>
        <w:t xml:space="preserve">Przechodzę teraz do kwestii kanoniczności Świętego Tekstu: dlaczego nasza Biblia zawiera dokładnie taki dobór ksiąg, jaki ma – ani więcej, ani mniej, ani żadnych innych? Natchnienie odnosi się do boskiej aktywności w akcie spisywania materiału, gwarantującej wynik. Jednakże, kanonizacja Tekstu odnosi się do ludzkiej aktywności, rozpoznawania boskiej jakości tego materiału. Proces tego rozpoznawania miał miejsce w społeczności Wiary – społeczności hebrajskiej w przypadku Starego Testamentu i społeczności chrześcijańskiej w przypadku Nowego Testamentu. Odnosiłem się już do postawy, jaką Pan Jezus Chrystus wykazywał w odniesieniu do Starego Testamentu, który był całą istniejącą w tym momencie Biblią. Ewidentnie uznał Kanon 39 ksiąg, który był ustalony w Jego czasach. Cytował wiele ksiąg – wziętych z Prawa, historii, proroctw i poezji – i czynił to, traktując je jako Boże Słowo, coś prawdziwego, świętego i autorytatywnego. Ludzcy autorzy Nowego Testamentu wykazywali taki sam szacunek dla Starego Testamentu, który był również ich Biblią.</w:t>
      </w:r>
    </w:p>
    <w:p>
      <w:pPr>
        <w:pStyle w:val="BodyText"/>
      </w:pPr>
      <w:r>
        <w:t xml:space="preserve">Powiedziałem, że Stary Testament zawiera 39 ksiąg i tak było aż do XVI wieku ery chrześcijańskiej. Sobór Trydencki był reakcją Kościoła rzymskokatolickiego przeciwko Reformacji Protestanckiej. Rozpoczął się w 1545 roku i zakończył swoje prace w 1563 roku. Sobór dodał do Starego Testamentu czternaście „ksiąg”, chociaż te czternaście nigdy nie zostało uznane przez społeczność hebrajską. W kręgach protestanckich księgi te są ogólnie określane jako „apokryfy”, natomiast w kręgach rzymskokatolickich jako „deuterokanoniczne”. Kanon Nowego Testamentu został formalnie zamknięty przez sobór w Kartaginie w 397 r. n.e., natomiast kanon Starego Testamentu został zamknięty stulecia wcześniej. Z pewnością rok 1563 był zdecydowanie za późno, żeby dodawać księgi do Świętego Tekstu.</w:t>
      </w:r>
      <w:r>
        <w:rPr>
          <w:rStyle w:val="FootnoteReference"/>
        </w:rPr>
        <w:footnoteReference w:id="83"/>
      </w:r>
    </w:p>
    <w:p>
      <w:pPr>
        <w:pStyle w:val="BodyText"/>
      </w:pPr>
      <w:r>
        <w:t xml:space="preserve">A zatem kanonizacja ma wszystko wspólnego z zachowaniem Tekstu. Z pewnością, ponieważ społeczność Wiary zajmowałaby się wyłącznie przekazywaniem i ochroną ksiąg „kanonicznych”, tych, które uznano za natchnione.</w:t>
      </w:r>
      <w:r>
        <w:rPr>
          <w:rStyle w:val="FootnoteReference"/>
        </w:rPr>
        <w:footnoteReference w:id="84"/>
      </w:r>
      <w:r>
        <w:t xml:space="preserve"> </w:t>
      </w:r>
      <w:r>
        <w:t xml:space="preserve">Kiedy podejmuję kwestię zachowania, poniżej, argumentuję, że to właśnie zachowanie Tekstu dowodzi jego kanoniczności. Ludzki udział w przekazywaniu Tekstu jest oczywisty, ale czy istniała również boska aktywność, chroniąca Tekst (w tym jego dokładne słowa)? I jak można „zmierzyć” taką boską aktywność? Widzę dwa odpowiednie „narzędzia” do dokonania pomiaru: logikę i historię. Zaczynam od argumentu opartego na logice.</w:t>
      </w:r>
    </w:p>
    <w:p>
      <w:pPr>
        <w:pStyle w:val="BodyText"/>
      </w:pPr>
      <w:r>
        <w:t xml:space="preserve">Natchnienie jest wynikiem lub cechą Objawienia – tym stwierdzeniem potwierdzamy, że Suwerenny Stwórca postanowił przekazać ludzkiej rasie pewne obiektywne informacje. Gdyby Stwórca troszczył się jedynie o przekazanie informacji danej osobie lub grupie w określonym momencie czasu, w konkretnym celu, mogłoby to zostać dokonane ustnie. Jeśli jednak Jego celem było dotarcie do kolejnych pokoleń (aż do tysiąca z nich, 1 Kronik 16,15), wówczas odpowiednią formą byłaby forma pisemna. Jeśli więc Stwórca zamierzał, aby Jego Objawienie dotarło nienaruszone, a przynajmniej w całości i w wiarygodnym stanie, do XXI wieku, absolutnie musiałby czuwać nad procesem przekazywania przez wieki. Musiałby zabronić nieodwracalnej utraty jakichkolwiek autentycznych materiałów, a także zabronić jakichkolwiek nierozpoznawalnych wstawek fałszywych materiałów. Oryginalne sformułowania powinny być dostępne, we wszystkich pokoleniach, dla osób, które byłyby wystarczająco zainteresowane posiadaniem tych sformułowań, aby zapłacić niezbędną cenę (czas, podróż, pieniądze) za ich uzyskanie. (Ogólnie rzecz biorąc, ludzie byliby zadowoleni z posiadanych sformułowań, o ile uważaliby je za wiarygodne). Tak więc osoba wierząca na przykład w boskie natchnienie Nowego Testamentu powinna również wierzyć w boskie zachowanie Nowego Testamentu – jest to kwestia logiki. Ale co z dowodami historycznymi, czy są one zgodne z naszą logiką, czy nie? Teraz przejdę do tego pytania.</w:t>
      </w:r>
    </w:p>
    <w:bookmarkEnd w:id="85"/>
    <w:bookmarkEnd w:id="86"/>
    <w:bookmarkStart w:id="95" w:name="historyczne-dowody-na-zachowanie"/>
    <w:p>
      <w:pPr>
        <w:pStyle w:val="Heading2"/>
      </w:pPr>
      <w:r>
        <w:t xml:space="preserve">Historyczne dowody na Zachowanie</w:t>
      </w:r>
    </w:p>
    <w:p>
      <w:pPr>
        <w:pStyle w:val="FirstParagraph"/>
      </w:pPr>
      <w:r>
        <w:t xml:space="preserve">Na początek, uważam, że poniższe odniesienia można rozsądnie rozumieć jako oświadczenie Suwerennego Stwórcy, że zamierzał zachować swój Tekst, ale nie dał żadnych wskazówek, w jaki sposób zamierzał to zrobić. Musimy zacząć od tego, co zrobił. Ale najpierw odniesienia:</w:t>
      </w:r>
    </w:p>
    <w:p>
      <w:pPr>
        <w:pStyle w:val="BodyText"/>
      </w:pPr>
      <w:r>
        <w:t xml:space="preserve">1 Kronik 16,14-15 jest częścią psalmu uwielbienia dla Boga, który śpiewano, gdy Arka została przyniesiona do Jerozolimy. „On jest PANEM, naszym Bogiem, Jego osądy są na całej ziemi. Pamiętajcie Jego rozkaz na zawsze, słowo, które On nakazał na tysiąc pokoleń”. Aby Słowo było wiążące aż do tysiącznego pokolenia, musiałoby być zachowane aż do tego pokolenia i musiałoby być dostępne dla każdego pokolenia po drodze. Przyjmuję, że „tysiąc pokoleń” jest równoznaczne z „na zawsze”. „Na zawsze, PANIE, Twoje słowo jest osadzone w niebie. Twoja wierność jest do wszystkich pokoleń” (Psalm 119,89-90). „Na zawsze” jest równoznaczne z „wszystkimi pokoleniami”. „Trawa usycha, kwiat więdnie, ale słowo naszego Boga trwa na wieki” (Izajasz 40,8). Aby „trwać” na wieki, musi być zachowane na wieki. (Psalm 102,18 i 1 List do Koryntian 10,11)</w:t>
      </w:r>
    </w:p>
    <w:p>
      <w:pPr>
        <w:pStyle w:val="BodyText"/>
      </w:pPr>
      <w:r>
        <w:t xml:space="preserve">Mateusz 5,17-18 to fragment tzw. Kazania na Górze, wygłoszonego przez Suwerennego Jezusa, podczas gdy chodził po tej ziemi. „Nie sądźcie, że przyszedłem znieść Prawo lub Proroków. Nie przyszedłem znieść, ale wypełnić. Zaprawdę bowiem powiadam wam, dopóki nie przeminie niebo i ziemia, ani jedna jota, ani jedna kreska nie przeminie z Prawa, aż wszystko się spełni”. Pan wypowiada tu imponująco mocne stwierdzenie dotyczące zachowania w czasie dokładnej formy Świętego Tekstu. Ponieważ jedyny dostęp do znaczenia mamy poprzez formę, każda zmiana formy zmieni znaczenie. (Jednym z najskuteczniejszych sposobów unieważnienia przykazania jest naruszenie Tekstu – coś, co Szatan rozumie całkiem dobrze). „Łatwiej jest niebu i ziemi przeminąć, niż jednej kresce z Prawa zawieść” (Łk 16,17). „Niebo i ziemia przeminą, ale moje słowa w żadnym razie nie przeminą” (Łk 21,33). Suwerenny Jezus oświadcza, że Jego słowa mają wieczną ważność i dlatego są na równi z pisemnym Objawieniem Bożym (zob. Ps 119,89).</w:t>
      </w:r>
    </w:p>
    <w:p>
      <w:pPr>
        <w:pStyle w:val="BodyText"/>
      </w:pPr>
      <w:r>
        <w:t xml:space="preserve">W Ewangelii Mateusza 4,4 Suwerenny Jezus powstrzymuje Szatana, cytując Księgę Powtórzonego Prawa 8,3. „Napisano: «Nie samym chlebem żyje człowiek, ale każdym słowem, które pochodzi z ust Bożych»”. Jeśli mamy żyć „każdym słowem”, to każde słowo musi być dostępne.</w:t>
      </w:r>
      <w:r>
        <w:rPr>
          <w:rStyle w:val="FootnoteReference"/>
        </w:rPr>
        <w:footnoteReference w:id="87"/>
      </w:r>
      <w:r>
        <w:t xml:space="preserve"> </w:t>
      </w:r>
      <w:r>
        <w:t xml:space="preserve">Zwróć również uwagę na Księgę Powtórzonego Prawa 29,29, „Rzeczy tajemne należą do PANA, naszego Boga, ale te, które zostały ujawnione, należą do nas i do naszych dzieci na zawsze, abyśmy mogli wypełniać wszystkie słowa tego prawa”. „Wszystkie słowa” obejmują każde pojedyncze słowo, które składa się na całość, a aby trzysta pokoleń mogło je wszystkie przestrzegać, wszystkie muszą być nadal dostępne. Rozważ też Księgę Izajasza 59,21: „A co do mnie” – mówi PAN – „oto Moje przymierze z nimi: Duch Mój, który spoczywa na tobie, i słowa Moje, które włożyłem w twoje usta, nie odejdą z twoich ust, ani z ust twoich potomków, ani z ust potomków twoich potomków” – mówi PAN – „od teraz i na wieki”. „Słowa moje” obejmują każde pojedyncze słowo, które składa się na całość, i mają być dostępne „od teraz i na wieki”, co obejmuje wszystkie pokolenia pośrednie. Księga Objawienia 22,18-19 również kładzie nacisk na poszczególne słowa.</w:t>
      </w:r>
    </w:p>
    <w:p>
      <w:pPr>
        <w:pStyle w:val="BodyText"/>
      </w:pPr>
      <w:r>
        <w:t xml:space="preserve">Twierdzę, że powyższe odniesienia można rozsądnie rozumieć jako stanowiące deklarację, że Suwerenny Stwórca zamierza, aby Jego pisemne Objawienie było dostępne dla wszystkich pokoleń aż do końca świata – Jego troska rozciąga się na poszczególne słowa, a nawet litery (Mt 5,18)! Ponieważ jednak nie podał On żadnych wskazówek, w jaki sposób zamierza to osiągnąć, musimy wywnioskować odpowiedź, analizując to, co uczynił. Zacznę od Nowego Testamentu. Przechodzę do przedstawienia dowodów.</w:t>
      </w:r>
    </w:p>
    <w:bookmarkStart w:id="94" w:name="autografy"/>
    <w:p>
      <w:pPr>
        <w:pStyle w:val="Heading3"/>
      </w:pPr>
      <w:r>
        <w:t xml:space="preserve">Autografy</w:t>
      </w:r>
    </w:p>
    <w:p>
      <w:pPr>
        <w:pStyle w:val="FirstParagraph"/>
      </w:pPr>
      <w:r>
        <w:t xml:space="preserve">Kiedy mówię o boskim zachowaniu Tekstu Nowego Testamentu, odnoszę się do jego dokładnej treści w oryginalnych dokumentach, Autografach. Kiedy mówię o zachowaniu, zakładam boskie natchnienie, są one logicznie współzależne. Po co Bóg miałby natchnąć pisemne objawienie, gdyby nie zamierzał go zachować? Po co Bóg miałby zachowywać pisma, których nie natchnął? Uważam, że zachowanie Tekstu Nowego Testamentu jest być może najsilniejszym argumentem przemawiającym za jego natchnionym charakterem. To samo dotyczy precyzyjnego doboru ksiąg, które składają się na Kanon Nowego Testamentu. Ponieważ uważam, że Ewangelia Mateusza była pierwszą księgą Nowego Testamentu, która została udostępniona publicznie („opublikowana”), zacznę od niej.</w:t>
      </w:r>
    </w:p>
    <w:p>
      <w:pPr>
        <w:pStyle w:val="BodyText"/>
      </w:pPr>
      <w:r>
        <w:t xml:space="preserve">Kiedy Mateusz „opublikował” swoją Ewangelię w 38 roku n.e.</w:t>
      </w:r>
      <w:r>
        <w:rPr>
          <w:rStyle w:val="FootnoteReference"/>
        </w:rPr>
        <w:footnoteReference w:id="88"/>
      </w:r>
      <w:r>
        <w:t xml:space="preserve">, produkcja książek w Imperium Rzymskim była powszechna, ale nie istniało coś takiego jak „prawa autorskie”. Gdy tylko książka trafiała do obiegu, stawała się „domeną publiczną” i każdy mógł z niej korzystać oraz wprowadzać w niej zmiany. Jeśli więc Duch Święty chciał chronić dzieła, które natchnął, przed swobodną edycją, co mógł zrobić? Sugeruję, że najbardziej oczywistym sposobem byłoby „opublikowanie” tych dzieł w formie wielu egzemplarzy. Dzisiaj pierwszy nakład książki wynosi zazwyczaj tysiące egzemplarzy, ale w tamtych czasach każdy egzemplarz musiał być napisany ręcznie (rękopis).</w:t>
      </w:r>
    </w:p>
    <w:p>
      <w:pPr>
        <w:pStyle w:val="BodyText"/>
      </w:pPr>
      <w:r>
        <w:t xml:space="preserve">Książka wielkości Ewangelii Mateusza wymagałaby znacznego nakładu czasu i wysiłku, a także papirusu i atramentu. Wierzę, że pisma Nowego Testamentu od początku były przygotowywane w formie książkowej (a nie zwojów), a wykorzystanym materiałem był prawdopodobnie papirus.</w:t>
      </w:r>
      <w:r>
        <w:rPr>
          <w:rStyle w:val="FootnoteReference"/>
        </w:rPr>
        <w:footnoteReference w:id="89"/>
      </w:r>
      <w:r>
        <w:t xml:space="preserve"> </w:t>
      </w:r>
      <w:r>
        <w:t xml:space="preserve">Jednakże papirus nie wytrzymuje częstego używania, a do roku 38 było wiele chrześcijańskich zborów na samym na terytorium żydowskim, nie wspominając o innych miejscach. Jeśli Duch Święty zamierzał, aby pisma Nowego Testamentu miały szeroki obieg, co wydaje się oczywiste, konieczne byłoby zacząć od wielu egzemplarzy.</w:t>
      </w:r>
    </w:p>
    <w:p>
      <w:pPr>
        <w:pStyle w:val="BodyText"/>
      </w:pPr>
      <w:r>
        <w:t xml:space="preserve">Jeden egzemplarz Ewangelii Mateusza rozpadłby się, zanim dotarłby do dwudziestego zboru (gdyby był na papirusie).</w:t>
      </w:r>
    </w:p>
    <w:p>
      <w:pPr>
        <w:pStyle w:val="BodyText"/>
      </w:pPr>
      <w:r>
        <w:t xml:space="preserve">Ale dlaczego nalegam na papirus zamiast pergaminu? Cóż, pojedynczy egzemplarz Ewangelii Mateusza wymagałby około piętnastu owiec lub kóz, zatem kto mógłby sobie pozwolić na wiele kopii? Niemniej jednak, oryginalny egzemplarz mógł rzeczywiście zostać wykonany na pergaminie z dwóch powodów:</w:t>
      </w:r>
    </w:p>
    <w:p>
      <w:pPr>
        <w:numPr>
          <w:ilvl w:val="0"/>
          <w:numId w:val="1006"/>
        </w:numPr>
        <w:pStyle w:val="Compact"/>
      </w:pPr>
      <w:r>
        <w:t xml:space="preserve">jeśli oryginalny egzemplarz miał być przechowywany, w celu kontroli jakości, powinien być wykonany na trwałym materiale</w:t>
      </w:r>
    </w:p>
    <w:p>
      <w:pPr>
        <w:numPr>
          <w:ilvl w:val="0"/>
          <w:numId w:val="1006"/>
        </w:numPr>
        <w:pStyle w:val="Compact"/>
      </w:pPr>
      <w:r>
        <w:t xml:space="preserve">jeśli wiele kopii oryginalnego egzemplarza miało zostać sporządzonych przed udostępnieniem publicznie, oryginalny egzemplarz na papirusie mógłby nie przetrwać</w:t>
      </w:r>
    </w:p>
    <w:p>
      <w:pPr>
        <w:pStyle w:val="FirstParagraph"/>
      </w:pPr>
      <w:r>
        <w:t xml:space="preserve">Pomysł wydania książki w wielu egzemplarzach można wywnioskować z Listów. 2 List do Koryntian został napisany do „kościoła Bożego, który jest w Koryncie, wraz ze wszystkimi świętymi, którzy są w całej Achai” (werset 1). Ile zborów było „w całej Achai”? Czy Paweł myślał o wielu egzemplarzach? 1 List do Koryntian był zaadresowany do „wszystkich tych, wszędzie, którzy wzywają imienia naszego Pana Jezusa Chrystusa” (werset 2). Teraz, ile egzemplarzy byłoby</w:t>
      </w:r>
      <w:r>
        <w:t xml:space="preserve"> </w:t>
      </w:r>
      <w:r>
        <w:rPr>
          <w:bCs/>
          <w:b/>
        </w:rPr>
        <w:t xml:space="preserve">do tego</w:t>
      </w:r>
      <w:r>
        <w:t xml:space="preserve"> </w:t>
      </w:r>
      <w:r>
        <w:t xml:space="preserve">potrzebnych? List do Galacjan został napisany do „kościołów w Galacji” (werset 2). Czy jeden egzemplarz mógłby trafić do nich wszystkich?</w:t>
      </w:r>
    </w:p>
    <w:p>
      <w:pPr>
        <w:pStyle w:val="BodyText"/>
      </w:pPr>
      <w:r>
        <w:t xml:space="preserve">Rozważ przypadek pierwszego listu Piotra: jest on zaadresowany do wiernych w „Ponto, Galacji, Kapadocji, Azji i Bitynii” (werset 1). Zatem, na jakiej podstawie Piotr (apostoł obrzezanych, Galacjan 2,8) mógł pisać do ludzi w tych miejscach? Prawdopodobnie wielu starszych przywódców było z Piotrem w dniu Pięćdziesiątnicy i osiadło podczas jego posługi, dopóki prześladowania pod wodzą Saula nie zmusiły ich do powrotu do domu, przypuszczalnie (Dz 8,4). Zwróć uwagę, że lista miejsc w Dziejach Apostolskich 2,9-11 obejmuje następujące miejsca w Azji Mniejszej: Azja, Kapadocja, Pamfylia, Frygia i Pont. Trzy z tych pięciu miejsc znajdują się na liście Piotra i nie musimy zakładać, że jego lista była kompletna, tak samo, jak lista w Dziejach Apostolskich 2,9-11 prawdopodobnie nie jest kompletna.</w:t>
      </w:r>
    </w:p>
    <w:p>
      <w:pPr>
        <w:pStyle w:val="BodyText"/>
      </w:pPr>
      <w:r>
        <w:t xml:space="preserve">Czy kiedykolwiek spojrzałeś na mapę, aby zobaczyć położenie pięciu prowincji Piotra? Zasadniczo obejmują one całą Azję Mniejszą (dzisiejszą Turcję)! Wydaje się, że termin „Azja” był używany w różny sposób. W Dziejach Apostolskich 27,2 Azja obejmuje Cylicję i Pamfilię (werset 5). Uwielbiony Chrystus umieścił siedem kościołów w Azji (Objawienie 1,4). W Dziejach Apostolskich 16,6 termin ten wydaje się odnosić do bardziej ograniczonego obszaru, który, jednakże, prawdopodobnie obejmował Efez, do którego Paweł powrócił później. Prokonsularna Azja</w:t>
      </w:r>
      <w:r>
        <w:rPr>
          <w:rStyle w:val="FootnoteReference"/>
        </w:rPr>
        <w:footnoteReference w:id="90"/>
      </w:r>
      <w:r>
        <w:t xml:space="preserve"> </w:t>
      </w:r>
      <w:r>
        <w:t xml:space="preserve">obejmowała Mysję i Frygię. Ile więc mogło być wszystkich zborów w Azji Mniejszej? I jak pojedynczy egzemplarz mógł trafić do wszystkich z nich? Jeżeli list był napisany na papirusie (co wydaje się prawdopodobne – tańszy, łatwiej dostępny), rozpadłby się po dotarciu do dwudziestego zboru, jeśli nie wcześniej (papirus nie wytrzymuje tak dużego obciążenia).</w:t>
      </w:r>
    </w:p>
    <w:p>
      <w:pPr>
        <w:pStyle w:val="BodyText"/>
      </w:pPr>
      <w:r>
        <w:t xml:space="preserve">Załóżmy teraz, dla celów dyskusji, że Piotr wysłał pięć kopii swojego listu, po jednej do każdej prowincji. Jakie implikacje miałoby to dla przekazywania tego Tekstu? Oznacza to, że zwielokrotniasz proces i postęp przekazywania pięciokrotnie! Oznacza to, że masz początki „tekstu większościowego” już na bardzo wczesnym etapie. Oznacza to, że podstawowa integralność tekstu byłaby zagwarantowana (tym bardziej, jeśli Bóg nadzorował ten proces). Gdyby Piotr wysłał więcej niż pięć kopii, tym lepiej. A co z Jakubem, ile kopii potrzeba, aby dotrzeć do „dwunastu plemion, które są w rozproszeniu” (werset 1)? (Czy samo określenie „rozproszenie” nie sugeruje, że byli oni szeroko rozsiani? A co, jeśli „dwanaście plemion” jest dosłowne?) Drugi list Piotra nie wymienia pięciu prowincji, ale 3,1 wydaje się wskazywać, że celował on w ten sam obszar.</w:t>
      </w:r>
    </w:p>
    <w:p>
      <w:pPr>
        <w:pStyle w:val="BodyText"/>
      </w:pPr>
      <w:r>
        <w:t xml:space="preserve">Aby zobaczyć, że nie wyciągnąłem pomysłu wielu kopii z powietrza, rozważmy 2 List Piotra 1,12-15. Wersety 12 i 13 odnoszą się do powtarzających się przypomnień, podczas gdy wciąż przebywa on w swoim „namiocie”, co byłoby jego własną, bieżącą działalnością, dlaczego więc w wersecie 15 pojawia się słowo „ponadto”? W NKJV</w:t>
      </w:r>
      <w:r>
        <w:rPr>
          <w:rStyle w:val="FootnoteReference"/>
        </w:rPr>
        <w:footnoteReference w:id="91"/>
      </w:r>
      <w:r>
        <w:t xml:space="preserve"> </w:t>
      </w:r>
      <w:r>
        <w:t xml:space="preserve">werset 15 brzmi: „Ponadto będę uważał, żeby zapewnić, że zawsze macie przypomnienie o tych rzeczach po mojej śmierci”. Cóż, jak możesz „zapewnić”, że ktoś będzie „zawsze miał przypomnienie” o czymś? Wydaje mi się oczywiste, że to coś musi zostać zapisane, przypomnienie musi mieć formę pisemną, aby było gwarantowane. Jakie są więc intencje Piotra? Określa on „przypomnienie tych rzeczy”, więc czym są „te rzeczy”? Są to ewidentnie sprawy, które omówi w tym liście. Musi jednak odnosić się do czegoś więcej niż tylko wstępnego konspektu listu (w przeciwnym razie werset staje się bezsensowny) – stąd wiele kopii.</w:t>
      </w:r>
      <w:r>
        <w:rPr>
          <w:rStyle w:val="FootnoteReference"/>
        </w:rPr>
        <w:footnoteReference w:id="92"/>
      </w:r>
    </w:p>
    <w:p>
      <w:pPr>
        <w:pStyle w:val="BodyText"/>
      </w:pPr>
      <w:r>
        <w:t xml:space="preserve">Jeśli Piotr napisał swój drugi list pod natchnieniem Bożym, to werset 1,15 jest natchniony, a w takim razie pomysł wielokrotnego kopiowania przyszedł od Boga. Byłoby to skutecznym sposobem zachowania Tekstu i zagwarantowania jego integralności przez lata przekazywania. Kościoły w Azji Mniejszej mogły zawsze sprawdzać między sobą, ilekroć pojawiała się wątpliwość lub była taka potrzeba. Jeśli to był pomysł Boga, aby mały list został „opublikowany” w formie wielu kopii, to o ileż bardziej, większe księgi. Oczywiście Bóg wiedział, co robi, więc praktyka ta rozpoczęłaby się już od pierwszej księgi Nowego Testamentu, Ewangelii Mateusza.</w:t>
      </w:r>
      <w:r>
        <w:rPr>
          <w:rStyle w:val="FootnoteReference"/>
        </w:rPr>
        <w:footnoteReference w:id="93"/>
      </w:r>
    </w:p>
    <w:p>
      <w:pPr>
        <w:pStyle w:val="BodyText"/>
      </w:pPr>
      <w:r>
        <w:t xml:space="preserve">Jeśli nie pierwsza księga, to może ostatnia? Rozważ Księgę Objawienia 1,10-11. „Byłem w duchu w dzień Pański i usłyszałem za sobą głos, głośny jak trąba, mówiący: «Napisz co widzisz w księdze i wyślij ją do siedmiu kościołów: do Efezu, do Smyrny, do Pergamonu, do Tiatyr, do Sardes, do Filadelfii i do Laodycei»”. Zwróć uwagę, że ma on zapisać co widzi, a nie co jedynie słyszy (siedem listów zostało mu podyktowanych, nie „widział” ich). Ma wysłać to, co zapisze, do siedmiu kościołów, a oczywistym sposobem na to byłoby wysłanie oddzielnej kopii do każdego kościoła. W takim przypadku Księga Objawienia została „opublikowana” w co najmniej siedmiu egzemplarzach (być może zachował jeden egzemplarz dla siebie).</w:t>
      </w:r>
    </w:p>
    <w:p>
      <w:pPr>
        <w:pStyle w:val="BodyText"/>
      </w:pPr>
      <w:r>
        <w:t xml:space="preserve">If not the first book, how about the last book? Consider Revelation 1,10-11.</w:t>
      </w:r>
      <w:r>
        <w:t xml:space="preserve"> </w:t>
      </w:r>
      <w:r>
        <w:t xml:space="preserve">“</w:t>
      </w:r>
      <w:r>
        <w:t xml:space="preserve">I was in spirit on the Lord’s day and I heard a voice behind me, loud as a trumpet, saying,</w:t>
      </w:r>
      <w:r>
        <w:t xml:space="preserve"> </w:t>
      </w:r>
      <w:r>
        <w:t xml:space="preserve">‘</w:t>
      </w:r>
      <w:r>
        <w:t xml:space="preserve">Write what you see in a book and send it to the seven churches: to Ephesus, to Smyrna, to Pergamos, to Thyatira, to Sardis, to Philadelphia and to Laodicea</w:t>
      </w:r>
      <w:r>
        <w:t xml:space="preserve">’</w:t>
      </w:r>
      <w:r>
        <w:t xml:space="preserve">.</w:t>
      </w:r>
      <w:r>
        <w:t xml:space="preserve">”</w:t>
      </w:r>
      <w:r>
        <w:t xml:space="preserve"> </w:t>
      </w:r>
      <w:r>
        <w:t xml:space="preserve">Note that he is to write what he sees, not what he merely hears (the seven letters were dictated to him, he didn’t</w:t>
      </w:r>
      <w:r>
        <w:t xml:space="preserve"> </w:t>
      </w:r>
      <w:r>
        <w:t xml:space="preserve">‘</w:t>
      </w:r>
      <w:r>
        <w:t xml:space="preserve">see</w:t>
      </w:r>
      <w:r>
        <w:t xml:space="preserve">’</w:t>
      </w:r>
      <w:r>
        <w:t xml:space="preserve"> </w:t>
      </w:r>
      <w:r>
        <w:t xml:space="preserve">them). He is to send what he writes to the seven churches, the obvious way to do that would be to send a separate copy to each church. In that event Revelation was</w:t>
      </w:r>
      <w:r>
        <w:t xml:space="preserve"> </w:t>
      </w:r>
      <w:r>
        <w:t xml:space="preserve">‘</w:t>
      </w:r>
      <w:r>
        <w:t xml:space="preserve">published</w:t>
      </w:r>
      <w:r>
        <w:t xml:space="preserve">’</w:t>
      </w:r>
      <w:r>
        <w:t xml:space="preserve"> </w:t>
      </w:r>
      <w:r>
        <w:t xml:space="preserve">in at least seven copies (he may have kept a copy for himself).</w:t>
      </w:r>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Krytyka tekstu (łac.</w:t>
      </w:r>
      <w:r>
        <w:t xml:space="preserve"> </w:t>
      </w:r>
      <w:r>
        <w:rPr>
          <w:iCs/>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2">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3">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5">
    <w:p>
      <w:pPr>
        <w:pStyle w:val="FootnoteText"/>
      </w:pPr>
      <w:r>
        <w:rPr>
          <w:rStyle w:val="FootnoteReference"/>
        </w:rPr>
        <w:footnoteRef/>
      </w:r>
      <w:r>
        <w:t xml:space="preserve"> </w:t>
      </w:r>
      <w:r>
        <w:t xml:space="preserve">Oryginalna okładka i formatowanie nie zostało wykorzystane w polskim tłumaczeniu. [przyp. tłum.]</w:t>
      </w:r>
    </w:p>
  </w:footnote>
  <w:footnote w:id="37">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Cs/>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38">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Cs/>
          <w:i/>
        </w:rPr>
        <w:t xml:space="preserve">The Chimpanzee Sequencing and Analysis Consortium, Nature, 2005</w:t>
      </w:r>
      <w:r>
        <w:br/>
      </w:r>
      <w:r>
        <w:rPr>
          <w:iCs/>
          <w:i/>
        </w:rPr>
        <w:t xml:space="preserve">Evolutionary Rate at the Molecular Level - Kimura, 1968</w:t>
      </w:r>
      <w:r>
        <w:br/>
      </w:r>
      <w:r>
        <w:rPr>
          <w:iCs/>
          <w:i/>
        </w:rPr>
        <w:t xml:space="preserve">Why evolution is true - Jerry A. Coyne</w:t>
      </w:r>
    </w:p>
  </w:footnote>
  <w:footnote w:id="39">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0">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1">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2">
    <w:p>
      <w:pPr>
        <w:pStyle w:val="FootnoteText"/>
      </w:pPr>
      <w:r>
        <w:rPr>
          <w:rStyle w:val="FootnoteReference"/>
        </w:rPr>
        <w:footnoteRef/>
      </w:r>
      <w:r>
        <w:t xml:space="preserve"> </w:t>
      </w:r>
      <w:r>
        <w:t xml:space="preserve">Autorowi prawdopodobnie chodzi o</w:t>
      </w:r>
      <w:r>
        <w:t xml:space="preserve"> </w:t>
      </w:r>
      <w:r>
        <w:rPr>
          <w:iCs/>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9">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60">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61">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62">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63">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5">
    <w:p>
      <w:pPr>
        <w:pStyle w:val="FootnoteText"/>
      </w:pPr>
      <w:r>
        <w:rPr>
          <w:rStyle w:val="FootnoteReference"/>
        </w:rPr>
        <w:footnoteRef/>
      </w:r>
      <w:r>
        <w:t xml:space="preserve"> </w:t>
      </w:r>
      <w:r>
        <w:t xml:space="preserve">Do tej pory opublikowałem osiem, plus Tekst Grecki.</w:t>
      </w:r>
    </w:p>
  </w:footnote>
  <w:footnote w:id="66">
    <w:p>
      <w:pPr>
        <w:pStyle w:val="FootnoteText"/>
      </w:pPr>
      <w:r>
        <w:rPr>
          <w:rStyle w:val="FootnoteReference"/>
        </w:rPr>
        <w:footnoteRef/>
      </w:r>
      <w:r>
        <w:t xml:space="preserve"> </w:t>
      </w:r>
      <w:r>
        <w:t xml:space="preserve">Odniosłem się już do 1 Kronik 16,15.</w:t>
      </w:r>
    </w:p>
  </w:footnote>
  <w:footnote w:id="67">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8">
    <w:p>
      <w:pPr>
        <w:pStyle w:val="FootnoteText"/>
      </w:pPr>
      <w:r>
        <w:rPr>
          <w:rStyle w:val="FootnoteReference"/>
        </w:rPr>
        <w:footnoteRef/>
      </w:r>
      <w:r>
        <w:t xml:space="preserve"> </w:t>
      </w:r>
      <w:r>
        <w:t xml:space="preserve">Słowo przetłumaczone jako „wydanie” [ang.</w:t>
      </w:r>
      <w:r>
        <w:t xml:space="preserve"> </w:t>
      </w:r>
      <w:r>
        <w:rPr>
          <w:iCs/>
          <w:i/>
        </w:rPr>
        <w:t xml:space="preserve">release</w:t>
      </w:r>
      <w:r>
        <w:t xml:space="preserve">, gr.</w:t>
      </w:r>
      <w:r>
        <w:t xml:space="preserve"> </w:t>
      </w:r>
      <w:r>
        <w:rPr>
          <w:iCs/>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9">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70">
    <w:p>
      <w:pPr>
        <w:pStyle w:val="FootnoteText"/>
      </w:pPr>
      <w:r>
        <w:rPr>
          <w:rStyle w:val="FootnoteReference"/>
        </w:rPr>
        <w:footnoteRef/>
      </w:r>
      <w:r>
        <w:t xml:space="preserve"> </w:t>
      </w:r>
      <w:r>
        <w:t xml:space="preserve">Dostęp do Pisma jest niezbędny do duchowego wzrostu i pracy.</w:t>
      </w:r>
    </w:p>
  </w:footnote>
  <w:footnote w:id="71">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72">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3">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4">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5">
    <w:p>
      <w:pPr>
        <w:pStyle w:val="FootnoteText"/>
      </w:pPr>
      <w:r>
        <w:rPr>
          <w:rStyle w:val="FootnoteReference"/>
        </w:rPr>
        <w:footnoteRef/>
      </w:r>
      <w:r>
        <w:t xml:space="preserve"> </w:t>
      </w:r>
      <w:r>
        <w:t xml:space="preserve">Bardzo niewiele rozdziałów zostało napisanych w języku aramejskim.</w:t>
      </w:r>
    </w:p>
  </w:footnote>
  <w:footnote w:id="76">
    <w:p>
      <w:pPr>
        <w:pStyle w:val="FootnoteText"/>
      </w:pPr>
      <w:r>
        <w:rPr>
          <w:rStyle w:val="FootnoteReference"/>
        </w:rPr>
        <w:footnoteRef/>
      </w:r>
      <w:r>
        <w:t xml:space="preserve"> </w:t>
      </w:r>
      <w:r>
        <w:t xml:space="preserve">Więc nie mamy tu do czynienia z nauką w sensie obiektywnym.</w:t>
      </w:r>
    </w:p>
  </w:footnote>
  <w:footnote w:id="77">
    <w:p>
      <w:pPr>
        <w:pStyle w:val="FootnoteText"/>
      </w:pPr>
      <w:r>
        <w:rPr>
          <w:rStyle w:val="FootnoteReference"/>
        </w:rPr>
        <w:footnoteRef/>
      </w:r>
      <w:r>
        <w:t xml:space="preserve"> </w:t>
      </w:r>
      <w:r>
        <w:t xml:space="preserve">Unia hipostatyczna, także unia natur - jeden z podstawowych terminów chrystologicznych określający związek boskiej i ludzkiej natury Jezusa Chrystusa po wcieleniu. [przyp. tłum.]</w:t>
      </w:r>
      <w:r>
        <w:br/>
      </w:r>
      <w:r>
        <w:t xml:space="preserve">https://pl.wikipedia.org/wiki/Unia_hipostatyczna</w:t>
      </w:r>
    </w:p>
  </w:footnote>
  <w:footnote w:id="78">
    <w:p>
      <w:pPr>
        <w:pStyle w:val="FootnoteText"/>
      </w:pPr>
      <w:r>
        <w:rPr>
          <w:rStyle w:val="FootnoteReference"/>
        </w:rPr>
        <w:footnoteRef/>
      </w:r>
      <w:r>
        <w:t xml:space="preserve"> </w:t>
      </w:r>
      <w:r>
        <w:t xml:space="preserve">Mowa o informacjach historycznych w Biblii, w porównaniu do proroctw. [przyp. tłum.]</w:t>
      </w:r>
    </w:p>
  </w:footnote>
  <w:footnote w:id="79">
    <w:p>
      <w:pPr>
        <w:pStyle w:val="FootnoteText"/>
      </w:pPr>
      <w:r>
        <w:rPr>
          <w:rStyle w:val="FootnoteReference"/>
        </w:rPr>
        <w:footnoteRef/>
      </w:r>
      <w:r>
        <w:t xml:space="preserve"> </w:t>
      </w:r>
      <w:r>
        <w:t xml:space="preserve">Kantyczka (z łac. canticum = monolog, pieśń) – popularna pieśń religijna, np. kolędy, pastorałki, jasełka. [przyp. tłum.]</w:t>
      </w:r>
      <w:r>
        <w:br/>
      </w:r>
      <w:r>
        <w:t xml:space="preserve">https://pl.wikipedia.org/wiki/Kantyczka</w:t>
      </w:r>
    </w:p>
  </w:footnote>
  <w:footnote w:id="81">
    <w:p>
      <w:pPr>
        <w:pStyle w:val="FootnoteText"/>
      </w:pPr>
      <w:r>
        <w:rPr>
          <w:rStyle w:val="FootnoteReference"/>
        </w:rPr>
        <w:footnoteRef/>
      </w:r>
      <w:r>
        <w:t xml:space="preserve"> </w:t>
      </w:r>
      <w:r>
        <w:t xml:space="preserve">Duszewność (ang. soulishness) – działanie w sferze religii poprzez nieprzemienioną przez współpracę z łaską Bożą aktywność naturalnych władz duszy: rozumu, woli, pamięci i uczuć oraz mylące uważanie tego za autentyczne życie wiarą wypływające z ducha ludzkiego złączonego z Trójcą Świętą. [przyp. tłum.]</w:t>
      </w:r>
      <w:r>
        <w:br/>
      </w:r>
      <w:r>
        <w:t xml:space="preserve">https://pl.wikipedia.org/wiki/Duszewno%C5%9B%C4%87</w:t>
      </w:r>
    </w:p>
  </w:footnote>
  <w:footnote w:id="83">
    <w:p>
      <w:pPr>
        <w:pStyle w:val="FootnoteText"/>
      </w:pPr>
      <w:r>
        <w:rPr>
          <w:rStyle w:val="FootnoteReference"/>
        </w:rPr>
        <w:footnoteRef/>
      </w:r>
      <w:r>
        <w:t xml:space="preserve"> </w:t>
      </w:r>
      <w:r>
        <w:t xml:space="preserve">1 Księga Machabejska (ok. 175-135 p.n.e.) nie twierdzi, że jest Pismem Świętym, a nawet twierdzi, że została napisana po epoce proroków (zob. 9,27; 4,46; 14,41). 1 Księga Machabejska 9,27 uznaje, że sukcesja proroków Starego Testamentu już się zakończyła. 1 Księga Machabejska 4,46 mówi, że Izrael czekał na Mesjasza, kiedy to może powstać prorok, aby im powiedzieć, co mają zrobić ze stertą kamieni. Najwyraźniej w czasie pisania nie było żadnego proroka. Brak proroków można dostrzec w 1 Mch 14,41; 2 Esdrasza 14,45 itp. Tak więc w prologu do Księgi Syracha wnuk wyjaśnia, że ben Sirach był po prostu mądrym człowiekiem i zajmował się po prostu tłumaczeniem. Zobacz przeprosiny autora w 2 Księdze Machabejskiej 15,38: „A jeśli postąpiłem dobrze i stosownie do opowieści, to jest to, czego pragnąłem, jeśli jednak postąpiłem słabo i marnie, to jest to, co mogłem osiągnąć”. Prorok przemawiałby z autorytetem, a nie przepraszał za to, jak słabo napisał. (Informację tę zawdzięczam dr. Phillipowi Kayserowi).</w:t>
      </w:r>
    </w:p>
  </w:footnote>
  <w:footnote w:id="84">
    <w:p>
      <w:pPr>
        <w:pStyle w:val="FootnoteText"/>
      </w:pPr>
      <w:r>
        <w:rPr>
          <w:rStyle w:val="FootnoteReference"/>
        </w:rPr>
        <w:footnoteRef/>
      </w:r>
      <w:r>
        <w:t xml:space="preserve"> </w:t>
      </w:r>
      <w:r>
        <w:t xml:space="preserve">Na przykład, są tacy, którzy spierają się, że autograf Mateusza został napisany w języku hebrajskim. Ale jest mały problem z tą tezą: nie ma ani jednej znanej kopii tej Ewangelii w języku hebrajskim. Ponieważ Kościół chronił i przekazywał wyłącznie grecką wersję Ewangelii Mateusza, to oczywiste jest, że autograf został napisany w języku greckim. Jednak wydaje mi się równie oczywiste, że Mateusz i każdy inny, kto potrafił pisać, wypełniał „zeszyty” swoimi adnotacjami dotyczącymi tego, co powiedział i zrobił Jezus. Tak, ponieważ Łukasz 1:1 stwierdza, że „wielu podjęło się uporządkowania opowieści dotyczących tych rzeczy”. Wszystkie notatki sporządzane na poczekaniu musiały być w języku hebrajskim, ponieważ był to język, którego używał Jezus. Ponieważ Mateusz napisał swoją Ewangelię w języku greckim, z pewnością korzystał ze swoich notatek napisanych w języku hebrajskim. Brak choćby jednej greckiej kopii takich rzeczy jak Ewangelia Tomasza, Judasza czy innych wskazuje, że nie były one natchnione i nie zostały uznane przez Kościół.</w:t>
      </w:r>
    </w:p>
  </w:footnote>
  <w:footnote w:id="87">
    <w:p>
      <w:pPr>
        <w:pStyle w:val="FootnoteText"/>
      </w:pPr>
      <w:r>
        <w:rPr>
          <w:rStyle w:val="FootnoteReference"/>
        </w:rPr>
        <w:footnoteRef/>
      </w:r>
      <w:r>
        <w:t xml:space="preserve"> </w:t>
      </w:r>
      <w:r>
        <w:t xml:space="preserve">Łukasz 4,4 jest dokładnie analogiczny, gdzie mniej niż pół procenta zachowanych greckich rękopisów, o obiektywnie gorszej jakości, pomija słowa „ale każdym słowem Bożym” (co niestety powtarzają NIV [New International Version, przyp. tłum.], NASB [New American Standard Bible, przyp. tłum.], LB [The Living Bible, przyp. tłum.], TEV [Today’s English Version, przyp. tłum.] itp.). [Polskie przekłady, które pomijają ten zwrot to np. TYSIĄCL.WYD5, BRYTYJKA, WARSZ.PRASKA, EIB.BIBLIA.2016.LIT, przyp. tłum.]</w:t>
      </w:r>
    </w:p>
  </w:footnote>
  <w:footnote w:id="88">
    <w:p>
      <w:pPr>
        <w:pStyle w:val="FootnoteText"/>
      </w:pPr>
      <w:r>
        <w:rPr>
          <w:rStyle w:val="FootnoteReference"/>
        </w:rPr>
        <w:footnoteRef/>
      </w:r>
      <w:r>
        <w:t xml:space="preserve"> </w:t>
      </w:r>
      <w:r>
        <w:t xml:space="preserve">Kolofony [kolofon (stgr. κολοφών kolophōn „szczyt, wierzchołek, zwieńczenie pracy”) – formuła umieszczona na końcu średniowiecznej książki rękopiśmiennej, zawierająca tytuł dzieła, datację, imię pisarza itp. https://pl.wikipedia.org/wiki/Kolofon przyp. tłum.] w 50% rękopisów, włącznie z</w:t>
      </w:r>
      <w:r>
        <w:t xml:space="preserve"> </w:t>
      </w:r>
      <w:r>
        <w:t xml:space="preserve">“</w:t>
      </w:r>
      <w:r>
        <w:t xml:space="preserve">Rodziną 35</w:t>
      </w:r>
      <w:r>
        <w:t xml:space="preserve">”</w:t>
      </w:r>
      <w:r>
        <w:t xml:space="preserve"> </w:t>
      </w:r>
      <w:r>
        <w:t xml:space="preserve">[Nowy Testament Rodzina 35 (ang. Family 35 NT) – wersja Nowego Testamentu, która została przetłumaczona przez Wilbura N. Pickeringa, według którego angielskie wydanie tej Biblii zawiera dokładnie oryginalne sformułowania. Pickering porównał setki znanych greckich rękopisów NT, aby określić jedyną linię transmisji, która ma wykazalny archetyp dla każdej księgi NT. Wersja ta została przetłumaczona na język angielski, chiński, filipiński, portugalski i hiszpański. https://www.family35nt.org przyp. tłum.], podają, że Ewangelia Mateusza została „opublikowana” osiem lat po wniebowstąpieniu Chrystusa. Ponieważ Jezus wstąpił do nieba w 30 r. n.e., Ewangelia Mateusza została wydana w 38 r. Kolofony podają, że Ewangelia Marka została opublikowana dwa lata później (40 r.), a Ewangelia Łukasza kolejne pięć lat później (45 r.), a Ewangelia Jana w 62 r.</w:t>
      </w:r>
    </w:p>
  </w:footnote>
  <w:footnote w:id="89">
    <w:p>
      <w:pPr>
        <w:pStyle w:val="FootnoteText"/>
      </w:pPr>
      <w:r>
        <w:rPr>
          <w:rStyle w:val="FootnoteReference"/>
        </w:rPr>
        <w:footnoteRef/>
      </w:r>
      <w:r>
        <w:t xml:space="preserve"> </w:t>
      </w:r>
      <w:r>
        <w:t xml:space="preserve">„Przynieś księgi, zwłaszcza pergaminy” (2 Tymoteusza 4,13). Możemy z tego wywnioskować, że pergamin był już w użyciu, ale „księgi” były prawdopodobnie na papirusie, w przeciwnym wypadku, po co ten kontrast?</w:t>
      </w:r>
    </w:p>
  </w:footnote>
  <w:footnote w:id="90">
    <w:p>
      <w:pPr>
        <w:pStyle w:val="FootnoteText"/>
      </w:pPr>
      <w:r>
        <w:rPr>
          <w:rStyle w:val="FootnoteReference"/>
        </w:rPr>
        <w:footnoteRef/>
      </w:r>
      <w:r>
        <w:t xml:space="preserve"> </w:t>
      </w:r>
      <w:r>
        <w:t xml:space="preserve">Azja Prokonsularna (prowincja w Imperium Rzymskim) - region Azji Mniejszej, rządzony przez prokonsulów w czasach Cesarstwa Rzymskiego. Obszar ten był istotny dla społeczności chrześcijańskiej, szczególnie w okresie wczesnego chrześcijaństwa, ponieważ charakteryzowały się tam znaczące interakcje między miejscowymi wyznawcami. [przyp. tłum.]</w:t>
      </w:r>
      <w:r>
        <w:br/>
      </w:r>
      <w:r>
        <w:t xml:space="preserve">https://www.diki.pl/slownik-angielskiego?q=Proconsular+Asia</w:t>
      </w:r>
      <w:r>
        <w:br/>
      </w:r>
      <w:r>
        <w:t xml:space="preserve">https://www.wisdomlib.org/christianity/concept/proconsular-asia</w:t>
      </w:r>
    </w:p>
  </w:footnote>
  <w:footnote w:id="91">
    <w:p>
      <w:pPr>
        <w:pStyle w:val="FootnoteText"/>
      </w:pPr>
      <w:r>
        <w:rPr>
          <w:rStyle w:val="FootnoteReference"/>
        </w:rPr>
        <w:footnoteRef/>
      </w:r>
      <w:r>
        <w:t xml:space="preserve"> </w:t>
      </w:r>
      <w:r>
        <w:t xml:space="preserve">NKJV - Biblia, przekład New King James Version. [przyp. tłum.]</w:t>
      </w:r>
    </w:p>
  </w:footnote>
  <w:footnote w:id="92">
    <w:p>
      <w:pPr>
        <w:pStyle w:val="FootnoteText"/>
      </w:pPr>
      <w:r>
        <w:rPr>
          <w:rStyle w:val="FootnoteReference"/>
        </w:rPr>
        <w:footnoteRef/>
      </w:r>
      <w:r>
        <w:t xml:space="preserve"> </w:t>
      </w:r>
      <w:r>
        <w:t xml:space="preserve">To dr Mike Loehrer, pastor z Kalifornii, zwrócił moją uwagę na 2 List Piotra 1,12-15 i sprawił, że zacząłem się nad tym zastanawiać. W odniesieniu do wersetu 15 napisał mi następujące słowa: „Czy wybór słowa mneme [mnēme (μνήμη) — greckie słowo oznaczające pamięć lub wspomnienie, przyp. tłum.] wraz z poieo [poieō (ποιέω) — tworzyć, czynić, wytwarzać, od tego pochodzi np. słowo poezja (poiēsis), przyp. tłum.] w stronie medialnej [strona medialna (ang. middle voice) w grece oznacza działanie, które podmiot wykonuje dla siebie lub z którego sam korzysta (pomiędzy czynnością aktywną a bierną), przyp. tłum.] może oznaczać zapewnienie sposobu, aby zawsze móc weryfikować pamięć? W tamtych czasach większość ludzi nie mogła sobie pozwolić na własny egzemplarz pism, a kościół bez wątpienia stał by się magazynem autografów tak czy inaczej. W tamtych czasach standardowym sposobem pozyskiwania Pisma było zapamiętywanie go w trakcie słuchania, podczas publicznego czytania. Posiadanie wielu autografów w wielu różnych miejscach z pewnością zapewniałoby sposób na weryfikację pamięci. Nawet gdyby przywódcy kościoła lub synagogi zostali uwięzieni, a ich autografy skonfiskowane lub zniszczone, mogliby być spokojni, że będą mogli znaleźć inny autograf, aby zweryfikować swoją pamięć o tym, jak dany werset lub fragment został faktycznie napisany”.</w:t>
      </w:r>
      <w:r>
        <w:t xml:space="preserve"> </w:t>
      </w:r>
      <w:r>
        <w:t xml:space="preserve">Pomysł weryfikowania pamięci jest równie interesujący, co sugestywny. Użycie przez Piotra słowa μνήμη [mnēme, pamięć przyp. tłum.], zasadniczo zwrotnego, wraz z ποιέω [poieō, tworzyć, przyp. tłum.] w stronie medialnej, sprawia, że sugestia Mike’a wydaje mi się rozsądna. Jest to zgodne z wieloma kopiami. Ireneusz zastanawiał się nad wersetem 15 i wysunął sugestię, że Piotr zamierzał dostarczyć kopie Ewangelii Marka do tych regionów. Ewidentnie idea wielu kopii nie była mu obca. A co z innymi księgami?</w:t>
      </w:r>
    </w:p>
  </w:footnote>
  <w:footnote w:id="93">
    <w:p>
      <w:pPr>
        <w:pStyle w:val="FootnoteText"/>
      </w:pPr>
      <w:r>
        <w:rPr>
          <w:rStyle w:val="FootnoteReference"/>
        </w:rPr>
        <w:footnoteRef/>
      </w:r>
      <w:r>
        <w:t xml:space="preserve"> </w:t>
      </w:r>
      <w:r>
        <w:t xml:space="preserve">Niezależnie od idei „publikowania” poprzez wiele kopii, rozważ, co by się stało, gdyby zbór otrzymał kopię 1 Listu Piotra, Listu Jakuba lub któregokolwiek z Listów Pawła, wraz z instrukcją, że musi go przekazać dalej. Gdybyś był jednym z przywódców tego zboru, co byś zrobił? Ja z pewnością sporządziłbym kopię do zachowania dla nas. Ty nie? Chodzi o to, że gdy tylko natchniona księga zaczęła krążyć, od razu rozpoczęła się proliferacja kopii. A to oznacza, że „tekst większościowy” również powstał od razu!</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l-PL"/>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jpg" /><Relationship Type="http://schemas.openxmlformats.org/officeDocument/2006/relationships/image" Id="rId55" Target="media/rId55.jpg" /><Relationship Type="http://schemas.openxmlformats.org/officeDocument/2006/relationships/image" Id="rId51" Target="media/rId51.png" /><Relationship Type="http://schemas.openxmlformats.org/officeDocument/2006/relationships/hyperlink" Id="rId58"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4" Target="https://core.ac.uk/download/pdf/47225227.pdf" TargetMode="External" /><Relationship Type="http://schemas.openxmlformats.org/officeDocument/2006/relationships/hyperlink" Id="rId26" Target="https://creativecommons.org/licenses/by-sa/4.0/" TargetMode="External" /><Relationship Type="http://schemas.openxmlformats.org/officeDocument/2006/relationships/hyperlink" Id="rId27" Target="https://creativecommons.org/licenses/by-sa/4.0/deed.pl#ref-indicate-changes" TargetMode="External" /><Relationship Type="http://schemas.openxmlformats.org/officeDocument/2006/relationships/hyperlink" Id="rId28" Target="https://creativecommons.org/licenses/by-sa/4.0/deed.pl#ref-same-license" TargetMode="External" /><Relationship Type="http://schemas.openxmlformats.org/officeDocument/2006/relationships/hyperlink" Id="rId25" Target="https://github.com/tometchy/Bog-zachowal-swoj-Tekst-Wilbur-Pickering/raw/refs/heads/master/build/docx/Bog-zachowal-swoj-Tekst-Wilbur-Pickering.docx" TargetMode="External" /><Relationship Type="http://schemas.openxmlformats.org/officeDocument/2006/relationships/hyperlink" Id="rId23" Target="https://github.com/tometchy/Bog-zachowal-swoj-Tekst-Wilbur-Pickering/raw/refs/heads/master/build/epub/Bog-zachowal-swoj-Tekst-Wilbur-Pickering.epub" TargetMode="External" /><Relationship Type="http://schemas.openxmlformats.org/officeDocument/2006/relationships/hyperlink" Id="rId24" Target="https://github.com/tometchy/Bog-zachowal-swoj-Tekst-Wilbur-Pickering/raw/refs/heads/master/build/pdf/Bog-zachowal-swoj-Tekst-Wilbur-Pickering.pdf" TargetMode="External" /><Relationship Type="http://schemas.openxmlformats.org/officeDocument/2006/relationships/hyperlink" Id="rId22" Target="https://tometchy.github.io/Bog-zachowal-swoj-Tekst-Wilbur-Pickering" TargetMode="External" /><Relationship Type="http://schemas.openxmlformats.org/officeDocument/2006/relationships/hyperlink" Id="rId20" Target="https://web.archive.org/web/20240804201013/https://www.prunch.com.br/wp-content/uploads/2021/07/God-Has-Preserved-His-Text-4th.pdf" TargetMode="External" /><Relationship Type="http://schemas.openxmlformats.org/officeDocument/2006/relationships/hyperlink" Id="rId21" Target="https://www.wswch.pl/" TargetMode="External" /></Relationships>
</file>

<file path=word/_rels/footnotes.xml.rels><?xml version="1.0" encoding="UTF-8"?><Relationships xmlns="http://schemas.openxmlformats.org/package/2006/relationships"><Relationship Type="http://schemas.openxmlformats.org/officeDocument/2006/relationships/hyperlink" Id="rId58"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4" Target="https://core.ac.uk/download/pdf/47225227.pdf" TargetMode="External" /><Relationship Type="http://schemas.openxmlformats.org/officeDocument/2006/relationships/hyperlink" Id="rId26" Target="https://creativecommons.org/licenses/by-sa/4.0/" TargetMode="External" /><Relationship Type="http://schemas.openxmlformats.org/officeDocument/2006/relationships/hyperlink" Id="rId27" Target="https://creativecommons.org/licenses/by-sa/4.0/deed.pl#ref-indicate-changes" TargetMode="External" /><Relationship Type="http://schemas.openxmlformats.org/officeDocument/2006/relationships/hyperlink" Id="rId28" Target="https://creativecommons.org/licenses/by-sa/4.0/deed.pl#ref-same-license" TargetMode="External" /><Relationship Type="http://schemas.openxmlformats.org/officeDocument/2006/relationships/hyperlink" Id="rId25" Target="https://github.com/tometchy/Bog-zachowal-swoj-Tekst-Wilbur-Pickering/raw/refs/heads/master/build/docx/Bog-zachowal-swoj-Tekst-Wilbur-Pickering.docx" TargetMode="External" /><Relationship Type="http://schemas.openxmlformats.org/officeDocument/2006/relationships/hyperlink" Id="rId23" Target="https://github.com/tometchy/Bog-zachowal-swoj-Tekst-Wilbur-Pickering/raw/refs/heads/master/build/epub/Bog-zachowal-swoj-Tekst-Wilbur-Pickering.epub" TargetMode="External" /><Relationship Type="http://schemas.openxmlformats.org/officeDocument/2006/relationships/hyperlink" Id="rId24" Target="https://github.com/tometchy/Bog-zachowal-swoj-Tekst-Wilbur-Pickering/raw/refs/heads/master/build/pdf/Bog-zachowal-swoj-Tekst-Wilbur-Pickering.pdf" TargetMode="External" /><Relationship Type="http://schemas.openxmlformats.org/officeDocument/2006/relationships/hyperlink" Id="rId22" Target="https://tometchy.github.io/Bog-zachowal-swoj-Tekst-Wilbur-Pickering" TargetMode="External" /><Relationship Type="http://schemas.openxmlformats.org/officeDocument/2006/relationships/hyperlink" Id="rId20" Target="https://web.archive.org/web/20240804201013/https://www.prunch.com.br/wp-content/uploads/2021/07/God-Has-Preserved-His-Text-4th.pdf" TargetMode="External" /><Relationship Type="http://schemas.openxmlformats.org/officeDocument/2006/relationships/hyperlink" Id="rId21"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2025-11-01T07:01:18Z</dcterms:created>
  <dcterms:modified xsi:type="dcterms:W3CDTF">2025-11-01T07:01:18Z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