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55.jpg" ContentType="image/jpe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od-tłumacza"/>
    <w:p>
      <w:pPr>
        <w:pStyle w:val="Heading1"/>
      </w:pPr>
      <w:r>
        <w:t xml:space="preserve">Od tłumacza</w:t>
      </w:r>
    </w:p>
    <w:p>
      <w:pPr>
        <w:pStyle w:val="FirstParagraph"/>
      </w:pPr>
      <w:r>
        <w:t xml:space="preserve">Tłumaczenie czwartej edycji książki</w:t>
      </w:r>
      <w:r>
        <w:t xml:space="preserve"> </w:t>
      </w:r>
      <w:hyperlink r:id="rId20">
        <w:r>
          <w:rPr>
            <w:rStyle w:val="Hyperlink"/>
            <w:iCs/>
            <w:i/>
          </w:rPr>
          <w:t xml:space="preserve">GOD HAS PRESERVED HIS TEXT! The Divine Preservation of the New Testament</w:t>
        </w:r>
      </w:hyperlink>
      <w:r>
        <w:br/>
      </w:r>
      <w:r>
        <w:t xml:space="preserve">ISBN: 978-0-9974686-9-4</w:t>
      </w:r>
      <w:r>
        <w:br/>
      </w:r>
      <w:r>
        <w:rPr>
          <w:iCs/>
          <w:i/>
        </w:rPr>
        <w:t xml:space="preserve">Wilbur N. Pickering</w:t>
      </w:r>
    </w:p>
    <w:p>
      <w:pPr>
        <w:pStyle w:val="BodyText"/>
      </w:pPr>
      <w:r>
        <w:t xml:space="preserve">Tłumaczenie wykonał Tomasz Skraskowski dla</w:t>
      </w:r>
      <w:r>
        <w:t xml:space="preserve"> </w:t>
      </w:r>
      <w:hyperlink r:id="rId21">
        <w:r>
          <w:rPr>
            <w:rStyle w:val="Hyperlink"/>
          </w:rPr>
          <w:t xml:space="preserve">Wydawnictwa Świadome Chrześcijaństwo</w:t>
        </w:r>
      </w:hyperlink>
      <w:r>
        <w:t xml:space="preserve">. Zdjęcia dodane przez tłumacza zazaczone są adnotacją</w:t>
      </w:r>
      <w:r>
        <w:t xml:space="preserve"> </w:t>
      </w:r>
      <w:r>
        <w:rPr>
          <w:iCs/>
          <w:i/>
        </w:rPr>
        <w:t xml:space="preserve">[zdj. tłum.]</w:t>
      </w:r>
      <w:r>
        <w:t xml:space="preserve">, przypisy dodane przez tłumacza zaznaczone są adnotacją</w:t>
      </w:r>
      <w:r>
        <w:t xml:space="preserve"> </w:t>
      </w:r>
      <w:r>
        <w:rPr>
          <w:iCs/>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2">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3">
        <w:r>
          <w:rPr>
            <w:rStyle w:val="Hyperlink"/>
          </w:rPr>
          <w:t xml:space="preserve">EPUB</w:t>
        </w:r>
      </w:hyperlink>
    </w:p>
    <w:p>
      <w:pPr>
        <w:numPr>
          <w:ilvl w:val="0"/>
          <w:numId w:val="1001"/>
        </w:numPr>
        <w:pStyle w:val="Compact"/>
      </w:pPr>
      <w:hyperlink r:id="rId24">
        <w:r>
          <w:rPr>
            <w:rStyle w:val="Hyperlink"/>
          </w:rPr>
          <w:t xml:space="preserve">PDF</w:t>
        </w:r>
      </w:hyperlink>
    </w:p>
    <w:p>
      <w:pPr>
        <w:numPr>
          <w:ilvl w:val="0"/>
          <w:numId w:val="1001"/>
        </w:numPr>
        <w:pStyle w:val="Compact"/>
      </w:pPr>
      <w:hyperlink r:id="rId25">
        <w:r>
          <w:rPr>
            <w:rStyle w:val="Hyperlink"/>
          </w:rPr>
          <w:t xml:space="preserve">DOCX</w:t>
        </w:r>
      </w:hyperlink>
    </w:p>
    <w:p>
      <w:pPr>
        <w:pStyle w:val="FirstParagraph"/>
      </w:pPr>
      <w:r>
        <w:rPr>
          <w:iCs/>
          <w:i/>
        </w:rPr>
        <w:t xml:space="preserve">© 2021 Wilbur N. Pickering</w:t>
      </w:r>
      <w:r>
        <w:br/>
      </w:r>
      <w:r>
        <w:t xml:space="preserve">Oryginał dostępny na http://thechristiancommons.com.</w:t>
      </w:r>
    </w:p>
    <w:p>
      <w:pPr>
        <w:pStyle w:val="BodyText"/>
      </w:pPr>
      <w:r>
        <w:t xml:space="preserve">Udostępniono na licencji:</w:t>
      </w:r>
      <w:r>
        <w:br/>
      </w:r>
      <w:r>
        <w:rPr>
          <w:iCs/>
          <w:i/>
        </w:rPr>
        <w:t xml:space="preserve">Uznanie autorstwa - Na tych samych warunkach 4.0 Międzynarodowa</w:t>
      </w:r>
      <w:r>
        <w:br/>
      </w:r>
      <w:r>
        <w:t xml:space="preserve">CC BY-SA 4.0 -</w:t>
      </w:r>
      <w:r>
        <w:t xml:space="preserve"> </w:t>
      </w:r>
      <w:hyperlink r:id="rId26">
        <w:r>
          <w:rPr>
            <w:rStyle w:val="Hyperlink"/>
          </w:rPr>
          <w:t xml:space="preserve">creativecommons.org/licenses/by-sa/4.0</w:t>
        </w:r>
      </w:hyperlink>
    </w:p>
    <w:p>
      <w:pPr>
        <w:pStyle w:val="BodyText"/>
      </w:pPr>
      <w:r>
        <w:t xml:space="preserve">Licencja zezwala na:</w:t>
      </w:r>
    </w:p>
    <w:p>
      <w:pPr>
        <w:numPr>
          <w:ilvl w:val="0"/>
          <w:numId w:val="1002"/>
        </w:numPr>
        <w:pStyle w:val="Compact"/>
      </w:pPr>
      <w:r>
        <w:rPr>
          <w:bCs/>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Cs/>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Cs/>
          <w:b/>
        </w:rPr>
        <w:t xml:space="preserve">Uznanie autorstwa</w:t>
      </w:r>
      <w:r>
        <w:t xml:space="preserve"> </w:t>
      </w:r>
      <w:r>
        <w:t xml:space="preserve">— Utwór należy oznaczyć słowami</w:t>
      </w:r>
      <w:r>
        <w:t xml:space="preserve"> </w:t>
      </w:r>
      <w:r>
        <w:t xml:space="preserve">“</w:t>
      </w:r>
      <w:r>
        <w:rPr>
          <w:iCs/>
          <w:i/>
        </w:rPr>
        <w:t xml:space="preserve">Oryginał dostępny na http://thechristiancommons.com.</w:t>
      </w:r>
      <w:r>
        <w:t xml:space="preserve">”</w:t>
      </w:r>
      <w:r>
        <w:t xml:space="preserve">, podać link do licencji i</w:t>
      </w:r>
      <w:r>
        <w:t xml:space="preserve"> </w:t>
      </w:r>
      <w:hyperlink r:id="rId27">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Cs/>
          <w:b/>
        </w:rPr>
        <w:t xml:space="preserve">Na tych samych warunkach</w:t>
      </w:r>
      <w:r>
        <w:t xml:space="preserve"> </w:t>
      </w:r>
      <w:r>
        <w:t xml:space="preserve">— Remiksując utwór, przetwarzając go lub tworząc na jego podstawie, należy swoje dzieło rozpowszechniać na</w:t>
      </w:r>
      <w:r>
        <w:t xml:space="preserve"> </w:t>
      </w:r>
      <w:hyperlink r:id="rId28">
        <w:r>
          <w:rPr>
            <w:rStyle w:val="Hyperlink"/>
          </w:rPr>
          <w:t xml:space="preserve">tej samej licencji</w:t>
        </w:r>
      </w:hyperlink>
      <w:r>
        <w:t xml:space="preserve">, co oryginał.</w:t>
      </w:r>
    </w:p>
    <w:p>
      <w:pPr>
        <w:numPr>
          <w:ilvl w:val="0"/>
          <w:numId w:val="1003"/>
        </w:numPr>
        <w:pStyle w:val="Compact"/>
      </w:pPr>
      <w:r>
        <w:rPr>
          <w:bCs/>
          <w:b/>
        </w:rPr>
        <w:t xml:space="preserve">Brak dodatkowych ograniczeń</w:t>
      </w:r>
      <w:r>
        <w:t xml:space="preserve"> </w:t>
      </w:r>
      <w:r>
        <w:t xml:space="preserve">— Nie możesz korzystać ze środków prawnych lub technologicznych, które ograniczają innych w korzystaniu z utworu na warunkach określonych w licencji.</w:t>
      </w:r>
    </w:p>
    <w:bookmarkStart w:id="29" w:name="wydawnictwo-świadome-chrześcijaństwo"/>
    <w:p>
      <w:pPr>
        <w:pStyle w:val="Heading2"/>
      </w:pPr>
      <w:r>
        <w:t xml:space="preserve">Wydawnictwo Świadome Chrześcijaństwo</w:t>
      </w:r>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Cs/>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1">
        <w:r>
          <w:rPr>
            <w:rStyle w:val="Hyperlink"/>
          </w:rPr>
          <w:t xml:space="preserve">wswch.pl</w:t>
        </w:r>
      </w:hyperlink>
      <w:r>
        <w:t xml:space="preserve">.</w:t>
      </w:r>
    </w:p>
    <w:bookmarkEnd w:id="29"/>
    <w:bookmarkEnd w:id="30"/>
    <w:bookmarkStart w:id="34" w:name="przedmowa"/>
    <w:p>
      <w:pPr>
        <w:pStyle w:val="Heading1"/>
      </w:pPr>
      <w:r>
        <w:t xml:space="preserve">Przedmowa</w:t>
      </w:r>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1"/>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2"/>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3"/>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Cs/>
          <w:i/>
        </w:rPr>
        <w:t xml:space="preserve">The Sovereign Creator Has Spoken: Objective Authority for Living, Second Edition</w:t>
      </w:r>
      <w:r>
        <w:t xml:space="preserve">, dostępne na jego stronie www.prunch.org oraz na Amazon.com.</w:t>
      </w:r>
    </w:p>
    <w:bookmarkEnd w:id="34"/>
    <w:bookmarkStart w:id="36" w:name="podziękowania"/>
    <w:p>
      <w:pPr>
        <w:pStyle w:val="Heading1"/>
      </w:pPr>
      <w:r>
        <w:t xml:space="preserve">Podziękowania</w:t>
      </w:r>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5"/>
      </w:r>
      <w:r>
        <w:t xml:space="preserve">.</w:t>
      </w:r>
    </w:p>
    <w:bookmarkEnd w:id="36"/>
    <w:bookmarkStart w:id="95" w:name="część-i-dowody-historyczne"/>
    <w:p>
      <w:pPr>
        <w:pStyle w:val="Heading1"/>
      </w:pPr>
      <w:r>
        <w:t xml:space="preserve">CZĘŚĆ I: Dowody historyczne</w:t>
      </w:r>
    </w:p>
    <w:bookmarkStart w:id="64" w:name="preambuła"/>
    <w:p>
      <w:pPr>
        <w:pStyle w:val="Heading2"/>
      </w:pPr>
      <w:r>
        <w:t xml:space="preserve">Preambuła</w:t>
      </w:r>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7"/>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38"/>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39"/>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0"/>
      </w:r>
      <w:r>
        <w:t xml:space="preserve"> </w:t>
      </w:r>
      <w:r>
        <w:t xml:space="preserve">– to po prostu głupie, absurdalnie niemożliwe! W USA jest wysokie plateau (mesa)</w:t>
      </w:r>
      <w:r>
        <w:rPr>
          <w:rStyle w:val="FootnoteReference"/>
        </w:rPr>
        <w:footnoteReference w:id="41"/>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2"/>
      </w:r>
      <w:r>
        <w:t xml:space="preserve">.</w:t>
      </w:r>
    </w:p>
    <w:p>
      <w:pPr>
        <w:pStyle w:val="BodyText"/>
      </w:pPr>
      <w:r>
        <w:drawing>
          <wp:inline>
            <wp:extent cx="5334000" cy="4000500"/>
            <wp:effectExtent b="0" l="0" r="0" t="0"/>
            <wp:docPr descr="Góra Chief Mountain" title="" id="44" name="Picture"/>
            <a:graphic>
              <a:graphicData uri="http://schemas.openxmlformats.org/drawingml/2006/picture">
                <pic:pic>
                  <pic:nvPicPr>
                    <pic:cNvPr descr="images/Chief_Mountain.jp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Cs/>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Cs/>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Cs/>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Cs/>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52" name="Picture"/>
            <a:graphic>
              <a:graphicData uri="http://schemas.openxmlformats.org/drawingml/2006/picture">
                <pic:pic>
                  <pic:nvPicPr>
                    <pic:cNvPr descr="images/Paluxy_River_Taylor_Site,_Glen_Rose,_Texas._Two_elongate_footprints.png" id="53"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4">
        <w:r>
          <w:rPr>
            <w:rStyle w:val="Hyperlink"/>
          </w:rPr>
          <w:t xml:space="preserve">core.ac.uk/download/pdf/47225227.pdf</w:t>
        </w:r>
      </w:hyperlink>
    </w:p>
    <w:p>
      <w:pPr>
        <w:pStyle w:val="BodyText"/>
      </w:pPr>
      <w:r>
        <w:drawing>
          <wp:inline>
            <wp:extent cx="5334000" cy="4000500"/>
            <wp:effectExtent b="0" l="0" r="0" t="0"/>
            <wp:docPr descr="Creation Evidences Museum" title="" id="56" name="Picture"/>
            <a:graphic>
              <a:graphicData uri="http://schemas.openxmlformats.org/drawingml/2006/picture">
                <pic:pic>
                  <pic:nvPicPr>
                    <pic:cNvPr descr="images/Creation_Evidence_Museum_Original.jpeg" id="57"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8">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9"/>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60"/>
      </w:r>
      <w:r>
        <w:t xml:space="preserve">. Ewolucjoniści twierdzą, że granit krystalizował się przez 300 milionów lat, ale w granicie występują „pierścienie polonowe” (ang. Polonium haloes)</w:t>
      </w:r>
      <w:r>
        <w:rPr>
          <w:rStyle w:val="FootnoteReference"/>
        </w:rPr>
        <w:footnoteReference w:id="61"/>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62"/>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63"/>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bookmarkEnd w:id="64"/>
    <w:bookmarkStart w:id="86" w:name="wprowadzenie"/>
    <w:p>
      <w:pPr>
        <w:pStyle w:val="Heading2"/>
      </w:pPr>
      <w:r>
        <w:t xml:space="preserve">Wprowadzenie</w:t>
      </w:r>
    </w:p>
    <w:bookmarkStart w:id="80" w:name="natchnienie"/>
    <w:p>
      <w:pPr>
        <w:pStyle w:val="Heading3"/>
      </w:pPr>
      <w:r>
        <w:t xml:space="preserve">Natchnienie</w:t>
      </w:r>
    </w:p>
    <w:p>
      <w:pPr>
        <w:pStyle w:val="FirstParagraph"/>
      </w:pPr>
      <w:r>
        <w:t xml:space="preserve">Gdy piszę książkę</w:t>
      </w:r>
      <w:r>
        <w:rPr>
          <w:rStyle w:val="FootnoteReference"/>
        </w:rPr>
        <w:footnoteReference w:id="65"/>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Cs/>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Cs/>
          <w:b/>
        </w:rPr>
        <w:t xml:space="preserve">tylko wieczny Byt mógł wydać wieczne Słowo</w:t>
      </w:r>
      <w:r>
        <w:rPr>
          <w:rStyle w:val="FootnoteReference"/>
        </w:rPr>
        <w:footnoteReference w:id="66"/>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7"/>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8"/>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9"/>
      </w:r>
    </w:p>
    <w:p>
      <w:pPr>
        <w:pStyle w:val="BodyText"/>
      </w:pPr>
      <w:r>
        <w:rPr>
          <w:iCs/>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70"/>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71"/>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72"/>
      </w:r>
      <w:r>
        <w:t xml:space="preserve"> </w:t>
      </w:r>
      <w:r>
        <w:t xml:space="preserve">Ewangelii Chrystusa</w:t>
      </w:r>
      <w:r>
        <w:rPr>
          <w:rStyle w:val="FootnoteReference"/>
        </w:rPr>
        <w:footnoteReference w:id="73"/>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4"/>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5"/>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6"/>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Cs/>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7"/>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8"/>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9"/>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bookmarkEnd w:id="80"/>
    <w:bookmarkStart w:id="82" w:name="oświecenie"/>
    <w:p>
      <w:pPr>
        <w:pStyle w:val="Heading3"/>
      </w:pPr>
      <w:r>
        <w:t xml:space="preserve">Oświecenie</w:t>
      </w:r>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81"/>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bookmarkEnd w:id="82"/>
    <w:bookmarkStart w:id="85" w:name="kanon"/>
    <w:p>
      <w:pPr>
        <w:pStyle w:val="Heading3"/>
      </w:pPr>
      <w:r>
        <w:t xml:space="preserve">Kanon</w:t>
      </w:r>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3"/>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4"/>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bookmarkEnd w:id="85"/>
    <w:bookmarkEnd w:id="86"/>
    <w:bookmarkStart w:id="94" w:name="historyczne-dowody-na-zachowanie"/>
    <w:p>
      <w:pPr>
        <w:pStyle w:val="Heading2"/>
      </w:pPr>
      <w:r>
        <w:t xml:space="preserve">Historyczne dowody na Zachowanie</w:t>
      </w:r>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7"/>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bookmarkStart w:id="93" w:name="autografy"/>
    <w:p>
      <w:pPr>
        <w:pStyle w:val="Heading3"/>
      </w:pPr>
      <w:r>
        <w:t xml:space="preserve">Autografy</w:t>
      </w:r>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Kiedy Mateusz „opublikował” swoją Ewangelię w 38 roku n.e.</w:t>
      </w:r>
      <w:r>
        <w:rPr>
          <w:rStyle w:val="FootnoteReference"/>
        </w:rPr>
        <w:footnoteReference w:id="88"/>
      </w:r>
      <w:r>
        <w:t xml:space="preserve">, produkcja książek w Imperium Rzymskim była powszechna, ale nie istniało coś takiego jak „prawa autorskie”. Gdy tylko książka trafiała do obiegu, stawała się „domeną publiczną” i każdy mógł z niej korzystać oraz wprowadzać w niej zmiany. Jeśli więc Duch Święty chciał chronić dzieła, które natchnął, przed swobodną edycją, co mógł zrobić? Sugeruję, że najbardziej oczywistym sposobem byłoby „opublikowanie” tych dzieł w formie wielu egzemplarzy. Dzisiaj pierwszy nakład książki wynosi zazwyczaj tysiące egzemplarzy, ale w tamtych czasach każdy egzemplarz musiał być napisany ręcznie (rękopis).</w:t>
      </w:r>
    </w:p>
    <w:p>
      <w:pPr>
        <w:pStyle w:val="BodyText"/>
      </w:pPr>
      <w:r>
        <w:t xml:space="preserve">Książka wielkości Ewangelii Mateusza wymagałaby znacznego nakładu czasu i wysiłku, a także papirusu i atramentu. Wierzę, że pisma Nowego Testamentu od początku były przygotowywane w formie książkowej (a nie zwojów), a wykorzystanym materiałem był prawdopodobnie papirus.</w:t>
      </w:r>
      <w:r>
        <w:rPr>
          <w:rStyle w:val="FootnoteReference"/>
        </w:rPr>
        <w:footnoteReference w:id="89"/>
      </w:r>
      <w:r>
        <w:t xml:space="preserve"> </w:t>
      </w:r>
      <w:r>
        <w:t xml:space="preserve">Jednakże papirus nie wytrzymuje częstego używania, a do roku 38 było wiele chrześcijańskich zborów na samym na terytorium żydowskim, nie wspominając o innych miejscach. Jeśli Duch Święty zamierzał, aby pisma Nowego Testamentu miały szeroki obieg, co wydaje się oczywiste, konieczne byłoby zacząć od wielu egzemplarzy.</w:t>
      </w:r>
    </w:p>
    <w:p>
      <w:pPr>
        <w:pStyle w:val="BodyText"/>
      </w:pPr>
      <w:r>
        <w:t xml:space="preserve">Jeden egzemplarz Ewangelii Mateusza rozpadłby się, zanim dotarłby do dwudziestego zboru (gdyby był na papirusie).</w:t>
      </w:r>
    </w:p>
    <w:p>
      <w:pPr>
        <w:pStyle w:val="BodyText"/>
      </w:pPr>
      <w:r>
        <w:t xml:space="preserve">Ale dlaczego nalegam na papirus zamiast pergaminu? Cóż, pojedynczy egzemplarz Ewangelii Mateusza wymagałby około piętnastu owiec lub kóz, zatem kto mógłby sobie pozwolić na wiele kopii? Niemniej jednak, oryginalny egzemplarz mógł rzeczywiście zostać wykonany na pergaminie z dwóch powodów:</w:t>
      </w:r>
    </w:p>
    <w:p>
      <w:pPr>
        <w:numPr>
          <w:ilvl w:val="0"/>
          <w:numId w:val="1006"/>
        </w:numPr>
        <w:pStyle w:val="Compact"/>
      </w:pPr>
      <w:r>
        <w:t xml:space="preserve">jeśli oryginalny egzemplarz miał być przechowywany, w celu kontroli jakości, powinien być wykonany na trwałym materiale</w:t>
      </w:r>
    </w:p>
    <w:p>
      <w:pPr>
        <w:numPr>
          <w:ilvl w:val="0"/>
          <w:numId w:val="1006"/>
        </w:numPr>
        <w:pStyle w:val="Compact"/>
      </w:pPr>
      <w:r>
        <w:t xml:space="preserve">jeśli wiele kopii oryginalnego egzemplarza miało zostać sporządzonych przed udostępnieniem publicznie, oryginalny egzemplarz na papirusie mógłby nie przetrwać</w:t>
      </w:r>
    </w:p>
    <w:p>
      <w:pPr>
        <w:pStyle w:val="FirstParagraph"/>
      </w:pPr>
      <w:r>
        <w:t xml:space="preserve">Pomysł wydania książki w wielu egzemplarzach można wywnioskować z Listów. 2 List do Koryntian został napisany do „kościoła Bożego, który jest w Koryncie, wraz ze wszystkimi świętymi, którzy są w całej Achai” (werset 1). Ile zborów było „w całej Achai”? Czy Paweł myślał o wielu egzemplarzach? 1 List do Koryntian był zaadresowany do „wszystkich tych, wszędzie, którzy wzywają imienia naszego Pana Jezusa Chrystusa” (werset 2). Teraz, ile egzemplarzy byłoby</w:t>
      </w:r>
      <w:r>
        <w:t xml:space="preserve"> </w:t>
      </w:r>
      <w:r>
        <w:rPr>
          <w:bCs/>
          <w:b/>
        </w:rPr>
        <w:t xml:space="preserve">do tego</w:t>
      </w:r>
      <w:r>
        <w:t xml:space="preserve"> </w:t>
      </w:r>
      <w:r>
        <w:t xml:space="preserve">potrzebnych? List do Galacjan został napisany do „kościołów w Galacji” (werset 2). Czy jeden egzemplarz mógłby trafić do nich wszystkich?</w:t>
      </w:r>
    </w:p>
    <w:p>
      <w:pPr>
        <w:pStyle w:val="BodyText"/>
      </w:pPr>
      <w:r>
        <w:t xml:space="preserve">Rozważ przypadek pierwszego listu Piotra: jest on zaadresowany do wiernych w „Ponto, Galacji, Kapadocji, Azji i Bitynii” (werset 1). Zatem, na jakiej podstawie Piotr (apostoł obrzezanych, Galacjan 2,8) mógł pisać do ludzi w tych miejscach? Prawdopodobnie wielu starszych przywódców było z Piotrem w dniu Pięćdziesiątnicy i osiadło podczas jego posługi, dopóki prześladowania pod wodzą Saula nie zmusiły ich do powrotu do domu, przypuszczalnie (Dz 8,4). Zwróć uwagę, że lista miejsc w Dziejach Apostolskich 2,9-11 obejmuje następujące miejsca w Azji Mniejszej: Azja, Kapadocja, Pamfylia, Frygia i Pont. Trzy z tych pięciu miejsc znajdują się na liście Piotra i nie musimy zakładać, że jego lista była kompletna, tak samo, jak lista w Dziejach Apostolskich 2,9-11 prawdopodobnie nie jest kompletna.</w:t>
      </w:r>
    </w:p>
    <w:p>
      <w:pPr>
        <w:pStyle w:val="BodyText"/>
      </w:pPr>
      <w:r>
        <w:t xml:space="preserve">Czy kiedykolwiek spojrzałeś na mapę, aby zobaczyć położenie pięciu prowincji Piotra? Zasadniczo obejmują one całą Azję Mniejszą (dzisiejszą Turcję)! Wydaje się, że termin „Azja” był używany w różny sposób. W Dziejach Apostolskich 27,2 Azja obejmuje Cylicję i Pamfilię (werset 5). Uwielbiony Chrystus umieścił siedem kościołów w Azji (Objawienie 1,4). W Dziejach Apostolskich 16,6 termin ten wydaje się odnosić do bardziej ograniczonego obszaru, który, jednakże, prawdopodobnie obejmował Efez, do którego Paweł powrócił później. Prokonsularna Azja</w:t>
      </w:r>
      <w:r>
        <w:rPr>
          <w:rStyle w:val="FootnoteReference"/>
        </w:rPr>
        <w:footnoteReference w:id="90"/>
      </w:r>
      <w:r>
        <w:t xml:space="preserve"> </w:t>
      </w:r>
      <w:r>
        <w:t xml:space="preserve">obejmowała Mysję i Frygię. Ile więc mogło być wszystkich zborów w Azji Mniejszej? I jak pojedynczy egzemplarz mógł trafić do wszystkich z nich? Jeżeli list był napisany na papirusie (co wydaje się prawdopodobne – tańszy, łatwiej dostępny), rozpadłby się po dotarciu do dwudziestego zboru, jeśli nie wcześniej (papirus nie wytrzymuje tak dużego obciążenia).</w:t>
      </w:r>
    </w:p>
    <w:p>
      <w:pPr>
        <w:pStyle w:val="BodyText"/>
      </w:pPr>
      <w:r>
        <w:t xml:space="preserve">Załóżmy teraz, dla celów dyskusji, że Piotr wysłał pięć kopii swojego listu, po jednej do każdej prowincji. Jakie implikacje miałoby to dla przekazywania tego Tekstu? Oznacza to, że zwielokrotniasz proces i postęp przekazywania pięciokrotnie! Oznacza to, że masz początki „tekstu większościowego” już na bardzo wczesnym etapie. Oznacza to, że podstawowa integralność tekstu byłaby zagwarantowana (tym bardziej, jeśli Bóg nadzorował ten proces). Gdyby Piotr wysłał więcej niż pięć kopii, tym lepiej. A co z Jakubem, ile kopii potrzeba, aby dotrzeć do „dwunastu plemion, które są w rozproszeniu” (werset 1)? (Czy samo określenie „rozproszenie” nie sugeruje, że byli oni szeroko rozsiani? A co, jeśli „dwanaście plemion” jest dosłowne?) Drugi list Piotra nie wymienia pięciu prowincji, ale 3,1 wydaje się wskazywać, że celował on w ten sam obszar.</w:t>
      </w:r>
    </w:p>
    <w:p>
      <w:pPr>
        <w:pStyle w:val="BodyText"/>
      </w:pPr>
      <w:r>
        <w:t xml:space="preserve">Aby zobaczyć, że nie wyciągnąłem pomysłu wielu kopii z powietrza, rozważmy 2 List Piotra 1,12-15. Wersety 12 i 13 odnoszą się do powtarzających się przypomnień, podczas gdy wciąż przebywa on w swoim „namiocie”, co byłoby jego własną, bieżącą działalnością, dlaczego więc w wersecie 15 pojawia się słowo „ponadto”? W NKJV</w:t>
      </w:r>
      <w:r>
        <w:rPr>
          <w:rStyle w:val="FootnoteReference"/>
        </w:rPr>
        <w:footnoteReference w:id="91"/>
      </w:r>
      <w:r>
        <w:t xml:space="preserve"> </w:t>
      </w:r>
      <w:r>
        <w:t xml:space="preserve">werset 15 brzmi: „Ponadto będę uważał, żeby zapewnić, że zawsze macie przypomnienie o tych rzeczach po mojej śmierci”. Cóż, jak możesz „zapewnić”, że ktoś będzie „zawsze miał przypomnienie” o czymś? Wydaje mi się oczywiste, że to coś musi zostać zapisane, przypomnienie musi mieć formę pisemną, aby było gwarantowane. Jakie są więc intencje Piotra? Określa on „przypomnienie tych rzeczy”, więc czym są „te rzeczy”? Są to ewidentnie sprawy, które omówi w tym liście. Musi jednak odnosić się do czegoś więcej niż tylko wstępnego konspektu listu (w przeciwnym razie werset staje się bezsensowny) – stąd wiele kopii.</w:t>
      </w:r>
      <w:r>
        <w:rPr>
          <w:rStyle w:val="FootnoteReference"/>
        </w:rPr>
        <w:footnoteReference w:id="92"/>
      </w:r>
    </w:p>
    <w:p>
      <w:pPr>
        <w:pStyle w:val="BodyText"/>
      </w:pPr>
      <w:r>
        <w:t xml:space="preserve">Jeśli Piotr napisał swój drugi list pod natchnieniem Bożym, to 1,15 jest natchniony, a w takim razie pomysł wielokrotnego kopiowania przyszedł od Boga. Byłoby to skutecznym sposobem zachowania Tekstu i zagwarantowania jego integralności przez lata przekazywania. Kościoły w Azji Mniejszej mogły zawsze sprawdzać między sobą, gdy pojawiały się wątpliwości lub była taka potrzeba. Jeśli to był pomysł Boga, aby mały list został „opublikowany” w formie wielu kopii, to o ileż bardziej większe księgi. Oczywiście Bóg wiedział, co robi, więc praktyka ta rozpoczęłaby się od pierwszej księgi Nowego Testamentu, Ewangelii Mateusza.</w:t>
      </w:r>
    </w:p>
    <w:p>
      <w:pPr>
        <w:pStyle w:val="BodyText"/>
      </w:pPr>
      <w:r>
        <w:t xml:space="preserve">If Peter wrote his second letter under divine inspiration, then 1,15 is inspired, and in that event the idea of multiple copies came from God. It would be an efficient means of preserving the Text and guaranteeing its integrity down through the years of transmission. The churches in Asia Minor could always cross check with one another whenever a doubt arose or need required. If it was God’s idea that a small letter be</w:t>
      </w:r>
      <w:r>
        <w:t xml:space="preserve"> </w:t>
      </w:r>
      <w:r>
        <w:t xml:space="preserve">‘</w:t>
      </w:r>
      <w:r>
        <w:t xml:space="preserve">published</w:t>
      </w:r>
      <w:r>
        <w:t xml:space="preserve">’</w:t>
      </w:r>
      <w:r>
        <w:t xml:space="preserve"> </w:t>
      </w:r>
      <w:r>
        <w:t xml:space="preserve">in the form of multiple copies, then how much more the larger books. Obviously God knew what He was doing, so the practice would have begun with the very first NT book, Matthew.</w:t>
      </w:r>
    </w:p>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Krytyka tekstu (łac.</w:t>
      </w:r>
      <w:r>
        <w:t xml:space="preserve"> </w:t>
      </w:r>
      <w:r>
        <w:rPr>
          <w:iCs/>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2">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3">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5">
    <w:p>
      <w:pPr>
        <w:pStyle w:val="FootnoteText"/>
      </w:pPr>
      <w:r>
        <w:rPr>
          <w:rStyle w:val="FootnoteReference"/>
        </w:rPr>
        <w:footnoteRef/>
      </w:r>
      <w:r>
        <w:t xml:space="preserve"> </w:t>
      </w:r>
      <w:r>
        <w:t xml:space="preserve">Oryginalna okładka i formatowanie nie zostało wykorzystane w polskim tłumaczeniu. [przyp. tłum.]</w:t>
      </w:r>
    </w:p>
  </w:footnote>
  <w:footnote w:id="37">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Cs/>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38">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Cs/>
          <w:i/>
        </w:rPr>
        <w:t xml:space="preserve">The Chimpanzee Sequencing and Analysis Consortium, Nature, 2005</w:t>
      </w:r>
      <w:r>
        <w:br/>
      </w:r>
      <w:r>
        <w:rPr>
          <w:iCs/>
          <w:i/>
        </w:rPr>
        <w:t xml:space="preserve">Evolutionary Rate at the Molecular Level - Kimura, 1968</w:t>
      </w:r>
      <w:r>
        <w:br/>
      </w:r>
      <w:r>
        <w:rPr>
          <w:iCs/>
          <w:i/>
        </w:rPr>
        <w:t xml:space="preserve">Why evolution is true - Jerry A. Coyne</w:t>
      </w:r>
    </w:p>
  </w:footnote>
  <w:footnote w:id="39">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0">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1">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2">
    <w:p>
      <w:pPr>
        <w:pStyle w:val="FootnoteText"/>
      </w:pPr>
      <w:r>
        <w:rPr>
          <w:rStyle w:val="FootnoteReference"/>
        </w:rPr>
        <w:footnoteRef/>
      </w:r>
      <w:r>
        <w:t xml:space="preserve"> </w:t>
      </w:r>
      <w:r>
        <w:t xml:space="preserve">Autorowi prawdopodobnie chodzi o</w:t>
      </w:r>
      <w:r>
        <w:t xml:space="preserve"> </w:t>
      </w:r>
      <w:r>
        <w:rPr>
          <w:iCs/>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9">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60">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61">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62">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63">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5">
    <w:p>
      <w:pPr>
        <w:pStyle w:val="FootnoteText"/>
      </w:pPr>
      <w:r>
        <w:rPr>
          <w:rStyle w:val="FootnoteReference"/>
        </w:rPr>
        <w:footnoteRef/>
      </w:r>
      <w:r>
        <w:t xml:space="preserve"> </w:t>
      </w:r>
      <w:r>
        <w:t xml:space="preserve">Do tej pory opublikowałem osiem, plus Tekst Grecki.</w:t>
      </w:r>
    </w:p>
  </w:footnote>
  <w:footnote w:id="66">
    <w:p>
      <w:pPr>
        <w:pStyle w:val="FootnoteText"/>
      </w:pPr>
      <w:r>
        <w:rPr>
          <w:rStyle w:val="FootnoteReference"/>
        </w:rPr>
        <w:footnoteRef/>
      </w:r>
      <w:r>
        <w:t xml:space="preserve"> </w:t>
      </w:r>
      <w:r>
        <w:t xml:space="preserve">Odniosłem się już do 1 Kronik 16,15.</w:t>
      </w:r>
    </w:p>
  </w:footnote>
  <w:footnote w:id="67">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8">
    <w:p>
      <w:pPr>
        <w:pStyle w:val="FootnoteText"/>
      </w:pPr>
      <w:r>
        <w:rPr>
          <w:rStyle w:val="FootnoteReference"/>
        </w:rPr>
        <w:footnoteRef/>
      </w:r>
      <w:r>
        <w:t xml:space="preserve"> </w:t>
      </w:r>
      <w:r>
        <w:t xml:space="preserve">Słowo przetłumaczone jako „wydanie” [ang.</w:t>
      </w:r>
      <w:r>
        <w:t xml:space="preserve"> </w:t>
      </w:r>
      <w:r>
        <w:rPr>
          <w:iCs/>
          <w:i/>
        </w:rPr>
        <w:t xml:space="preserve">release</w:t>
      </w:r>
      <w:r>
        <w:t xml:space="preserve">, gr.</w:t>
      </w:r>
      <w:r>
        <w:t xml:space="preserve"> </w:t>
      </w:r>
      <w:r>
        <w:rPr>
          <w:iCs/>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9">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70">
    <w:p>
      <w:pPr>
        <w:pStyle w:val="FootnoteText"/>
      </w:pPr>
      <w:r>
        <w:rPr>
          <w:rStyle w:val="FootnoteReference"/>
        </w:rPr>
        <w:footnoteRef/>
      </w:r>
      <w:r>
        <w:t xml:space="preserve"> </w:t>
      </w:r>
      <w:r>
        <w:t xml:space="preserve">Dostęp do Pisma jest niezbędny do duchowego wzrostu i pracy.</w:t>
      </w:r>
    </w:p>
  </w:footnote>
  <w:footnote w:id="71">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72">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3">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4">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5">
    <w:p>
      <w:pPr>
        <w:pStyle w:val="FootnoteText"/>
      </w:pPr>
      <w:r>
        <w:rPr>
          <w:rStyle w:val="FootnoteReference"/>
        </w:rPr>
        <w:footnoteRef/>
      </w:r>
      <w:r>
        <w:t xml:space="preserve"> </w:t>
      </w:r>
      <w:r>
        <w:t xml:space="preserve">Bardzo niewiele rozdziałów zostało napisanych w języku aramejskim.</w:t>
      </w:r>
    </w:p>
  </w:footnote>
  <w:footnote w:id="76">
    <w:p>
      <w:pPr>
        <w:pStyle w:val="FootnoteText"/>
      </w:pPr>
      <w:r>
        <w:rPr>
          <w:rStyle w:val="FootnoteReference"/>
        </w:rPr>
        <w:footnoteRef/>
      </w:r>
      <w:r>
        <w:t xml:space="preserve"> </w:t>
      </w:r>
      <w:r>
        <w:t xml:space="preserve">Więc nie mamy tu do czynienia z nauką w sensie obiektywnym.</w:t>
      </w:r>
    </w:p>
  </w:footnote>
  <w:footnote w:id="77">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8">
    <w:p>
      <w:pPr>
        <w:pStyle w:val="FootnoteText"/>
      </w:pPr>
      <w:r>
        <w:rPr>
          <w:rStyle w:val="FootnoteReference"/>
        </w:rPr>
        <w:footnoteRef/>
      </w:r>
      <w:r>
        <w:t xml:space="preserve"> </w:t>
      </w:r>
      <w:r>
        <w:t xml:space="preserve">Mowa o informacjach historycznych w Biblii, w porównaniu do proroctw. [przyp. tłum.]</w:t>
      </w:r>
    </w:p>
  </w:footnote>
  <w:footnote w:id="79">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81">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3">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4">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7">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 w:id="88">
    <w:p>
      <w:pPr>
        <w:pStyle w:val="FootnoteText"/>
      </w:pPr>
      <w:r>
        <w:rPr>
          <w:rStyle w:val="FootnoteReference"/>
        </w:rPr>
        <w:footnoteRef/>
      </w:r>
      <w:r>
        <w:t xml:space="preserve"> </w:t>
      </w:r>
      <w:r>
        <w:t xml:space="preserve">Kolofony [kolofon (stgr. κολοφών kolophōn „szczyt, wierzchołek, zwieńczenie pracy”) – formuła umieszczona na końcu średniowiecznej książki rękopiśmiennej, zawierająca tytuł dzieła, datację, imię pisarza itp. https://pl.wikipedia.org/wiki/Kolofon przyp. tłum.] w 50% rękopisów, włącznie z</w:t>
      </w:r>
      <w:r>
        <w:t xml:space="preserve"> </w:t>
      </w:r>
      <w:r>
        <w:t xml:space="preserve">“</w:t>
      </w:r>
      <w:r>
        <w:t xml:space="preserve">Rodziną 35</w:t>
      </w:r>
      <w:r>
        <w:t xml:space="preserve">”</w:t>
      </w:r>
      <w:r>
        <w:t xml:space="preserve"> </w:t>
      </w:r>
      <w:r>
        <w:t xml:space="preserve">[Nowy Testament Rodzina 35 (ang. Family 35 NT) – wersja Nowego Testamentu, która została przetłumaczona przez Wilbura N. Pickeringa, według którego angielskie wydanie tej Biblii zawiera dokładnie oryginalne sformułowania. Pickering porównał setki znanych greckich rękopisów NT, aby określić jedyną linię transmisji, która ma wykazalny archetyp dla każdej księgi NT. Wersja ta została przetłumaczona na język angielski, chiński, filipiński, portugalski i hiszpański. https://www.family35nt.org przyp. tłum.], podają, że Ewangelia Mateusza została „opublikowana” osiem lat po wniebowstąpieniu Chrystusa. Ponieważ Jezus wstąpił do nieba w 30 r. n.e., Ewangelia Mateusza została wydana w 38 r. Kolofony podają, że Ewangelia Marka została opublikowana dwa lata później (40 r.), a Ewangelia Łukasza kolejne pięć lat później (45 r.), a Ewangelia Jana w 62 r.</w:t>
      </w:r>
    </w:p>
  </w:footnote>
  <w:footnote w:id="89">
    <w:p>
      <w:pPr>
        <w:pStyle w:val="FootnoteText"/>
      </w:pPr>
      <w:r>
        <w:rPr>
          <w:rStyle w:val="FootnoteReference"/>
        </w:rPr>
        <w:footnoteRef/>
      </w:r>
      <w:r>
        <w:t xml:space="preserve"> </w:t>
      </w:r>
      <w:r>
        <w:t xml:space="preserve">„Przynieś księgi, zwłaszcza pergaminy” (2 Tymoteusza 4,13). Możemy z tego wywnioskować, że pergamin był już w użyciu, ale „księgi” były prawdopodobnie na papirusie, w przeciwnym wypadku, po co ten kontrast?</w:t>
      </w:r>
    </w:p>
  </w:footnote>
  <w:footnote w:id="90">
    <w:p>
      <w:pPr>
        <w:pStyle w:val="FootnoteText"/>
      </w:pPr>
      <w:r>
        <w:rPr>
          <w:rStyle w:val="FootnoteReference"/>
        </w:rPr>
        <w:footnoteRef/>
      </w:r>
      <w:r>
        <w:t xml:space="preserve"> </w:t>
      </w:r>
      <w:r>
        <w:t xml:space="preserve">Azja Prokonsularna (prowincja w Imperium Rzymskim) - region Azji Mniejszej, rządzony przez prokonsulów w czasach Cesarstwa Rzymskiego. Obszar ten był istotny dla społeczności chrześcijańskiej, szczególnie w okresie wczesnego chrześcijaństwa, ponieważ charakteryzowały się tam znaczące interakcje między miejscowymi wyznawcami. [przyp. tłum.]</w:t>
      </w:r>
      <w:r>
        <w:br/>
      </w:r>
      <w:r>
        <w:t xml:space="preserve">https://www.diki.pl/slownik-angielskiego?q=Proconsular+Asia</w:t>
      </w:r>
      <w:r>
        <w:br/>
      </w:r>
      <w:r>
        <w:t xml:space="preserve">https://www.wisdomlib.org/christianity/concept/proconsular-asia</w:t>
      </w:r>
    </w:p>
  </w:footnote>
  <w:footnote w:id="91">
    <w:p>
      <w:pPr>
        <w:pStyle w:val="FootnoteText"/>
      </w:pPr>
      <w:r>
        <w:rPr>
          <w:rStyle w:val="FootnoteReference"/>
        </w:rPr>
        <w:footnoteRef/>
      </w:r>
      <w:r>
        <w:t xml:space="preserve"> </w:t>
      </w:r>
      <w:r>
        <w:t xml:space="preserve">NKJV - Biblia, przekład New King James Version. [przyp. tłum.]</w:t>
      </w:r>
    </w:p>
  </w:footnote>
  <w:footnote w:id="92">
    <w:p>
      <w:pPr>
        <w:pStyle w:val="FootnoteText"/>
      </w:pPr>
      <w:r>
        <w:rPr>
          <w:rStyle w:val="FootnoteReference"/>
        </w:rPr>
        <w:footnoteRef/>
      </w:r>
      <w:r>
        <w:t xml:space="preserve"> </w:t>
      </w:r>
      <w:r>
        <w:t xml:space="preserve">To dr Mike Loehrer, pastor z Kalifornii, zwrócił moją uwagę na 2 List Piotra 1,12-15 i sprawił, że zacząłem się nad tym zastanawiać. W odniesieniu do wersetu 15 napisał mi następujące słowa: „Czy wybór słowa mneme [mnēme (μνήμη) — greckie słowo oznaczające pamięć lub wspomnienie, przyp. tłum.] wraz z poieo [poieō (ποιέω) — tworzyć, czynić, wytwarzać, od tego pochodzi np. słowo poezja (poiēsis), przyp. tłum.] w stronie medialnej [strona medialna (ang. middle voice) w grece oznacza działanie, które podmiot wykonuje dla siebie lub z którego sam korzysta (pomiędzy czynnością aktywną a bierną), przyp. tłum.] może oznaczać zapewnienie sposobu, aby zawsze móc weryfikować pamięć? W tamtych czasach większość ludzi nie mogła sobie pozwolić na własny egzemplarz pism, a kościół bez wątpienia stał by się magazynem autografów tak czy inaczej. W tamtych czasach standardowym sposobem pozyskiwania Pisma było zapamiętywanie go w trakcie słuchania, podczas publicznego czytania. Posiadanie wielu autografów w wielu różnych miejscach z pewnością zapewniałoby sposób na weryfikację pamięci. Nawet gdyby przywódcy kościoła lub synagogi zostali uwięzieni, a ich autografy skonfiskowane lub zniszczone, mogliby być spokojni, że będą mogli znaleźć inny autograf, aby zweryfikować swoją pamięć o tym, jak dany werset lub fragment został faktycznie napisany”.</w:t>
      </w:r>
      <w:r>
        <w:t xml:space="preserve"> </w:t>
      </w:r>
      <w:r>
        <w:t xml:space="preserve">Pomysł weryfikowania pamięci jest równie interesujący, co sugestywny. Użycie przez Piotra słowa μνήμη [mnēme, pamięć przyp. tłum.], zasadniczo zwrotnego, wraz z ποιέω [poieō, tworzyć, przyp. tłum.] w stronie medialnej, sprawia, że sugestia Mike’a wydaje mi się rozsądna. Jest to zgodne z wieloma kopiami. Ireneusz zastanawiał się nad wersetem 15 i wysunął sugestię, że Piotr zamierzał dostarczyć kopie Ewangelii Marka do tych regionów. Ewidentnie idea wielu kopii nie była mu obca. A co z innymi księgami?</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55" Target="media/rId55.jpg" /><Relationship Type="http://schemas.openxmlformats.org/officeDocument/2006/relationships/image" Id="rId51" Target="media/rId51.png" /><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_rels/footnotes.xml.rels><?xml version="1.0" encoding="UTF-8"?><Relationships xmlns="http://schemas.openxmlformats.org/package/2006/relationships"><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2025-10-31T04:47:31Z</dcterms:created>
  <dcterms:modified xsi:type="dcterms:W3CDTF">2025-10-31T04:47:31Z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