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w:t>
      </w:r>
      <w:r>
        <w:t xml:space="preserve"> </w:t>
      </w:r>
      <w:r>
        <w:t xml:space="preserve">“</w:t>
      </w:r>
      <w:r>
        <w:t xml:space="preserve">Wywyższyłeś Słowo swoje ponad wszelkie imię Twoje</w:t>
      </w:r>
      <w:r>
        <w:t xml:space="preserve">”</w:t>
      </w:r>
      <w:r>
        <w:t xml:space="preserve">. Ponieważ imię osoby reprezentuje tę osobę, sens tego stwierdzenia wydaje się być taki, że Słowo Boże reprezentuje Jego osobę jeszcze lepiej niż Jego imię.</w:t>
      </w:r>
      <w:r>
        <w:t xml:space="preserve"> </w:t>
      </w:r>
      <w:r>
        <w:t xml:space="preserve">“</w:t>
      </w:r>
      <w:r>
        <w:t xml:space="preserve">Na wieki, O PANIE, Słowo Twoje jest ustalone w niebie</w:t>
      </w:r>
      <w:r>
        <w:t xml:space="preserve">”</w:t>
      </w:r>
      <w:r>
        <w:t xml:space="preserve"> </w:t>
      </w:r>
      <w:r>
        <w:t xml:space="preserve">(Psalm 119,89). Jeśli Słowo jest w niebie, to musi być Boże, a tylko wieczny Byt mógł mydać wieczne Słowo. 1 List Piotra 1,25 cytuje Izajasza 40,8:</w:t>
      </w:r>
      <w:r>
        <w:t xml:space="preserve"> </w:t>
      </w:r>
      <w:r>
        <w:t xml:space="preserve">“</w:t>
      </w:r>
      <w:r>
        <w:t xml:space="preserve">Słowo, PANA trwa na wieki</w:t>
      </w:r>
      <w:r>
        <w:t xml:space="preserve">”</w:t>
      </w:r>
      <w:r>
        <w:t xml:space="preserve"> </w:t>
      </w:r>
      <w:r>
        <w:t xml:space="preserve">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„A Temu, który ma moc utwierdzić was według mojej Ewangelii i głoszenia Jezusa Chrystusa, według objawienia tajemnicy przez długie wieki ukrytej, 25 lecz teraz objawionej i przez pisma prorockie, na rozkaz odwiecznego Boga, oznajmionej wszystkim narodom, aby je przywieść do posłuszeństwa wierze.”</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Romans 14:24,</w:t>
      </w:r>
      <w:r>
        <w:t xml:space="preserve"> </w:t>
      </w:r>
      <w:r>
        <w:t xml:space="preserve">“</w:t>
      </w:r>
      <w:r>
        <w:t xml:space="preserve">Now to Him who has power to establish you according to my Gospel and the proclamation of Jesus Christ, according to the revelation of the mystery kept secret through long ages, 25 but now revealed and made known through the prophetic Scriptures, according to the command of the eternal God, with a view to obedience of faith among all ethnic nations.</w:t>
      </w:r>
      <w:r>
        <w:t xml:space="preserve">”</w:t>
      </w:r>
      <w:r>
        <w:t xml:space="preserve"> </w:t>
      </w:r>
      <w:r>
        <w:t xml:space="preserve">Since it is being revealed only</w:t>
      </w:r>
      <w:r>
        <w:t xml:space="preserve"> </w:t>
      </w:r>
      <w:r>
        <w:t xml:space="preserve">‘</w:t>
      </w:r>
      <w:r>
        <w:t xml:space="preserve">now</w:t>
      </w:r>
      <w:r>
        <w:t xml:space="preserve">’</w:t>
      </w:r>
      <w:r>
        <w:t xml:space="preserve">, these</w:t>
      </w:r>
      <w:r>
        <w:t xml:space="preserve"> </w:t>
      </w:r>
      <w:r>
        <w:t xml:space="preserve">‘</w:t>
      </w:r>
      <w:r>
        <w:t xml:space="preserve">prophetic Scriptures</w:t>
      </w:r>
      <w:r>
        <w:t xml:space="preserve">’</w:t>
      </w:r>
      <w:r>
        <w:t xml:space="preserve"> </w:t>
      </w:r>
      <w:r>
        <w:t xml:space="preserve">must be New Testament writings, given by God!</w:t>
      </w:r>
    </w:p>
    <w:p>
      <w:pPr>
        <w:pStyle w:val="BodyText"/>
      </w:pPr>
      <w:r>
        <w:t xml:space="preserve">5.2% of the Greek manuscripts place verses 24-26 at the end of the book, rather than</w:t>
      </w:r>
      <w:r>
        <w:t xml:space="preserve"> </w:t>
      </w:r>
      <w:r>
        <w:t xml:space="preserve">here. Paul habitually places doxologies throughout his letters—they do not occur only at</w:t>
      </w:r>
      <w:r>
        <w:t xml:space="preserve"> </w:t>
      </w:r>
      <w:r>
        <w:t xml:space="preserve">the end.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umieszcza doksologie w swoich listach - nie występują one tylko na</w:t>
      </w:r>
      <w:r>
        <w:t xml:space="preserve"> </w:t>
      </w:r>
      <w:r>
        <w:t xml:space="preserve">końcu.</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Wilbur-Pickering/blob/master/God-Has-Preserved-His-Text-4th.pdf"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Wilbur-Pickering/blob/master/God-Has-Preserved-His-Text-4th.pdf"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2025-07-03T05:34:32Z</dcterms:created>
  <dcterms:modified xsi:type="dcterms:W3CDTF">2025-07-03T05:34:32Z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