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55.jpg" ContentType="image/jpe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od-tłumacza"/>
    <w:p>
      <w:pPr>
        <w:pStyle w:val="Heading1"/>
      </w:pPr>
      <w:r>
        <w:t xml:space="preserve">Od tłumacza</w:t>
      </w:r>
    </w:p>
    <w:p>
      <w:pPr>
        <w:pStyle w:val="FirstParagraph"/>
      </w:pPr>
      <w:r>
        <w:t xml:space="preserve">Tłumaczenie czwartej edycji książki</w:t>
      </w:r>
      <w:r>
        <w:t xml:space="preserve"> </w:t>
      </w:r>
      <w:hyperlink r:id="rId20">
        <w:r>
          <w:rPr>
            <w:rStyle w:val="Hyperlink"/>
            <w:iCs/>
            <w:i/>
          </w:rPr>
          <w:t xml:space="preserve">GOD HAS PRESERVED HIS TEXT! The Divine Preservation of the New Testament</w:t>
        </w:r>
      </w:hyperlink>
      <w:r>
        <w:br/>
      </w:r>
      <w:r>
        <w:t xml:space="preserve">ISBN: 978-0-9974686-9-4</w:t>
      </w:r>
      <w:r>
        <w:br/>
      </w:r>
      <w:r>
        <w:rPr>
          <w:iCs/>
          <w:i/>
        </w:rPr>
        <w:t xml:space="preserve">Wilbur N. Pickering</w:t>
      </w:r>
    </w:p>
    <w:p>
      <w:pPr>
        <w:pStyle w:val="BodyText"/>
      </w:pPr>
      <w:r>
        <w:t xml:space="preserve">Tłumaczenie wykonał Tomasz Skraskowski dla</w:t>
      </w:r>
      <w:r>
        <w:t xml:space="preserve"> </w:t>
      </w:r>
      <w:hyperlink r:id="rId21">
        <w:r>
          <w:rPr>
            <w:rStyle w:val="Hyperlink"/>
          </w:rPr>
          <w:t xml:space="preserve">Wydawnictwa Świadome Chrześcijaństwo</w:t>
        </w:r>
      </w:hyperlink>
      <w:r>
        <w:t xml:space="preserve">. Zdjęcia dodane przez tłumacza zazaczone są adnotacją</w:t>
      </w:r>
      <w:r>
        <w:t xml:space="preserve"> </w:t>
      </w:r>
      <w:r>
        <w:rPr>
          <w:iCs/>
          <w:i/>
        </w:rPr>
        <w:t xml:space="preserve">[zdj. tłum.]</w:t>
      </w:r>
      <w:r>
        <w:t xml:space="preserve">, przypisy dodane przez tłumacza zaznaczone są adnotacją</w:t>
      </w:r>
      <w:r>
        <w:t xml:space="preserve"> </w:t>
      </w:r>
      <w:r>
        <w:rPr>
          <w:iCs/>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2">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3">
        <w:r>
          <w:rPr>
            <w:rStyle w:val="Hyperlink"/>
          </w:rPr>
          <w:t xml:space="preserve">EPUB</w:t>
        </w:r>
      </w:hyperlink>
    </w:p>
    <w:p>
      <w:pPr>
        <w:numPr>
          <w:ilvl w:val="0"/>
          <w:numId w:val="1001"/>
        </w:numPr>
        <w:pStyle w:val="Compact"/>
      </w:pPr>
      <w:hyperlink r:id="rId24">
        <w:r>
          <w:rPr>
            <w:rStyle w:val="Hyperlink"/>
          </w:rPr>
          <w:t xml:space="preserve">PDF</w:t>
        </w:r>
      </w:hyperlink>
    </w:p>
    <w:p>
      <w:pPr>
        <w:numPr>
          <w:ilvl w:val="0"/>
          <w:numId w:val="1001"/>
        </w:numPr>
        <w:pStyle w:val="Compact"/>
      </w:pPr>
      <w:hyperlink r:id="rId25">
        <w:r>
          <w:rPr>
            <w:rStyle w:val="Hyperlink"/>
          </w:rPr>
          <w:t xml:space="preserve">DOCX</w:t>
        </w:r>
      </w:hyperlink>
    </w:p>
    <w:p>
      <w:pPr>
        <w:pStyle w:val="FirstParagraph"/>
      </w:pPr>
      <w:r>
        <w:rPr>
          <w:iCs/>
          <w:i/>
        </w:rPr>
        <w:t xml:space="preserve">© 2021 Wilbur N. Pickering</w:t>
      </w:r>
      <w:r>
        <w:br/>
      </w:r>
      <w:r>
        <w:t xml:space="preserve">Oryginał dostępny na http://thechristiancommons.com.</w:t>
      </w:r>
    </w:p>
    <w:p>
      <w:pPr>
        <w:pStyle w:val="BodyText"/>
      </w:pPr>
      <w:r>
        <w:t xml:space="preserve">Udostępniono na licencji:</w:t>
      </w:r>
      <w:r>
        <w:br/>
      </w:r>
      <w:r>
        <w:rPr>
          <w:iCs/>
          <w:i/>
        </w:rPr>
        <w:t xml:space="preserve">Uznanie autorstwa - Na tych samych warunkach 4.0 Międzynarodowa</w:t>
      </w:r>
      <w:r>
        <w:br/>
      </w:r>
      <w:r>
        <w:t xml:space="preserve">CC BY-SA 4.0 -</w:t>
      </w:r>
      <w:r>
        <w:t xml:space="preserve"> </w:t>
      </w:r>
      <w:hyperlink r:id="rId26">
        <w:r>
          <w:rPr>
            <w:rStyle w:val="Hyperlink"/>
          </w:rPr>
          <w:t xml:space="preserve">creativecommons.org/licenses/by-sa/4.0</w:t>
        </w:r>
      </w:hyperlink>
    </w:p>
    <w:p>
      <w:pPr>
        <w:pStyle w:val="BodyText"/>
      </w:pPr>
      <w:r>
        <w:t xml:space="preserve">Licencja zezwala na:</w:t>
      </w:r>
    </w:p>
    <w:p>
      <w:pPr>
        <w:numPr>
          <w:ilvl w:val="0"/>
          <w:numId w:val="1002"/>
        </w:numPr>
        <w:pStyle w:val="Compact"/>
      </w:pPr>
      <w:r>
        <w:rPr>
          <w:bCs/>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Cs/>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Cs/>
          <w:b/>
        </w:rPr>
        <w:t xml:space="preserve">Uznanie autorstwa</w:t>
      </w:r>
      <w:r>
        <w:t xml:space="preserve"> </w:t>
      </w:r>
      <w:r>
        <w:t xml:space="preserve">— Utwór należy oznaczyć słowami</w:t>
      </w:r>
      <w:r>
        <w:t xml:space="preserve"> </w:t>
      </w:r>
      <w:r>
        <w:t xml:space="preserve">“</w:t>
      </w:r>
      <w:r>
        <w:rPr>
          <w:iCs/>
          <w:i/>
        </w:rPr>
        <w:t xml:space="preserve">Oryginał dostępny na http://thechristiancommons.com.</w:t>
      </w:r>
      <w:r>
        <w:t xml:space="preserve">”</w:t>
      </w:r>
      <w:r>
        <w:t xml:space="preserve">, podać link do licencji i</w:t>
      </w:r>
      <w:r>
        <w:t xml:space="preserve"> </w:t>
      </w:r>
      <w:hyperlink r:id="rId27">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Cs/>
          <w:b/>
        </w:rPr>
        <w:t xml:space="preserve">Na tych samych warunkach</w:t>
      </w:r>
      <w:r>
        <w:t xml:space="preserve"> </w:t>
      </w:r>
      <w:r>
        <w:t xml:space="preserve">— Remiksując utwór, przetwarzając go lub tworząc na jego podstawie, należy swoje dzieło rozpowszechniać na</w:t>
      </w:r>
      <w:r>
        <w:t xml:space="preserve"> </w:t>
      </w:r>
      <w:hyperlink r:id="rId28">
        <w:r>
          <w:rPr>
            <w:rStyle w:val="Hyperlink"/>
          </w:rPr>
          <w:t xml:space="preserve">tej samej licencji</w:t>
        </w:r>
      </w:hyperlink>
      <w:r>
        <w:t xml:space="preserve">, co oryginał.</w:t>
      </w:r>
    </w:p>
    <w:p>
      <w:pPr>
        <w:numPr>
          <w:ilvl w:val="0"/>
          <w:numId w:val="1003"/>
        </w:numPr>
        <w:pStyle w:val="Compact"/>
      </w:pPr>
      <w:r>
        <w:rPr>
          <w:bCs/>
          <w:b/>
        </w:rPr>
        <w:t xml:space="preserve">Brak dodatkowych ograniczeń</w:t>
      </w:r>
      <w:r>
        <w:t xml:space="preserve"> </w:t>
      </w:r>
      <w:r>
        <w:t xml:space="preserve">— Nie możesz korzystać ze środków prawnych lub technologicznych, które ograniczają innych w korzystaniu z utworu na warunkach określonych w licencji.</w:t>
      </w:r>
    </w:p>
    <w:bookmarkStart w:id="29" w:name="wydawnictwo-świadome-chrześcijaństwo"/>
    <w:p>
      <w:pPr>
        <w:pStyle w:val="Heading2"/>
      </w:pPr>
      <w:r>
        <w:t xml:space="preserve">Wydawnictwo Świadome Chrześcijaństwo</w:t>
      </w:r>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Cs/>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1">
        <w:r>
          <w:rPr>
            <w:rStyle w:val="Hyperlink"/>
          </w:rPr>
          <w:t xml:space="preserve">wswch.pl</w:t>
        </w:r>
      </w:hyperlink>
      <w:r>
        <w:t xml:space="preserve">.</w:t>
      </w:r>
    </w:p>
    <w:bookmarkEnd w:id="29"/>
    <w:bookmarkEnd w:id="30"/>
    <w:bookmarkStart w:id="34" w:name="przedmowa"/>
    <w:p>
      <w:pPr>
        <w:pStyle w:val="Heading1"/>
      </w:pPr>
      <w:r>
        <w:t xml:space="preserve">Przedmowa</w:t>
      </w:r>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1"/>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2"/>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3"/>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Cs/>
          <w:i/>
        </w:rPr>
        <w:t xml:space="preserve">The Sovereign Creator Has Spoken: Objective Authority for Living, Second Edition</w:t>
      </w:r>
      <w:r>
        <w:t xml:space="preserve">, dostępne na jego stronie www.prunch.org oraz na Amazon.com.</w:t>
      </w:r>
    </w:p>
    <w:bookmarkEnd w:id="34"/>
    <w:bookmarkStart w:id="36" w:name="podziękowania"/>
    <w:p>
      <w:pPr>
        <w:pStyle w:val="Heading1"/>
      </w:pPr>
      <w:r>
        <w:t xml:space="preserve">Podziękowania</w:t>
      </w:r>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5"/>
      </w:r>
      <w:r>
        <w:t xml:space="preserve">.</w:t>
      </w:r>
    </w:p>
    <w:bookmarkEnd w:id="36"/>
    <w:bookmarkStart w:id="94" w:name="część-i-dowody-historyczne"/>
    <w:p>
      <w:pPr>
        <w:pStyle w:val="Heading1"/>
      </w:pPr>
      <w:r>
        <w:t xml:space="preserve">CZĘŚĆ I: Dowody historyczne</w:t>
      </w:r>
    </w:p>
    <w:bookmarkStart w:id="64" w:name="preambuła"/>
    <w:p>
      <w:pPr>
        <w:pStyle w:val="Heading2"/>
      </w:pPr>
      <w:r>
        <w:t xml:space="preserve">Preambuła</w:t>
      </w:r>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7"/>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38"/>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39"/>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0"/>
      </w:r>
      <w:r>
        <w:t xml:space="preserve"> </w:t>
      </w:r>
      <w:r>
        <w:t xml:space="preserve">– to po prostu głupie, absurdalnie niemożliwe! W USA jest wysokie plateau (mesa)</w:t>
      </w:r>
      <w:r>
        <w:rPr>
          <w:rStyle w:val="FootnoteReference"/>
        </w:rPr>
        <w:footnoteReference w:id="41"/>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2"/>
      </w:r>
      <w:r>
        <w:t xml:space="preserve">.</w:t>
      </w:r>
    </w:p>
    <w:p>
      <w:pPr>
        <w:pStyle w:val="BodyText"/>
      </w:pPr>
      <w:r>
        <w:drawing>
          <wp:inline>
            <wp:extent cx="5334000" cy="4000500"/>
            <wp:effectExtent b="0" l="0" r="0" t="0"/>
            <wp:docPr descr="Góra Chief Mountain" title="" id="44" name="Picture"/>
            <a:graphic>
              <a:graphicData uri="http://schemas.openxmlformats.org/drawingml/2006/picture">
                <pic:pic>
                  <pic:nvPicPr>
                    <pic:cNvPr descr="images/Chief_Mountain.jp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Cs/>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Cs/>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Cs/>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Cs/>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52" name="Picture"/>
            <a:graphic>
              <a:graphicData uri="http://schemas.openxmlformats.org/drawingml/2006/picture">
                <pic:pic>
                  <pic:nvPicPr>
                    <pic:cNvPr descr="images/Paluxy_River_Taylor_Site,_Glen_Rose,_Texas._Two_elongate_footprints.png" id="53"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4">
        <w:r>
          <w:rPr>
            <w:rStyle w:val="Hyperlink"/>
          </w:rPr>
          <w:t xml:space="preserve">core.ac.uk/download/pdf/47225227.pdf</w:t>
        </w:r>
      </w:hyperlink>
    </w:p>
    <w:p>
      <w:pPr>
        <w:pStyle w:val="BodyText"/>
      </w:pPr>
      <w:r>
        <w:drawing>
          <wp:inline>
            <wp:extent cx="5334000" cy="4000500"/>
            <wp:effectExtent b="0" l="0" r="0" t="0"/>
            <wp:docPr descr="Creation Evidences Museum" title="" id="56" name="Picture"/>
            <a:graphic>
              <a:graphicData uri="http://schemas.openxmlformats.org/drawingml/2006/picture">
                <pic:pic>
                  <pic:nvPicPr>
                    <pic:cNvPr descr="images/Creation_Evidence_Museum_Original.jpe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8">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9"/>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60"/>
      </w:r>
      <w:r>
        <w:t xml:space="preserve">. Ewolucjoniści twierdzą, że granit krystalizował się przez 300 milionów lat, ale w granicie występują „pierścienie polonowe” (ang. Polonium haloes)</w:t>
      </w:r>
      <w:r>
        <w:rPr>
          <w:rStyle w:val="FootnoteReference"/>
        </w:rPr>
        <w:footnoteReference w:id="61"/>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62"/>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63"/>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bookmarkEnd w:id="64"/>
    <w:bookmarkStart w:id="86" w:name="wprowadzenie"/>
    <w:p>
      <w:pPr>
        <w:pStyle w:val="Heading2"/>
      </w:pPr>
      <w:r>
        <w:t xml:space="preserve">Wprowadzenie</w:t>
      </w:r>
    </w:p>
    <w:bookmarkStart w:id="80" w:name="natchnienie"/>
    <w:p>
      <w:pPr>
        <w:pStyle w:val="Heading3"/>
      </w:pPr>
      <w:r>
        <w:t xml:space="preserve">Natchnienie</w:t>
      </w:r>
    </w:p>
    <w:p>
      <w:pPr>
        <w:pStyle w:val="FirstParagraph"/>
      </w:pPr>
      <w:r>
        <w:t xml:space="preserve">Gdy piszę książkę</w:t>
      </w:r>
      <w:r>
        <w:rPr>
          <w:rStyle w:val="FootnoteReference"/>
        </w:rPr>
        <w:footnoteReference w:id="65"/>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Cs/>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Cs/>
          <w:b/>
        </w:rPr>
        <w:t xml:space="preserve">tylko wieczny Byt mógł wydać wieczne Słowo</w:t>
      </w:r>
      <w:r>
        <w:rPr>
          <w:rStyle w:val="FootnoteReference"/>
        </w:rPr>
        <w:footnoteReference w:id="66"/>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7"/>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8"/>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9"/>
      </w:r>
    </w:p>
    <w:p>
      <w:pPr>
        <w:pStyle w:val="BodyText"/>
      </w:pPr>
      <w:r>
        <w:rPr>
          <w:iCs/>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70"/>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71"/>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72"/>
      </w:r>
      <w:r>
        <w:t xml:space="preserve"> </w:t>
      </w:r>
      <w:r>
        <w:t xml:space="preserve">Ewangelii Chrystusa</w:t>
      </w:r>
      <w:r>
        <w:rPr>
          <w:rStyle w:val="FootnoteReference"/>
        </w:rPr>
        <w:footnoteReference w:id="73"/>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4"/>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5"/>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6"/>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Cs/>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7"/>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8"/>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9"/>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bookmarkEnd w:id="80"/>
    <w:bookmarkStart w:id="82" w:name="oświecenie"/>
    <w:p>
      <w:pPr>
        <w:pStyle w:val="Heading3"/>
      </w:pPr>
      <w:r>
        <w:t xml:space="preserve">Oświecenie</w:t>
      </w:r>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81"/>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bookmarkEnd w:id="82"/>
    <w:bookmarkStart w:id="85" w:name="kanon"/>
    <w:p>
      <w:pPr>
        <w:pStyle w:val="Heading3"/>
      </w:pPr>
      <w:r>
        <w:t xml:space="preserve">Kanon</w:t>
      </w:r>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3"/>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4"/>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bookmarkEnd w:id="85"/>
    <w:bookmarkEnd w:id="86"/>
    <w:bookmarkStart w:id="93" w:name="historyczne-dowody-na-zachowanie"/>
    <w:p>
      <w:pPr>
        <w:pStyle w:val="Heading2"/>
      </w:pPr>
      <w:r>
        <w:t xml:space="preserve">Historyczne dowody na Zachowanie</w:t>
      </w:r>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7"/>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bookmarkStart w:id="92" w:name="autografy"/>
    <w:p>
      <w:pPr>
        <w:pStyle w:val="Heading3"/>
      </w:pPr>
      <w:r>
        <w:t xml:space="preserve">Autografy</w:t>
      </w:r>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8"/>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egzemplarzy. Dzisiaj pierwszy nakład książki wynosi zazwyczaj tysiące egzemplarzy, ale w tamtych czasach każdy egzemplarz musiał być napisany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9"/>
      </w:r>
      <w:r>
        <w:t xml:space="preserve"> </w:t>
      </w:r>
      <w:r>
        <w:t xml:space="preserve">Jednakże papirus nie wytrzymuje częstego używania, a do roku 38 było wiele chrześcijańskich zborów na samym na terytorium żydowskim, nie wspominając o innych miejscach. Jeśli Duch Święty zamierzał, aby pisma Nowego Testamentu miały szeroki obieg, co wydaje się oczywiste, konieczne byłoby zacząć od wielu egzemplarzy.</w:t>
      </w:r>
    </w:p>
    <w:p>
      <w:pPr>
        <w:pStyle w:val="BodyText"/>
      </w:pPr>
      <w:r>
        <w:t xml:space="preserve">Jeden egzemplarz Ewangelii Mateusza rozpadłby się, zanim dotarłby do dwudziestego zboru (gdyby był na papirusie).</w:t>
      </w:r>
    </w:p>
    <w:p>
      <w:pPr>
        <w:pStyle w:val="BodyText"/>
      </w:pPr>
      <w:r>
        <w:t xml:space="preserve">Ale dlaczego nalegam na papirus zamiast pergaminu? Cóż, pojedynczy egzemplarz Ewangelii Mateusza wymagałby około piętnastu owiec lub kóz, zatem kto mógłby sobie pozwolić na wiele kopii? Niemniej jednak, oryginalny egzemplarz mógł rzeczywiście zostać wykonany na pergaminie z dwóch powodów:</w:t>
      </w:r>
    </w:p>
    <w:p>
      <w:pPr>
        <w:numPr>
          <w:ilvl w:val="0"/>
          <w:numId w:val="1006"/>
        </w:numPr>
        <w:pStyle w:val="Compact"/>
      </w:pPr>
      <w:r>
        <w:t xml:space="preserve">jeśli oryginalny egzemplarz miał być przechowywany, w celu kontroli jakości, powinien być wykonany na trwałym materiale</w:t>
      </w:r>
    </w:p>
    <w:p>
      <w:pPr>
        <w:numPr>
          <w:ilvl w:val="0"/>
          <w:numId w:val="1006"/>
        </w:numPr>
        <w:pStyle w:val="Compact"/>
      </w:pPr>
      <w:r>
        <w:t xml:space="preserve">jeśli wiele kopii oryginalnego egzemplarza miało zostać sporządzonych przed udostępnieniem publicznie, oryginalny egzemplarz na papirusie mógłby nie przetrwać</w:t>
      </w:r>
    </w:p>
    <w:p>
      <w:pPr>
        <w:pStyle w:val="FirstParagraph"/>
      </w:pPr>
      <w:r>
        <w:t xml:space="preserve">Pomysł wydania książki w wielu egzemplarzach można wywnioskować z Listów. 2 List do Koryntian został napisany do „kościoła Bożego, który jest w Koryncie, wraz ze wszystkimi świętymi, którzy są w całej Achai” (werset 1). Ile zborów było „w całej Achai”? Czy Paweł myślał o wielu egzemplarzach? 1 List do Koryntian był zaadresowany do „wszystkich tych, wszędzie, którzy wzywają imienia naszego Pana Jezusa Chrystusa” (werset 2). Teraz, ile egzemplarzy byłoby</w:t>
      </w:r>
      <w:r>
        <w:t xml:space="preserve"> </w:t>
      </w:r>
      <w:r>
        <w:rPr>
          <w:bCs/>
          <w:b/>
        </w:rPr>
        <w:t xml:space="preserve">do tego</w:t>
      </w:r>
      <w:r>
        <w:t xml:space="preserve"> </w:t>
      </w:r>
      <w:r>
        <w:t xml:space="preserve">potrzebnych? List do Galacjan został napisany do „kościołów w Galacji” (werset 2). Czy jeden egzemplarz mógłby trafić do nich wszystkich?</w:t>
      </w:r>
    </w:p>
    <w:p>
      <w:pPr>
        <w:pStyle w:val="BodyText"/>
      </w:pPr>
      <w:r>
        <w:t xml:space="preserve">Rozważ przypadek pierwszego listu Piotra: jest on zaadresowany do wiernych w „Ponto, Galacji, Kapadocji, Azji i Bitynii” (werset 1). Zatem, na jakiej podstawie Piotr (apostoł obrzezanych, Galacjan 2,8) mógł pisać do ludzi w tych miejscach? Prawdopodobnie wielu starszych przywódców było z Piotrem w dniu Pięćdziesiątnicy i osiadło podczas jego posługi, dopóki prześladowania pod wodzą Saula nie zmusiły ich do powrotu do domu, przypuszczalnie (Dz 8,4). Zwróć uwagę, że lista miejsc w Dziejach Apostolskich 2,9-11 obejmuje następujące miejsca w Azji Mniejszej: Azja, Kapadocja, Pamfylia, Frygia i Pont. Trzy z tych pięciu miejsc znajdują się na liście Piotra i nie musimy zakładać, że jego lista była kompletna, tak samo, jak lista w Dziejach Apostolskich 2,9-11 prawdopodobnie nie jest kompletna.</w:t>
      </w:r>
    </w:p>
    <w:p>
      <w:pPr>
        <w:pStyle w:val="BodyText"/>
      </w:pPr>
      <w:r>
        <w:t xml:space="preserve">Czy kiedykolwiek spojrzałeś na mapę, aby zobaczyć położenie pięciu prowincji Piotra? Zasadniczo obejmują one całą Azję Mniejszą (dzisiejszą Turcję)! Wydaje się, że termin „Azja” był używany w różny sposób. W Dziejach Apostolskich 27,2 Azja obejmuje Cylicję i Pamfilię (werset 5). Uwielbiony Chrystus umieścił siedem kościołów w Azji (Objawienie 1,4). W Dziejach Apostolskich 16,6 termin ten wydaje się odnosić do bardziej ograniczonego obszaru, który, jednakże, prawdopodobnie obejmował Efez, do którego Paweł powrócił później. Prokonsularna Azja</w:t>
      </w:r>
      <w:r>
        <w:rPr>
          <w:rStyle w:val="FootnoteReference"/>
        </w:rPr>
        <w:footnoteReference w:id="90"/>
      </w:r>
      <w:r>
        <w:t xml:space="preserve"> </w:t>
      </w:r>
      <w:r>
        <w:t xml:space="preserve">obejmowała Mysję i Frygię. Ile więc mogło być wszystkich zborów w Azji Mniejszej? I jak pojedynczy egzemplarz mógł trafić do wszystkich z nich? Jeżeli list był napisany na papirusie (co wydaje się prawdopodobne – tańszy, łatwiej dostępny), rozpadłby się po dotarciu do dwudziestego zboru, jeśli nie wcześniej (papirus nie wytrzymuje tak dużego obciążenia).</w:t>
      </w:r>
    </w:p>
    <w:p>
      <w:pPr>
        <w:pStyle w:val="BodyText"/>
      </w:pPr>
      <w:r>
        <w:t xml:space="preserve">Załóżmy teraz, dla celów dyskusji, że Piotr wysłał pięć kopii swojego listu, po jednej do każdej prowincji. Jakie implikacje miałoby to dla przekazywania tego Tekstu? Oznacza to, że zwielokrotniasz proces i postęp przekazywania pięciokrotnie! Oznacza to, że masz początki „tekstu większościowego” już na bardzo wczesnym etapie. Oznacza to, że podstawowa integralność tekstu byłaby zagwarantowana (tym bardziej, jeśli Bóg nadzorował ten proces). Gdyby Piotr wysłał więcej niż pięć kopii, tym lepiej. A co z Jakubem, ile kopii potrzeba, aby dotrzeć do „dwunastu plemion, które są w rozproszeniu” (werset 1)? (Czy samo określenie „rozproszenie” nie sugeruje, że byli oni szeroko rozsiani? A co, jeśli „dwanaście plemion” jest dosłowne?) Drugi list Piotra nie wymienia pięciu prowincji, ale 3,1 wydaje się wskazywać, że celował on w ten sam obszar.</w:t>
      </w:r>
    </w:p>
    <w:p>
      <w:pPr>
        <w:pStyle w:val="BodyText"/>
      </w:pPr>
      <w:r>
        <w:t xml:space="preserve">To see that I did not pull the idea of multiple copies out of thin air, let us consider 2 Peter 1,12-15. Verses 12 &amp; 13 refer to repeated reminders while he is still in his</w:t>
      </w:r>
      <w:r>
        <w:t xml:space="preserve"> </w:t>
      </w:r>
      <w:r>
        <w:t xml:space="preserve">‘</w:t>
      </w:r>
      <w:r>
        <w:t xml:space="preserve">tent</w:t>
      </w:r>
      <w:r>
        <w:t xml:space="preserve">’</w:t>
      </w:r>
      <w:r>
        <w:t xml:space="preserve">, which would be his own ongoing activity; so why the</w:t>
      </w:r>
      <w:r>
        <w:t xml:space="preserve"> </w:t>
      </w:r>
      <w:r>
        <w:t xml:space="preserve">‘</w:t>
      </w:r>
      <w:r>
        <w:t xml:space="preserve">moreover</w:t>
      </w:r>
      <w:r>
        <w:t xml:space="preserve">’</w:t>
      </w:r>
      <w:r>
        <w:t xml:space="preserve"> </w:t>
      </w:r>
      <w:r>
        <w:t xml:space="preserve">in verse 15? In the NKJV verse 15 reads:</w:t>
      </w:r>
      <w:r>
        <w:t xml:space="preserve"> </w:t>
      </w:r>
      <w:r>
        <w:t xml:space="preserve">“</w:t>
      </w:r>
      <w:r>
        <w:t xml:space="preserve">Moreover, I will be careful to ensure that you always have a reminder of these things after my decease</w:t>
      </w:r>
      <w:r>
        <w:t xml:space="preserve">”</w:t>
      </w:r>
      <w:r>
        <w:t xml:space="preserve">. Well, how can you</w:t>
      </w:r>
      <w:r>
        <w:t xml:space="preserve"> </w:t>
      </w:r>
      <w:r>
        <w:t xml:space="preserve">‘</w:t>
      </w:r>
      <w:r>
        <w:t xml:space="preserve">ensure</w:t>
      </w:r>
      <w:r>
        <w:t xml:space="preserve">’</w:t>
      </w:r>
      <w:r>
        <w:t xml:space="preserve"> </w:t>
      </w:r>
      <w:r>
        <w:t xml:space="preserve">that someone will</w:t>
      </w:r>
      <w:r>
        <w:t xml:space="preserve"> </w:t>
      </w:r>
      <w:r>
        <w:t xml:space="preserve">‘</w:t>
      </w:r>
      <w:r>
        <w:t xml:space="preserve">always have a reminder</w:t>
      </w:r>
      <w:r>
        <w:t xml:space="preserve">’</w:t>
      </w:r>
      <w:r>
        <w:t xml:space="preserve"> </w:t>
      </w:r>
      <w:r>
        <w:t xml:space="preserve">of something? It seems clear to me that the something has to be written down; a reminder has to be in writing, to be guaranteed. So what is Peter’s intention? He specifies</w:t>
      </w:r>
      <w:r>
        <w:t xml:space="preserve"> </w:t>
      </w:r>
      <w:r>
        <w:t xml:space="preserve">“</w:t>
      </w:r>
      <w:r>
        <w:t xml:space="preserve">a reminder of these things</w:t>
      </w:r>
      <w:r>
        <w:t xml:space="preserve">”</w:t>
      </w:r>
      <w:r>
        <w:t xml:space="preserve">, so what are the</w:t>
      </w:r>
      <w:r>
        <w:t xml:space="preserve"> </w:t>
      </w:r>
      <w:r>
        <w:t xml:space="preserve">‘</w:t>
      </w:r>
      <w:r>
        <w:t xml:space="preserve">these things</w:t>
      </w:r>
      <w:r>
        <w:t xml:space="preserve">’</w:t>
      </w:r>
      <w:r>
        <w:t xml:space="preserve">? They are evidently the things he will discuss in this letter. But he must be referring to something more than the initial draft of the letter (or the verse becomes meaningless)—hence, multiple copies.</w:t>
      </w:r>
      <w:r>
        <w:t xml:space="preserve"> </w:t>
      </w:r>
      <w:r>
        <w:rPr>
          <w:rStyle w:val="FootnoteReference"/>
        </w:rPr>
        <w:footnoteReference w:id="91"/>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Krytyka tekstu (łac.</w:t>
      </w:r>
      <w:r>
        <w:t xml:space="preserve"> </w:t>
      </w:r>
      <w:r>
        <w:rPr>
          <w:iCs/>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2">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3">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5">
    <w:p>
      <w:pPr>
        <w:pStyle w:val="FootnoteText"/>
      </w:pPr>
      <w:r>
        <w:rPr>
          <w:rStyle w:val="FootnoteReference"/>
        </w:rPr>
        <w:footnoteRef/>
      </w:r>
      <w:r>
        <w:t xml:space="preserve"> </w:t>
      </w:r>
      <w:r>
        <w:t xml:space="preserve">Oryginalna okładka i formatowanie nie zostało wykorzystane w polskim tłumaczeniu. [przyp. tłum.]</w:t>
      </w:r>
    </w:p>
  </w:footnote>
  <w:footnote w:id="37">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Cs/>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38">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Cs/>
          <w:i/>
        </w:rPr>
        <w:t xml:space="preserve">The Chimpanzee Sequencing and Analysis Consortium, Nature, 2005</w:t>
      </w:r>
      <w:r>
        <w:br/>
      </w:r>
      <w:r>
        <w:rPr>
          <w:iCs/>
          <w:i/>
        </w:rPr>
        <w:t xml:space="preserve">Evolutionary Rate at the Molecular Level - Kimura, 1968</w:t>
      </w:r>
      <w:r>
        <w:br/>
      </w:r>
      <w:r>
        <w:rPr>
          <w:iCs/>
          <w:i/>
        </w:rPr>
        <w:t xml:space="preserve">Why evolution is true - Jerry A. Coyne</w:t>
      </w:r>
    </w:p>
  </w:footnote>
  <w:footnote w:id="39">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0">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1">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2">
    <w:p>
      <w:pPr>
        <w:pStyle w:val="FootnoteText"/>
      </w:pPr>
      <w:r>
        <w:rPr>
          <w:rStyle w:val="FootnoteReference"/>
        </w:rPr>
        <w:footnoteRef/>
      </w:r>
      <w:r>
        <w:t xml:space="preserve"> </w:t>
      </w:r>
      <w:r>
        <w:t xml:space="preserve">Autorowi prawdopodobnie chodzi o</w:t>
      </w:r>
      <w:r>
        <w:t xml:space="preserve"> </w:t>
      </w:r>
      <w:r>
        <w:rPr>
          <w:iCs/>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9">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60">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61">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62">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63">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5">
    <w:p>
      <w:pPr>
        <w:pStyle w:val="FootnoteText"/>
      </w:pPr>
      <w:r>
        <w:rPr>
          <w:rStyle w:val="FootnoteReference"/>
        </w:rPr>
        <w:footnoteRef/>
      </w:r>
      <w:r>
        <w:t xml:space="preserve"> </w:t>
      </w:r>
      <w:r>
        <w:t xml:space="preserve">Do tej pory opublikowałem osiem, plus Tekst Grecki.</w:t>
      </w:r>
    </w:p>
  </w:footnote>
  <w:footnote w:id="66">
    <w:p>
      <w:pPr>
        <w:pStyle w:val="FootnoteText"/>
      </w:pPr>
      <w:r>
        <w:rPr>
          <w:rStyle w:val="FootnoteReference"/>
        </w:rPr>
        <w:footnoteRef/>
      </w:r>
      <w:r>
        <w:t xml:space="preserve"> </w:t>
      </w:r>
      <w:r>
        <w:t xml:space="preserve">Odniosłem się już do 1 Kronik 16,15.</w:t>
      </w:r>
    </w:p>
  </w:footnote>
  <w:footnote w:id="67">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8">
    <w:p>
      <w:pPr>
        <w:pStyle w:val="FootnoteText"/>
      </w:pPr>
      <w:r>
        <w:rPr>
          <w:rStyle w:val="FootnoteReference"/>
        </w:rPr>
        <w:footnoteRef/>
      </w:r>
      <w:r>
        <w:t xml:space="preserve"> </w:t>
      </w:r>
      <w:r>
        <w:t xml:space="preserve">Słowo przetłumaczone jako „wydanie” [ang.</w:t>
      </w:r>
      <w:r>
        <w:t xml:space="preserve"> </w:t>
      </w:r>
      <w:r>
        <w:rPr>
          <w:iCs/>
          <w:i/>
        </w:rPr>
        <w:t xml:space="preserve">release</w:t>
      </w:r>
      <w:r>
        <w:t xml:space="preserve">, gr.</w:t>
      </w:r>
      <w:r>
        <w:t xml:space="preserve"> </w:t>
      </w:r>
      <w:r>
        <w:rPr>
          <w:iCs/>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9">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70">
    <w:p>
      <w:pPr>
        <w:pStyle w:val="FootnoteText"/>
      </w:pPr>
      <w:r>
        <w:rPr>
          <w:rStyle w:val="FootnoteReference"/>
        </w:rPr>
        <w:footnoteRef/>
      </w:r>
      <w:r>
        <w:t xml:space="preserve"> </w:t>
      </w:r>
      <w:r>
        <w:t xml:space="preserve">Dostęp do Pisma jest niezbędny do duchowego wzrostu i pracy.</w:t>
      </w:r>
    </w:p>
  </w:footnote>
  <w:footnote w:id="71">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72">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3">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4">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5">
    <w:p>
      <w:pPr>
        <w:pStyle w:val="FootnoteText"/>
      </w:pPr>
      <w:r>
        <w:rPr>
          <w:rStyle w:val="FootnoteReference"/>
        </w:rPr>
        <w:footnoteRef/>
      </w:r>
      <w:r>
        <w:t xml:space="preserve"> </w:t>
      </w:r>
      <w:r>
        <w:t xml:space="preserve">Bardzo niewiele rozdziałów zostało napisanych w języku aramejskim.</w:t>
      </w:r>
    </w:p>
  </w:footnote>
  <w:footnote w:id="76">
    <w:p>
      <w:pPr>
        <w:pStyle w:val="FootnoteText"/>
      </w:pPr>
      <w:r>
        <w:rPr>
          <w:rStyle w:val="FootnoteReference"/>
        </w:rPr>
        <w:footnoteRef/>
      </w:r>
      <w:r>
        <w:t xml:space="preserve"> </w:t>
      </w:r>
      <w:r>
        <w:t xml:space="preserve">Więc nie mamy tu do czynienia z nauką w sensie obiektywnym.</w:t>
      </w:r>
    </w:p>
  </w:footnote>
  <w:footnote w:id="77">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8">
    <w:p>
      <w:pPr>
        <w:pStyle w:val="FootnoteText"/>
      </w:pPr>
      <w:r>
        <w:rPr>
          <w:rStyle w:val="FootnoteReference"/>
        </w:rPr>
        <w:footnoteRef/>
      </w:r>
      <w:r>
        <w:t xml:space="preserve"> </w:t>
      </w:r>
      <w:r>
        <w:t xml:space="preserve">Mowa o informacjach historycznych w Biblii, w porównaniu do proroctw. [przyp. tłum.]</w:t>
      </w:r>
    </w:p>
  </w:footnote>
  <w:footnote w:id="79">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81">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3">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4">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7">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8">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została przetłumaczona na język angielski, chiński, filipiński, portugalski i hiszpański.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9">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 w:id="90">
    <w:p>
      <w:pPr>
        <w:pStyle w:val="FootnoteText"/>
      </w:pPr>
      <w:r>
        <w:rPr>
          <w:rStyle w:val="FootnoteReference"/>
        </w:rPr>
        <w:footnoteRef/>
      </w:r>
      <w:r>
        <w:t xml:space="preserve"> </w:t>
      </w:r>
      <w:r>
        <w:t xml:space="preserve">Azja Prokonsularna (prowincja w Imperium Rzymskim) - region Azji Mniejszej, rządzony przez prokonsulów w czasach Cesarstwa Rzymskiego. Obszar ten był istotny dla społeczności chrześcijańskiej, szczególnie w okresie wczesnego chrześcijaństwa, ponieważ charakteryzowały się tam znaczące interakcje między miejscowymi wyznawcami. [przyp. tłum.]</w:t>
      </w:r>
      <w:r>
        <w:br/>
      </w:r>
      <w:r>
        <w:t xml:space="preserve">https://www.diki.pl/slownik-angielskiego?q=Proconsular+Asia</w:t>
      </w:r>
      <w:r>
        <w:br/>
      </w:r>
      <w:r>
        <w:t xml:space="preserve">https://www.wisdomlib.org/christianity/concept/proconsular-asia</w:t>
      </w:r>
    </w:p>
  </w:footnote>
  <w:footnote w:id="91">
    <w:p>
      <w:pPr>
        <w:pStyle w:val="FootnoteText"/>
      </w:pPr>
      <w:r>
        <w:rPr>
          <w:rStyle w:val="FootnoteReference"/>
        </w:rPr>
        <w:footnoteRef/>
      </w:r>
      <w:r>
        <w:t xml:space="preserve"> </w:t>
      </w:r>
      <w:r>
        <w:t xml:space="preserve">It was Dr. Mike Loehrer, a pastor in California, who called 2 Peter 1,12-15 to my attention and got me started thinking about it. With reference to verse 15 he wrote me the following:</w:t>
      </w:r>
      <w:r>
        <w:t xml:space="preserve"> </w:t>
      </w:r>
      <w:r>
        <w:t xml:space="preserve">“</w:t>
      </w:r>
      <w:r>
        <w:t xml:space="preserve">Could choosing to use mneme with poieo in the middle voice mean to ensure a way of always being able to validate a memory? In those days most people could not afford their own copy of a writing, and the church would no doubt become the repository of an autograph anyway. The usual way of getting the Scripture back then was by committing it to memory when hearing it during the public reading. Having multiple autographs in multiple locations would definitely ensure a way of validating a memory. Even if the leaders of a church or synagogue were imprisoned and their autograph was seized or destroyed, they could rest assured that they could locate another autograph to validate their memory of the way a verse or passage was actually written.</w:t>
      </w:r>
      <w:r>
        <w:t xml:space="preserve">”</w:t>
      </w:r>
      <w:r>
        <w:t xml:space="preserve"> </w:t>
      </w:r>
      <w:r>
        <w:t xml:space="preserve">The idea of validating a memory is as interesting as it is suggestive. Peter’s use of μνημη, basically reflexive, with ποιεω in the middle voice, makes Mike’s suggestion a reasonable one, as it seems to me. It goes along with the multiple copies. Irenaeus puzzled over verse 15 and came up with the suggestion that Peter intended to get copies of Mark’s Gospel to those regions. Evidently the idea of multiple copies was not strange to him. And how about other books?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55" Target="media/rId55.jpg" /><Relationship Type="http://schemas.openxmlformats.org/officeDocument/2006/relationships/image" Id="rId51" Target="media/rId51.png" /><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_rels/footnotes.xml.rels><?xml version="1.0" encoding="UTF-8"?><Relationships xmlns="http://schemas.openxmlformats.org/package/2006/relationships"><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2025-10-24T19:36:22Z</dcterms:created>
  <dcterms:modified xsi:type="dcterms:W3CDTF">2025-10-24T19:36:22Z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