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 możemy dostrzec tę wrodzoną cechę, porównując materiały natchnione z materiałami, które nie są natchnione. Przyjrzyj się naturze treści Biblii, jej przesłaniu: nie jest to coś, co człowiek chciałby napisać, nawet gdyby potrafił, ani coś, co potrafiłby napisać, nawet gdyby chciał. Do tego dochodzi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z podaniem imienia osoby, które zostały przekazane na wiele wieków przed ich wypełnieniem, a mimo to spełniły się dokładnie.</w:t>
      </w:r>
    </w:p>
    <w:p>
      <w:pPr>
        <w:pStyle w:val="BodyText"/>
      </w:pPr>
      <w:r>
        <w:t xml:space="preserve">The inspiration of the Sacred Text is an intrinsic quality, it is because it is. However, we can perceive the inherent quality, comparing inspired material with material that is not inspired. Consider the nature of the Bible’s content, or message: it is not the sort of thing that the human being would wish to write, even if he could, nor is it the sort of thing that he could write, even if he wished to. And then there is the unity of the Bible: even though the 66 books were written by at least thirty different human authors, during some 2,000 years, and in two very different languages (Hebrew and Greek), the whole is coherent, it does not contradict itself. There are also specific and detailed prophecies, even including a person’s name, given centuries before the fact, that were precisely fulfilled.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2025-08-01T06:37:33Z</dcterms:created>
  <dcterms:modified xsi:type="dcterms:W3CDTF">2025-08-01T06:37:33Z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