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do Tekstu. To, czy ktoś dzisiaj zgadza się z nimi, czy nie, jest nieistotne. Pierwsi Chrześcijanie wierzyli, że „księgi” Nowego Testamentu były natchnione przez Boga, stanowiąc drugi Kanon. W wyniku swojej wiary traktowali te pisma z troską i szacunkiem.</w:t>
      </w:r>
    </w:p>
    <w:p>
      <w:pPr>
        <w:pStyle w:val="BodyText"/>
      </w:pPr>
      <w:r>
        <w:t xml:space="preserve">Attention please! The contribution of the evidence so far presented to our discussion is this: the implications of their attitude towards the Text. Whether or not someone today agrees with them is beside the point. The early Christians believed that the NT</w:t>
      </w:r>
      <w:r>
        <w:t xml:space="preserve"> </w:t>
      </w:r>
      <w:r>
        <w:t xml:space="preserve">‘</w:t>
      </w:r>
      <w:r>
        <w:t xml:space="preserve">books</w:t>
      </w:r>
      <w:r>
        <w:t xml:space="preserve">’</w:t>
      </w:r>
      <w:r>
        <w:t xml:space="preserve"> </w:t>
      </w:r>
      <w:r>
        <w:t xml:space="preserve">were divinely inspired, constituting a second Canon. As a consequence of their belief, they would treat those writings with care and respect.</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2026-01-25T09:40:39Z</dcterms:created>
  <dcterms:modified xsi:type="dcterms:W3CDTF">2026-01-25T09:40:39Z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