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Antiochii[teofil-z-antiochii], w swoim traktacie do Autolikusa cytuje 1 List do Tymoteusza 2,1 i List do Rzymian 13,7 jako „Słowo Boże” (iii.14), cytuje czwartą Ewangelię, mówiąc, że Jan był „natchniony przez Ducha” (ii.22) , w jednym akapicie wspomina o Księdze Izajasza i „Ewangelii” jako o Piśmie Świętym (iii.14) i w kilku fragmentach obstaje, że autorzy nigdy nie zaprzeczali sobie nawzajem: „Oświadczenia Proroków i Ewangelii okazują się spójne, ponieważ wszystkie były natchnione jednym Duchem Bożym” (ii.9; ii.35; iii.17).</w:t>
      </w:r>
      <w:r>
        <w:rPr>
          <w:rStyle w:val="FootnoteReference"/>
        </w:rPr>
        <w:footnoteReference w:id="117"/>
      </w:r>
    </w:p>
    <w:p>
      <w:pPr>
        <w:pStyle w:val="BodyText"/>
      </w:pPr>
      <w:r>
        <w:t xml:space="preserve">Theophilus, bishop of Antioch, in his treatise to Autolycus, quotes 1 Timothy 2,1 and Romans 13,7 as</w:t>
      </w:r>
      <w:r>
        <w:t xml:space="preserve"> </w:t>
      </w:r>
      <w:r>
        <w:t xml:space="preserve">“</w:t>
      </w:r>
      <w:r>
        <w:t xml:space="preserve">the Divine Word</w:t>
      </w:r>
      <w:r>
        <w:t xml:space="preserve">”</w:t>
      </w:r>
      <w:r>
        <w:t xml:space="preserve"> </w:t>
      </w:r>
      <w:r>
        <w:t xml:space="preserve">(iii.14); quotes from the fourth Gospel, saying that John was</w:t>
      </w:r>
      <w:r>
        <w:t xml:space="preserve"> </w:t>
      </w:r>
      <w:r>
        <w:t xml:space="preserve">“</w:t>
      </w:r>
      <w:r>
        <w:t xml:space="preserve">inspired by the Spirit</w:t>
      </w:r>
      <w:r>
        <w:t xml:space="preserve">”</w:t>
      </w:r>
      <w:r>
        <w:t xml:space="preserve"> </w:t>
      </w:r>
      <w:r>
        <w:t xml:space="preserve">(ii.22); Isaiah and</w:t>
      </w:r>
      <w:r>
        <w:t xml:space="preserve"> </w:t>
      </w:r>
      <w:r>
        <w:t xml:space="preserve">“</w:t>
      </w:r>
      <w:r>
        <w:t xml:space="preserve">the Gospel</w:t>
      </w:r>
      <w:r>
        <w:t xml:space="preserve">”</w:t>
      </w:r>
      <w:r>
        <w:t xml:space="preserve"> </w:t>
      </w:r>
      <w:r>
        <w:t xml:space="preserve">are mentioned in one paragraph as Scripture (iii.14), and he insists in several passages that the writers never contradicted each other:</w:t>
      </w:r>
      <w:r>
        <w:t xml:space="preserve"> </w:t>
      </w:r>
      <w:r>
        <w:t xml:space="preserve">“</w:t>
      </w:r>
      <w:r>
        <w:t xml:space="preserve">The statements of the Prophets and of the Gospels are found to be consistent, because all were inspired by the one Spirit of God</w:t>
      </w:r>
      <w:r>
        <w:t xml:space="preserve">”</w:t>
      </w:r>
      <w:r>
        <w:t xml:space="preserve"> </w:t>
      </w:r>
      <w:r>
        <w:t xml:space="preserve">(ii.9; ii.35; iii.17).2</w:t>
      </w:r>
    </w:p>
    <w:p>
      <w:pPr>
        <w:pStyle w:val="BodyText"/>
      </w:pPr>
      <w:r>
        <w:t xml:space="preserve">[teofil-z-antiochii]: Teofil z Antiochii, biskup Antiochii Syryjskiej w latach 169–182. [przyp. tłum.]</w:t>
      </w:r>
      <w:r>
        <w:br/>
      </w:r>
      <w:r>
        <w:t xml:space="preserve">https://pl.wikipedia.org/wiki/Teofil_z_Antiochii</w:t>
      </w:r>
    </w:p>
    <w:bookmarkEnd w:id="118"/>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książkę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2026-01-17T09:13:06Z</dcterms:created>
  <dcterms:modified xsi:type="dcterms:W3CDTF">2026-01-17T09:13:06Z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