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9"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The school of literary criticism that existed at Alexandria would also be a negative factor, if it influenced the Church at all, and W.R. Farmer argues that it did. “But there is ample evidence that by the time of Eusebius the Alexandrian text-critical practices were being followed in at least some of the scriptoria where New Testament manuscripts were being produced. Exactly when Alexandrian text-critical principles were first used… is not known.”1 He goes on to suggest that the Christian school founded in Alexandria by Pantaenus, around 180, was bound to be influenced by the scholars of the great library of that city. The point is, the principles used in attempting to ‘restore’ the works of Homer would not be appropriate for the NT writings when appeal to the Autographs, or exact copies made from them, was still possible.</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2026-04-02T16:21:30Z</dcterms:created>
  <dcterms:modified xsi:type="dcterms:W3CDTF">2026-04-02T16:21:30Z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