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1"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39"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Pisma Świętego,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zapewne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Many MSS were found, or betrayed, and burned, but others must have escaped. That many Christians would have spared no effort to hide and preserve their copies of the Scriptures is demonstrated by their attitude towards those who gave up their MSS—the Donatist schism that immediately followed Diocletian’s campaign partly hinged on the question of punishment for those who had given up MSS. The Christians whose entire devotion to the Scriptures was thus demonstrated would also be just the ones that would be the most careful about the pedigree of their own MSS, just as they took pains to protect their MSS they presumably would have taken pains to ensure that their MSS preserved the true wording.</w:t>
      </w:r>
    </w:p>
    <w:p>
      <w:pPr>
        <w:pStyle w:val="BodyText"/>
      </w:pPr>
      <w:r>
        <w:t xml:space="preserve">In fact, the campaign of Diocletian may even have had a purifying effect upon the transmission of the text. If the laxity of attitude toward the text reflected in the willingness of some to give up their MSS also extended to the quality of text they were prepared to use, then it may have been the more contaminated MSS that were destroyed, in the main, leaving the purer MSS to replenish the earth.1 But these surviving pure MSS would have been in unusually heavy demand for copying (to replace those that had been destroyed) and been worn out faster than normal.</w:t>
      </w:r>
    </w:p>
    <w:bookmarkEnd w:id="139"/>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2026-04-04T16:19:06Z</dcterms:created>
  <dcterms:modified xsi:type="dcterms:W3CDTF">2026-04-04T16:19:06Z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