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2"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1"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0"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W okresie 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BlockText"/>
      </w:pPr>
      <w:r>
        <w:t xml:space="preserve">This brings us to the second significant point—his date. From the early third century onward the freedom to alter the text which had obtained earlier can no longer be practiced. Tatian is the last author to make deliberate changes in the text of whom we have explicit information. Between Tatian and Origen Christian opinion had so changed that it was no longer possible to make changes in the text whether they were harmless or not.2</w:t>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o „przysługującej wcześniej swobody wprowadzania zmian w tekście”. Nie było takiej „swobody”, była to przewrotność wrogów Prawdy.</w:t>
      </w:r>
    </w:p>
    <w:p>
      <w:pPr>
        <w:pStyle w:val="BodyText"/>
      </w:pPr>
      <w:r>
        <w:t xml:space="preserve">He feels this attitude was a reaction against the re-handling of the text by the second-century heretics. Certainly there had been a great hue and cry, and whatever the reason it does appear that little further damage was done after AD 200.3 However, I certainly disagree with Kilpatrick’s “freedom to alter the text which had obtained earlier”. There was no such ‘freedom’, it was the perversity of enemies of the Truth.</w:t>
      </w:r>
    </w:p>
    <w:p>
      <w:pPr>
        <w:pStyle w:val="BodyText"/>
      </w:pPr>
      <w:r>
        <w:t xml:space="preserve">Zniekształcone formy tekstowe</w:t>
      </w:r>
    </w:p>
    <w:p>
      <w:pPr>
        <w:pStyle w:val="BodyText"/>
      </w:pPr>
      <w:r>
        <w:t xml:space="preserve">The aberrant text forms</w:t>
      </w:r>
    </w:p>
    <w:bookmarkEnd w:id="150"/>
    <w:bookmarkEnd w:id="151"/>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I believe we may reasonably understand that significant variants that first appear at a later date, within extant MSS, had actually been created much earlier.</w:t>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2026-05-05T04:33:19Z</dcterms:created>
  <dcterms:modified xsi:type="dcterms:W3CDTF">2026-05-05T04:33:19Z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