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344"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bCs/>
          <w:b/>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Rz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Rz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Rz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Rz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Rz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Rz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Rz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Rz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Rz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Rz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Rz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Rz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Rz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Rz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1Kor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1Kor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1Kor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1Kor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1Kor 6:11</w:t>
            </w:r>
          </w:p>
        </w:tc>
        <w:tc>
          <w:tcPr/>
          <w:p>
            <w:pPr>
              <w:pStyle w:val="Compact"/>
              <w:jc w:val="left"/>
            </w:pPr>
            <w:r>
              <w:t xml:space="preserve">αλλ1 [35%] || αλλα [65%]</w:t>
            </w:r>
          </w:p>
        </w:tc>
      </w:tr>
      <w:tr>
        <w:tc>
          <w:tcPr/>
          <w:p>
            <w:pPr>
              <w:pStyle w:val="Compact"/>
              <w:jc w:val="left"/>
            </w:pPr>
            <w:r>
              <w:t xml:space="preserve">++</w:t>
            </w:r>
          </w:p>
        </w:tc>
        <w:tc>
          <w:tcPr/>
          <w:p>
            <w:pPr>
              <w:pStyle w:val="Compact"/>
              <w:jc w:val="left"/>
            </w:pPr>
            <w:r>
              <w:t xml:space="preserve">1Kor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1Kor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1Kor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1Kor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1Kor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1Kor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1Kor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1Kor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1Kor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2Kor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2Kor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2Kor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2Kor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2Kor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2Kor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2Kor 7:11</w:t>
            </w:r>
          </w:p>
        </w:tc>
        <w:tc>
          <w:tcPr/>
          <w:p>
            <w:pPr>
              <w:pStyle w:val="Compact"/>
              <w:jc w:val="left"/>
            </w:pPr>
            <w:r>
              <w:t xml:space="preserve">αλλ1 [27%] || αλλα [73%]</w:t>
            </w:r>
          </w:p>
        </w:tc>
      </w:tr>
      <w:tr>
        <w:tc>
          <w:tcPr/>
          <w:p>
            <w:pPr>
              <w:pStyle w:val="Compact"/>
              <w:jc w:val="left"/>
            </w:pPr>
            <w:r>
              <w:t xml:space="preserve">++</w:t>
            </w:r>
          </w:p>
        </w:tc>
        <w:tc>
          <w:tcPr/>
          <w:p>
            <w:pPr>
              <w:pStyle w:val="Compact"/>
              <w:jc w:val="left"/>
            </w:pPr>
            <w:r>
              <w:t xml:space="preserve">2Kor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2Kor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2Kor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2Kor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2Kor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2Kor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2Kor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 3:6,itd.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Ef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Ef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Ef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Ef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Ef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Flp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Flp 2:1</w:t>
            </w:r>
          </w:p>
        </w:tc>
        <w:tc>
          <w:tcPr/>
          <w:p>
            <w:pPr>
              <w:pStyle w:val="Compact"/>
              <w:jc w:val="left"/>
            </w:pPr>
            <w:r>
              <w:t xml:space="preserve">τι2 [35%] || τις [60%] ||</w:t>
            </w:r>
          </w:p>
        </w:tc>
      </w:tr>
      <w:tr>
        <w:tc>
          <w:tcPr/>
          <w:p>
            <w:pPr>
              <w:pStyle w:val="Compact"/>
              <w:jc w:val="left"/>
            </w:pPr>
            <w:r>
              <w:t xml:space="preserve">+</w:t>
            </w:r>
          </w:p>
        </w:tc>
        <w:tc>
          <w:tcPr/>
          <w:p>
            <w:pPr>
              <w:pStyle w:val="Compact"/>
              <w:jc w:val="left"/>
            </w:pPr>
            <w:r>
              <w:t xml:space="preserve">Flp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Flp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Flp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Flp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Kol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Kol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Kol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Kol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1Tes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1Tes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1Tes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1Tes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Tt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Tt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Flm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Flm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Hbr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Hbr 2:16,itd.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Hbr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Hbr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Hbr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Hbr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Hbr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Hbr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Hbr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Hbr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Hbr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Hbr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Hbr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Hbr 11:20</w:t>
            </w:r>
          </w:p>
        </w:tc>
        <w:tc>
          <w:tcPr/>
          <w:p>
            <w:pPr>
              <w:pStyle w:val="Compact"/>
              <w:jc w:val="left"/>
            </w:pPr>
            <w:r>
              <w:t xml:space="preserve">ἡσαυ [30%] || ἠσαυ [70%] (also 12:16)</w:t>
            </w:r>
          </w:p>
        </w:tc>
      </w:tr>
      <w:tr>
        <w:tc>
          <w:tcPr/>
          <w:p>
            <w:pPr>
              <w:pStyle w:val="Compact"/>
              <w:jc w:val="left"/>
            </w:pPr>
            <w:r>
              <w:t xml:space="preserve">+--</w:t>
            </w:r>
          </w:p>
        </w:tc>
        <w:tc>
          <w:tcPr/>
          <w:p>
            <w:pPr>
              <w:pStyle w:val="Compact"/>
              <w:jc w:val="left"/>
            </w:pPr>
            <w:r>
              <w:t xml:space="preserve">Hbr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Hbr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Hbr 12:25</w:t>
            </w:r>
          </w:p>
        </w:tc>
        <w:tc>
          <w:tcPr/>
          <w:p>
            <w:pPr>
              <w:pStyle w:val="Compact"/>
              <w:jc w:val="left"/>
            </w:pPr>
            <w:r>
              <w:t xml:space="preserve">ουρανου [40%] || ουρανων [60%]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bCs/>
          <w:b/>
        </w:rPr>
        <w:t xml:space="preserve">Listy Powszechne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Jk 1:23</w:t>
            </w:r>
          </w:p>
        </w:tc>
        <w:tc>
          <w:tcPr/>
          <w:p>
            <w:pPr>
              <w:pStyle w:val="Compact"/>
              <w:jc w:val="left"/>
            </w:pPr>
            <w:r>
              <w:t xml:space="preserve">νομου [30%] || λογου [69%]</w:t>
            </w:r>
          </w:p>
        </w:tc>
      </w:tr>
      <w:tr>
        <w:tc>
          <w:tcPr/>
          <w:p>
            <w:pPr>
              <w:pStyle w:val="Compact"/>
              <w:jc w:val="left"/>
            </w:pPr>
            <w:r>
              <w:t xml:space="preserve">+--</w:t>
            </w:r>
          </w:p>
        </w:tc>
        <w:tc>
          <w:tcPr/>
          <w:p>
            <w:pPr>
              <w:pStyle w:val="Compact"/>
              <w:jc w:val="left"/>
            </w:pPr>
            <w:r>
              <w:t xml:space="preserve">Jk 1:26</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Jk 2:3</w:t>
            </w:r>
          </w:p>
        </w:tc>
        <w:tc>
          <w:tcPr/>
          <w:p>
            <w:pPr>
              <w:pStyle w:val="Compact"/>
              <w:jc w:val="left"/>
            </w:pPr>
            <w:r>
              <w:t xml:space="preserve">λαμπραν εσθητα [30%] || ~ 2 την 1 [70%]</w:t>
            </w:r>
          </w:p>
        </w:tc>
      </w:tr>
      <w:tr>
        <w:tc>
          <w:tcPr/>
          <w:p>
            <w:pPr>
              <w:pStyle w:val="Compact"/>
              <w:jc w:val="left"/>
            </w:pPr>
            <w:r>
              <w:t xml:space="preserve">++--</w:t>
            </w:r>
          </w:p>
        </w:tc>
        <w:tc>
          <w:tcPr/>
          <w:p>
            <w:pPr>
              <w:pStyle w:val="Compact"/>
              <w:jc w:val="left"/>
            </w:pPr>
            <w:r>
              <w:t xml:space="preserve">Jk 2:4</w:t>
            </w:r>
          </w:p>
        </w:tc>
        <w:tc>
          <w:tcPr/>
          <w:p>
            <w:pPr>
              <w:pStyle w:val="Compact"/>
              <w:jc w:val="left"/>
            </w:pPr>
            <w:r>
              <w:t xml:space="preserve">ου (26.8%) || και 1 (72.2%)</w:t>
            </w:r>
          </w:p>
        </w:tc>
      </w:tr>
      <w:tr>
        <w:tc>
          <w:tcPr/>
          <w:p>
            <w:pPr>
              <w:pStyle w:val="Compact"/>
              <w:jc w:val="left"/>
            </w:pPr>
            <w:r>
              <w:t xml:space="preserve">+++</w:t>
            </w:r>
          </w:p>
        </w:tc>
        <w:tc>
          <w:tcPr/>
          <w:p>
            <w:pPr>
              <w:pStyle w:val="Compact"/>
              <w:jc w:val="left"/>
            </w:pPr>
            <w:r>
              <w:t xml:space="preserve">Jk 2:13</w:t>
            </w:r>
          </w:p>
        </w:tc>
        <w:tc>
          <w:tcPr/>
          <w:p>
            <w:pPr>
              <w:pStyle w:val="Compact"/>
              <w:jc w:val="left"/>
            </w:pPr>
            <w:r>
              <w:t xml:space="preserve">ανηλεος [20%] || ανελεος [30%] || ανιλεως [50%]</w:t>
            </w:r>
          </w:p>
        </w:tc>
      </w:tr>
      <w:tr>
        <w:tc>
          <w:tcPr/>
          <w:p>
            <w:pPr>
              <w:pStyle w:val="Compact"/>
              <w:jc w:val="left"/>
            </w:pPr>
            <w:r>
              <w:t xml:space="preserve">++--</w:t>
            </w:r>
          </w:p>
        </w:tc>
        <w:tc>
          <w:tcPr/>
          <w:p>
            <w:pPr>
              <w:pStyle w:val="Compact"/>
              <w:jc w:val="left"/>
            </w:pPr>
            <w:r>
              <w:t xml:space="preserve">Jk 3:2</w:t>
            </w:r>
          </w:p>
        </w:tc>
        <w:tc>
          <w:tcPr/>
          <w:p>
            <w:pPr>
              <w:pStyle w:val="Compact"/>
              <w:jc w:val="left"/>
            </w:pPr>
            <w:r>
              <w:t xml:space="preserve">δυναμενος [23%] || δυνατος [76.5%]</w:t>
            </w:r>
          </w:p>
        </w:tc>
      </w:tr>
      <w:tr>
        <w:tc>
          <w:tcPr/>
          <w:p>
            <w:pPr>
              <w:pStyle w:val="Compact"/>
              <w:jc w:val="left"/>
            </w:pPr>
            <w:r>
              <w:t xml:space="preserve">+++</w:t>
            </w:r>
          </w:p>
        </w:tc>
        <w:tc>
          <w:tcPr/>
          <w:p>
            <w:pPr>
              <w:pStyle w:val="Compact"/>
              <w:jc w:val="left"/>
            </w:pPr>
            <w:r>
              <w:t xml:space="preserve">Jk 3:4</w:t>
            </w:r>
          </w:p>
        </w:tc>
        <w:tc>
          <w:tcPr/>
          <w:p>
            <w:pPr>
              <w:pStyle w:val="Compact"/>
              <w:jc w:val="left"/>
            </w:pPr>
            <w:r>
              <w:t xml:space="preserve">ιθυνοντος [21%] || ευθυνοντος [79%]</w:t>
            </w:r>
          </w:p>
        </w:tc>
      </w:tr>
      <w:tr>
        <w:tc>
          <w:tcPr/>
          <w:p>
            <w:pPr>
              <w:pStyle w:val="Compact"/>
              <w:jc w:val="left"/>
            </w:pPr>
            <w:r>
              <w:t xml:space="preserve">++--</w:t>
            </w:r>
          </w:p>
        </w:tc>
        <w:tc>
          <w:tcPr/>
          <w:p>
            <w:pPr>
              <w:pStyle w:val="Compact"/>
              <w:jc w:val="left"/>
            </w:pPr>
            <w:r>
              <w:t xml:space="preserve">Jk 4:11</w:t>
            </w:r>
          </w:p>
        </w:tc>
        <w:tc>
          <w:tcPr/>
          <w:p>
            <w:pPr>
              <w:pStyle w:val="Compact"/>
              <w:jc w:val="left"/>
            </w:pPr>
            <w:r>
              <w:t xml:space="preserve">γαρ [26%] || --- [74%]</w:t>
            </w:r>
          </w:p>
        </w:tc>
      </w:tr>
      <w:tr>
        <w:tc>
          <w:tcPr/>
          <w:p>
            <w:pPr>
              <w:pStyle w:val="Compact"/>
              <w:jc w:val="left"/>
            </w:pPr>
            <w:r>
              <w:t xml:space="preserve">++--</w:t>
            </w:r>
          </w:p>
        </w:tc>
        <w:tc>
          <w:tcPr/>
          <w:p>
            <w:pPr>
              <w:pStyle w:val="Compact"/>
              <w:jc w:val="left"/>
            </w:pPr>
            <w:r>
              <w:t xml:space="preserve">Jk 4:14</w:t>
            </w:r>
            <w:r>
              <w:rPr>
                <w:vertAlign w:val="superscript"/>
              </w:rPr>
              <w:t xml:space="preserve">a</w:t>
            </w:r>
          </w:p>
        </w:tc>
        <w:tc>
          <w:tcPr/>
          <w:p>
            <w:pPr>
              <w:pStyle w:val="Compact"/>
              <w:jc w:val="left"/>
            </w:pPr>
            <w:r>
              <w:t xml:space="preserve">ημων [26%] || υμων [74%]</w:t>
            </w:r>
          </w:p>
        </w:tc>
      </w:tr>
      <w:tr>
        <w:tc>
          <w:tcPr/>
          <w:p>
            <w:pPr>
              <w:pStyle w:val="Compact"/>
              <w:jc w:val="left"/>
            </w:pPr>
            <w:r>
              <w:t xml:space="preserve">++</w:t>
            </w:r>
          </w:p>
        </w:tc>
        <w:tc>
          <w:tcPr/>
          <w:p>
            <w:pPr>
              <w:pStyle w:val="Compact"/>
              <w:jc w:val="left"/>
            </w:pPr>
            <w:r>
              <w:t xml:space="preserve">Jk 4:14</w:t>
            </w:r>
            <w:r>
              <w:rPr>
                <w:vertAlign w:val="superscript"/>
              </w:rPr>
              <w:t xml:space="preserve">b</w:t>
            </w:r>
          </w:p>
        </w:tc>
        <w:tc>
          <w:tcPr/>
          <w:p>
            <w:pPr>
              <w:pStyle w:val="Compact"/>
              <w:jc w:val="left"/>
            </w:pPr>
            <w:r>
              <w:t xml:space="preserve">επειτα [29.5%] || 1 δε και [46%] || 1 δε [15%] || 1 και [9.5%]</w:t>
            </w:r>
          </w:p>
        </w:tc>
      </w:tr>
      <w:tr>
        <w:tc>
          <w:tcPr/>
          <w:p>
            <w:pPr>
              <w:pStyle w:val="Compact"/>
              <w:jc w:val="left"/>
            </w:pPr>
            <w:r>
              <w:t xml:space="preserve">+--</w:t>
            </w:r>
          </w:p>
        </w:tc>
        <w:tc>
          <w:tcPr/>
          <w:p>
            <w:pPr>
              <w:pStyle w:val="Compact"/>
              <w:jc w:val="left"/>
            </w:pPr>
            <w:r>
              <w:t xml:space="preserve">Jk 5:10</w:t>
            </w:r>
            <w:r>
              <w:rPr>
                <w:vertAlign w:val="superscript"/>
              </w:rPr>
              <w:t xml:space="preserve">a</w:t>
            </w:r>
          </w:p>
        </w:tc>
        <w:tc>
          <w:tcPr/>
          <w:p>
            <w:pPr>
              <w:pStyle w:val="Compact"/>
              <w:jc w:val="left"/>
            </w:pPr>
            <w:r>
              <w:t xml:space="preserve">αδελφοι [35%] || 1 μου [62%] ||</w:t>
            </w:r>
          </w:p>
        </w:tc>
      </w:tr>
      <w:tr>
        <w:tc>
          <w:tcPr/>
          <w:p>
            <w:pPr>
              <w:pStyle w:val="Compact"/>
              <w:jc w:val="left"/>
            </w:pPr>
            <w:r>
              <w:t xml:space="preserve">+</w:t>
            </w:r>
          </w:p>
        </w:tc>
        <w:tc>
          <w:tcPr/>
          <w:p>
            <w:pPr>
              <w:pStyle w:val="Compact"/>
              <w:jc w:val="left"/>
            </w:pPr>
            <w:r>
              <w:t xml:space="preserve">Jk 5:10</w:t>
            </w:r>
            <w:r>
              <w:rPr>
                <w:vertAlign w:val="superscript"/>
              </w:rPr>
              <w:t xml:space="preserve">b</w:t>
            </w:r>
          </w:p>
        </w:tc>
        <w:tc>
          <w:tcPr/>
          <w:p>
            <w:pPr>
              <w:pStyle w:val="Compact"/>
              <w:jc w:val="left"/>
            </w:pPr>
            <w:r>
              <w:t xml:space="preserve">εν τω [40%] || 2 [58%]</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1P 1:3</w:t>
            </w:r>
          </w:p>
        </w:tc>
        <w:tc>
          <w:tcPr/>
          <w:p>
            <w:pPr>
              <w:pStyle w:val="Compact"/>
              <w:jc w:val="left"/>
            </w:pPr>
            <w:r>
              <w:t xml:space="preserve">ελεος αυτου [38%] || ~ 21 [60%]</w:t>
            </w:r>
          </w:p>
        </w:tc>
      </w:tr>
      <w:tr>
        <w:tc>
          <w:tcPr/>
          <w:p>
            <w:pPr>
              <w:pStyle w:val="Compact"/>
              <w:jc w:val="left"/>
            </w:pPr>
            <w:r>
              <w:t xml:space="preserve">+--</w:t>
            </w:r>
          </w:p>
        </w:tc>
        <w:tc>
          <w:tcPr/>
          <w:p>
            <w:pPr>
              <w:pStyle w:val="Compact"/>
              <w:jc w:val="left"/>
            </w:pPr>
            <w:r>
              <w:t xml:space="preserve">1P 1:7</w:t>
            </w:r>
          </w:p>
        </w:tc>
        <w:tc>
          <w:tcPr/>
          <w:p>
            <w:pPr>
              <w:pStyle w:val="Compact"/>
              <w:jc w:val="left"/>
            </w:pPr>
            <w:r>
              <w:t xml:space="preserve">δοξαν και τιμην [35%] || ~ 321 [28%] || ~ 32 εις 1 [37%]</w:t>
            </w:r>
          </w:p>
        </w:tc>
      </w:tr>
      <w:tr>
        <w:tc>
          <w:tcPr/>
          <w:p>
            <w:pPr>
              <w:pStyle w:val="Compact"/>
              <w:jc w:val="left"/>
            </w:pPr>
            <w:r>
              <w:t xml:space="preserve">+</w:t>
            </w:r>
          </w:p>
        </w:tc>
        <w:tc>
          <w:tcPr/>
          <w:p>
            <w:pPr>
              <w:pStyle w:val="Compact"/>
              <w:jc w:val="left"/>
            </w:pPr>
            <w:r>
              <w:t xml:space="preserve">1P 1:23</w:t>
            </w:r>
          </w:p>
        </w:tc>
        <w:tc>
          <w:tcPr/>
          <w:p>
            <w:pPr>
              <w:pStyle w:val="Compact"/>
              <w:jc w:val="left"/>
            </w:pPr>
            <w:r>
              <w:t xml:space="preserve">αλλ [40%] || αλλα [60%]</w:t>
            </w:r>
          </w:p>
        </w:tc>
      </w:tr>
      <w:tr>
        <w:tc>
          <w:tcPr/>
          <w:p>
            <w:pPr>
              <w:pStyle w:val="Compact"/>
              <w:jc w:val="left"/>
            </w:pPr>
            <w:r>
              <w:t xml:space="preserve">+--</w:t>
            </w:r>
          </w:p>
        </w:tc>
        <w:tc>
          <w:tcPr/>
          <w:p>
            <w:pPr>
              <w:pStyle w:val="Compact"/>
              <w:jc w:val="left"/>
            </w:pPr>
            <w:r>
              <w:t xml:space="preserve">1P 2:6</w:t>
            </w:r>
          </w:p>
        </w:tc>
        <w:tc>
          <w:tcPr/>
          <w:p>
            <w:pPr>
              <w:pStyle w:val="Compact"/>
              <w:jc w:val="left"/>
            </w:pPr>
            <w:r>
              <w:t xml:space="preserve">ἡ [35%] || εν τη [59%] ||</w:t>
            </w:r>
          </w:p>
        </w:tc>
      </w:tr>
      <w:tr>
        <w:tc>
          <w:tcPr/>
          <w:p>
            <w:pPr>
              <w:pStyle w:val="Compact"/>
              <w:jc w:val="left"/>
            </w:pPr>
            <w:r>
              <w:t xml:space="preserve">++--</w:t>
            </w:r>
          </w:p>
        </w:tc>
        <w:tc>
          <w:tcPr/>
          <w:p>
            <w:pPr>
              <w:pStyle w:val="Compact"/>
              <w:jc w:val="left"/>
            </w:pPr>
            <w:r>
              <w:t xml:space="preserve">1P 2:21</w:t>
            </w:r>
          </w:p>
        </w:tc>
        <w:tc>
          <w:tcPr/>
          <w:p>
            <w:pPr>
              <w:pStyle w:val="Compact"/>
              <w:jc w:val="left"/>
            </w:pPr>
            <w:r>
              <w:t xml:space="preserve">και [23%] || --- [77%]</w:t>
            </w:r>
          </w:p>
        </w:tc>
      </w:tr>
      <w:tr>
        <w:tc>
          <w:tcPr/>
          <w:p>
            <w:pPr>
              <w:pStyle w:val="Compact"/>
              <w:jc w:val="left"/>
            </w:pPr>
            <w:r>
              <w:t xml:space="preserve">++--</w:t>
            </w:r>
          </w:p>
        </w:tc>
        <w:tc>
          <w:tcPr/>
          <w:p>
            <w:pPr>
              <w:pStyle w:val="Compact"/>
              <w:jc w:val="left"/>
            </w:pPr>
            <w:r>
              <w:t xml:space="preserve">1P 3:10</w:t>
            </w:r>
          </w:p>
        </w:tc>
        <w:tc>
          <w:tcPr/>
          <w:p>
            <w:pPr>
              <w:pStyle w:val="Compact"/>
              <w:jc w:val="left"/>
            </w:pPr>
            <w:r>
              <w:t xml:space="preserve">ημερας ιδειν [26%] || ~ 21 [74%]</w:t>
            </w:r>
          </w:p>
        </w:tc>
      </w:tr>
      <w:tr>
        <w:tc>
          <w:tcPr/>
          <w:p>
            <w:pPr>
              <w:pStyle w:val="Compact"/>
              <w:jc w:val="left"/>
            </w:pPr>
            <w:r>
              <w:t xml:space="preserve">+++</w:t>
            </w:r>
          </w:p>
        </w:tc>
        <w:tc>
          <w:tcPr/>
          <w:p>
            <w:pPr>
              <w:pStyle w:val="Compact"/>
              <w:jc w:val="left"/>
            </w:pPr>
            <w:r>
              <w:t xml:space="preserve">1P 3:16</w:t>
            </w:r>
          </w:p>
        </w:tc>
        <w:tc>
          <w:tcPr/>
          <w:p>
            <w:pPr>
              <w:pStyle w:val="Compact"/>
              <w:jc w:val="left"/>
            </w:pPr>
            <w:r>
              <w:t xml:space="preserve">τη αγαθη εν χριστω αναστροφη [20%] || την αγαθην 34 αναστροφην [50%] || ~ την 34 αγαθην αναστροφην [24%] || ||</w:t>
            </w:r>
          </w:p>
        </w:tc>
      </w:tr>
      <w:tr>
        <w:tc>
          <w:tcPr/>
          <w:p>
            <w:pPr>
              <w:pStyle w:val="Compact"/>
              <w:jc w:val="left"/>
            </w:pPr>
            <w:r>
              <w:t xml:space="preserve">+++</w:t>
            </w:r>
          </w:p>
        </w:tc>
        <w:tc>
          <w:tcPr/>
          <w:p>
            <w:pPr>
              <w:pStyle w:val="Compact"/>
              <w:jc w:val="left"/>
            </w:pPr>
            <w:r>
              <w:t xml:space="preserve">1P 4:2</w:t>
            </w:r>
          </w:p>
        </w:tc>
        <w:tc>
          <w:tcPr/>
          <w:p>
            <w:pPr>
              <w:pStyle w:val="Compact"/>
              <w:jc w:val="left"/>
            </w:pPr>
            <w:r>
              <w:t xml:space="preserve">του [22%] || --- [78%]</w:t>
            </w:r>
          </w:p>
        </w:tc>
      </w:tr>
      <w:tr>
        <w:tc>
          <w:tcPr/>
          <w:p>
            <w:pPr>
              <w:pStyle w:val="Compact"/>
              <w:jc w:val="left"/>
            </w:pPr>
            <w:r>
              <w:t xml:space="preserve">+</w:t>
            </w:r>
          </w:p>
        </w:tc>
        <w:tc>
          <w:tcPr/>
          <w:p>
            <w:pPr>
              <w:pStyle w:val="Compact"/>
              <w:jc w:val="left"/>
            </w:pPr>
            <w:r>
              <w:t xml:space="preserve">1P 4:3</w:t>
            </w:r>
            <w:r>
              <w:rPr>
                <w:vertAlign w:val="superscript"/>
              </w:rPr>
              <w:t xml:space="preserve">a</w:t>
            </w:r>
          </w:p>
        </w:tc>
        <w:tc>
          <w:tcPr/>
          <w:p>
            <w:pPr>
              <w:pStyle w:val="Compact"/>
              <w:jc w:val="left"/>
            </w:pPr>
            <w:r>
              <w:t xml:space="preserve">υμιν (41.7%) || ημιν (47.1%) || --- (11.2%)</w:t>
            </w:r>
          </w:p>
        </w:tc>
      </w:tr>
      <w:tr>
        <w:tc>
          <w:tcPr/>
          <w:p>
            <w:pPr>
              <w:pStyle w:val="Compact"/>
              <w:jc w:val="left"/>
            </w:pPr>
            <w:r>
              <w:t xml:space="preserve">++--</w:t>
            </w:r>
          </w:p>
        </w:tc>
        <w:tc>
          <w:tcPr/>
          <w:p>
            <w:pPr>
              <w:pStyle w:val="Compact"/>
              <w:jc w:val="left"/>
            </w:pPr>
            <w:r>
              <w:t xml:space="preserve">1P 4:3</w:t>
            </w:r>
            <w:r>
              <w:rPr>
                <w:vertAlign w:val="superscript"/>
              </w:rPr>
              <w:t xml:space="preserve">b</w:t>
            </w:r>
          </w:p>
        </w:tc>
        <w:tc>
          <w:tcPr/>
          <w:p>
            <w:pPr>
              <w:pStyle w:val="Compact"/>
              <w:jc w:val="left"/>
            </w:pPr>
            <w:r>
              <w:t xml:space="preserve">χρονος [26%] || 1 του βιου [74%]</w:t>
            </w:r>
          </w:p>
        </w:tc>
      </w:tr>
      <w:tr>
        <w:tc>
          <w:tcPr/>
          <w:p>
            <w:pPr>
              <w:pStyle w:val="Compact"/>
              <w:jc w:val="left"/>
            </w:pPr>
            <w:r>
              <w:t xml:space="preserve">+++</w:t>
            </w:r>
          </w:p>
        </w:tc>
        <w:tc>
          <w:tcPr/>
          <w:p>
            <w:pPr>
              <w:pStyle w:val="Compact"/>
              <w:jc w:val="left"/>
            </w:pPr>
            <w:r>
              <w:t xml:space="preserve">1P 4:11</w:t>
            </w:r>
            <w:r>
              <w:rPr>
                <w:vertAlign w:val="superscript"/>
              </w:rPr>
              <w:t xml:space="preserve">a</w:t>
            </w:r>
          </w:p>
        </w:tc>
        <w:tc>
          <w:tcPr/>
          <w:p>
            <w:pPr>
              <w:pStyle w:val="Compact"/>
              <w:jc w:val="left"/>
            </w:pPr>
            <w:r>
              <w:t xml:space="preserve">δοξαζηται θεος [20%] || 1 ο 2 [73%] ||</w:t>
            </w:r>
          </w:p>
        </w:tc>
      </w:tr>
      <w:tr>
        <w:tc>
          <w:tcPr/>
          <w:p>
            <w:pPr>
              <w:pStyle w:val="Compact"/>
              <w:jc w:val="left"/>
            </w:pPr>
            <w:r>
              <w:t xml:space="preserve">++--</w:t>
            </w:r>
          </w:p>
        </w:tc>
        <w:tc>
          <w:tcPr/>
          <w:p>
            <w:pPr>
              <w:pStyle w:val="Compact"/>
              <w:jc w:val="left"/>
            </w:pPr>
            <w:r>
              <w:t xml:space="preserve">1P 4:11</w:t>
            </w:r>
            <w:r>
              <w:rPr>
                <w:vertAlign w:val="superscript"/>
              </w:rPr>
              <w:t xml:space="preserve">b</w:t>
            </w:r>
          </w:p>
        </w:tc>
        <w:tc>
          <w:tcPr/>
          <w:p>
            <w:pPr>
              <w:pStyle w:val="Compact"/>
              <w:jc w:val="left"/>
            </w:pPr>
            <w:r>
              <w:t xml:space="preserve">αιωνας [27%] || 1 των αιωνων [73%]</w:t>
            </w:r>
          </w:p>
        </w:tc>
      </w:tr>
      <w:tr>
        <w:tc>
          <w:tcPr/>
          <w:p>
            <w:pPr>
              <w:pStyle w:val="Compact"/>
              <w:jc w:val="left"/>
            </w:pPr>
            <w:r>
              <w:t xml:space="preserve">+</w:t>
            </w:r>
          </w:p>
        </w:tc>
        <w:tc>
          <w:tcPr/>
          <w:p>
            <w:pPr>
              <w:pStyle w:val="Compact"/>
              <w:jc w:val="left"/>
            </w:pPr>
            <w:r>
              <w:t xml:space="preserve">1P 4:14</w:t>
            </w:r>
          </w:p>
        </w:tc>
        <w:tc>
          <w:tcPr/>
          <w:p>
            <w:pPr>
              <w:pStyle w:val="Compact"/>
              <w:jc w:val="left"/>
            </w:pPr>
            <w:r>
              <w:t xml:space="preserve">αναπεπαυται [39%] || αναπαυεται [52%] || ||</w:t>
            </w:r>
          </w:p>
        </w:tc>
      </w:tr>
      <w:tr>
        <w:tc>
          <w:tcPr/>
          <w:p>
            <w:pPr>
              <w:pStyle w:val="Compact"/>
              <w:jc w:val="left"/>
            </w:pPr>
            <w:r>
              <w:t xml:space="preserve">+--</w:t>
            </w:r>
          </w:p>
        </w:tc>
        <w:tc>
          <w:tcPr/>
          <w:p>
            <w:pPr>
              <w:pStyle w:val="Compact"/>
              <w:jc w:val="left"/>
            </w:pPr>
            <w:r>
              <w:t xml:space="preserve">1P 5:7</w:t>
            </w:r>
          </w:p>
        </w:tc>
        <w:tc>
          <w:tcPr/>
          <w:p>
            <w:pPr>
              <w:pStyle w:val="Compact"/>
              <w:jc w:val="left"/>
            </w:pPr>
            <w:r>
              <w:t xml:space="preserve">υπερ [35%] || περι [65%]</w:t>
            </w:r>
          </w:p>
        </w:tc>
      </w:tr>
      <w:tr>
        <w:tc>
          <w:tcPr/>
          <w:p>
            <w:pPr>
              <w:pStyle w:val="Compact"/>
              <w:jc w:val="left"/>
            </w:pPr>
            <w:r>
              <w:t xml:space="preserve">++--</w:t>
            </w:r>
          </w:p>
        </w:tc>
        <w:tc>
          <w:tcPr/>
          <w:p>
            <w:pPr>
              <w:pStyle w:val="Compact"/>
              <w:jc w:val="left"/>
            </w:pPr>
            <w:r>
              <w:t xml:space="preserve">1P 5:8</w:t>
            </w:r>
          </w:p>
        </w:tc>
        <w:tc>
          <w:tcPr/>
          <w:p>
            <w:pPr>
              <w:pStyle w:val="Compact"/>
              <w:jc w:val="left"/>
            </w:pPr>
            <w:r>
              <w:t xml:space="preserve">περιερχεται [24%] || περιπατει [76%]</w:t>
            </w:r>
          </w:p>
        </w:tc>
      </w:tr>
      <w:tr>
        <w:tc>
          <w:tcPr/>
          <w:p>
            <w:pPr>
              <w:pStyle w:val="Compact"/>
              <w:jc w:val="left"/>
            </w:pPr>
            <w:r>
              <w:t xml:space="preserve">++</w:t>
            </w:r>
          </w:p>
        </w:tc>
        <w:tc>
          <w:tcPr/>
          <w:p>
            <w:pPr>
              <w:pStyle w:val="Compact"/>
              <w:jc w:val="left"/>
            </w:pPr>
            <w:r>
              <w:t xml:space="preserve">1P 5:10</w:t>
            </w:r>
          </w:p>
        </w:tc>
        <w:tc>
          <w:tcPr/>
          <w:p>
            <w:pPr>
              <w:pStyle w:val="Compact"/>
              <w:jc w:val="left"/>
            </w:pPr>
            <w:r>
              <w:t xml:space="preserve">στηριξαι…σθενωσαι…θεμελιωσαι [30%] || στηριξει…σθενωσει…θεμελιωσει [66%]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2P 2:2</w:t>
            </w:r>
          </w:p>
        </w:tc>
        <w:tc>
          <w:tcPr/>
          <w:p>
            <w:pPr>
              <w:pStyle w:val="Compact"/>
              <w:jc w:val="left"/>
            </w:pPr>
            <w:r>
              <w:t xml:space="preserve">ας [20%] || ους [80%]</w:t>
            </w:r>
          </w:p>
        </w:tc>
      </w:tr>
      <w:tr>
        <w:tc>
          <w:tcPr/>
          <w:p>
            <w:pPr>
              <w:pStyle w:val="Compact"/>
              <w:jc w:val="left"/>
            </w:pPr>
            <w:r>
              <w:t xml:space="preserve">+--</w:t>
            </w:r>
          </w:p>
        </w:tc>
        <w:tc>
          <w:tcPr/>
          <w:p>
            <w:pPr>
              <w:pStyle w:val="Compact"/>
              <w:jc w:val="left"/>
            </w:pPr>
            <w:r>
              <w:t xml:space="preserve">2P 2:9</w:t>
            </w:r>
          </w:p>
        </w:tc>
        <w:tc>
          <w:tcPr/>
          <w:p>
            <w:pPr>
              <w:pStyle w:val="Compact"/>
              <w:jc w:val="left"/>
            </w:pPr>
            <w:r>
              <w:t xml:space="preserve">πειρασμων [33%] || πειρασμου [67%]</w:t>
            </w:r>
          </w:p>
        </w:tc>
      </w:tr>
      <w:tr>
        <w:tc>
          <w:tcPr/>
          <w:p>
            <w:pPr>
              <w:pStyle w:val="Compact"/>
              <w:jc w:val="left"/>
            </w:pPr>
            <w:r>
              <w:t xml:space="preserve">++--</w:t>
            </w:r>
          </w:p>
        </w:tc>
        <w:tc>
          <w:tcPr/>
          <w:p>
            <w:pPr>
              <w:pStyle w:val="Compact"/>
              <w:jc w:val="left"/>
            </w:pPr>
            <w:r>
              <w:t xml:space="preserve">2P 2:12</w:t>
            </w:r>
          </w:p>
        </w:tc>
        <w:tc>
          <w:tcPr/>
          <w:p>
            <w:pPr>
              <w:pStyle w:val="Compact"/>
              <w:jc w:val="left"/>
            </w:pPr>
            <w:r>
              <w:t xml:space="preserve">γεγενημενα φυσικα [26%] || ~ 21 [54%] || ||</w:t>
            </w:r>
          </w:p>
        </w:tc>
      </w:tr>
      <w:tr>
        <w:tc>
          <w:tcPr/>
          <w:p>
            <w:pPr>
              <w:pStyle w:val="Compact"/>
              <w:jc w:val="left"/>
            </w:pPr>
            <w:r>
              <w:t xml:space="preserve">++--</w:t>
            </w:r>
          </w:p>
        </w:tc>
        <w:tc>
          <w:tcPr/>
          <w:p>
            <w:pPr>
              <w:pStyle w:val="Compact"/>
              <w:jc w:val="left"/>
            </w:pPr>
            <w:r>
              <w:t xml:space="preserve">2P 2:17</w:t>
            </w:r>
          </w:p>
        </w:tc>
        <w:tc>
          <w:tcPr/>
          <w:p>
            <w:pPr>
              <w:pStyle w:val="Compact"/>
              <w:jc w:val="left"/>
            </w:pPr>
            <w:r>
              <w:t xml:space="preserve">εις αιωνας (25.1%) || 1 αιωνα (70.3%) || ||</w:t>
            </w:r>
          </w:p>
        </w:tc>
      </w:tr>
      <w:tr>
        <w:tc>
          <w:tcPr/>
          <w:p>
            <w:pPr>
              <w:pStyle w:val="Compact"/>
              <w:jc w:val="left"/>
            </w:pPr>
            <w:r>
              <w:t xml:space="preserve">+</w:t>
            </w:r>
          </w:p>
        </w:tc>
        <w:tc>
          <w:tcPr/>
          <w:p>
            <w:pPr>
              <w:pStyle w:val="Compact"/>
              <w:jc w:val="left"/>
            </w:pPr>
            <w:r>
              <w:t xml:space="preserve">2P 2:18</w:t>
            </w:r>
          </w:p>
        </w:tc>
        <w:tc>
          <w:tcPr/>
          <w:p>
            <w:pPr>
              <w:pStyle w:val="Compact"/>
              <w:jc w:val="left"/>
            </w:pPr>
            <w:r>
              <w:t xml:space="preserve">ασελγειας [40%] || ασελγειαις [60%]</w:t>
            </w:r>
          </w:p>
        </w:tc>
      </w:tr>
      <w:tr>
        <w:tc>
          <w:tcPr/>
          <w:p>
            <w:pPr>
              <w:pStyle w:val="Compact"/>
              <w:jc w:val="left"/>
            </w:pPr>
            <w:r>
              <w:t xml:space="preserve">+++</w:t>
            </w:r>
          </w:p>
        </w:tc>
        <w:tc>
          <w:tcPr/>
          <w:p>
            <w:pPr>
              <w:pStyle w:val="Compact"/>
              <w:jc w:val="left"/>
            </w:pPr>
            <w:r>
              <w:t xml:space="preserve">2P 3:1</w:t>
            </w:r>
          </w:p>
        </w:tc>
        <w:tc>
          <w:tcPr/>
          <w:p>
            <w:pPr>
              <w:pStyle w:val="Compact"/>
              <w:jc w:val="left"/>
            </w:pPr>
            <w:r>
              <w:t xml:space="preserve">εἱλικρινη [20%] || ειλικρινη [80%]</w:t>
            </w:r>
          </w:p>
        </w:tc>
      </w:tr>
      <w:tr>
        <w:tc>
          <w:tcPr/>
          <w:p>
            <w:pPr>
              <w:pStyle w:val="Compact"/>
              <w:jc w:val="left"/>
            </w:pPr>
            <w:r>
              <w:t xml:space="preserve">++--</w:t>
            </w:r>
          </w:p>
        </w:tc>
        <w:tc>
          <w:tcPr/>
          <w:p>
            <w:pPr>
              <w:pStyle w:val="Compact"/>
              <w:jc w:val="left"/>
            </w:pPr>
            <w:r>
              <w:t xml:space="preserve">2P 3:5</w:t>
            </w:r>
          </w:p>
        </w:tc>
        <w:tc>
          <w:tcPr/>
          <w:p>
            <w:pPr>
              <w:pStyle w:val="Compact"/>
              <w:jc w:val="left"/>
            </w:pPr>
            <w:r>
              <w:t xml:space="preserve">συνεστωτα [23%] || συνεστωσα [76%]</w:t>
            </w:r>
          </w:p>
        </w:tc>
      </w:tr>
      <w:tr>
        <w:tc>
          <w:tcPr/>
          <w:p>
            <w:pPr>
              <w:pStyle w:val="Compact"/>
              <w:jc w:val="left"/>
            </w:pPr>
            <w:r>
              <w:t xml:space="preserve">+--</w:t>
            </w:r>
          </w:p>
        </w:tc>
        <w:tc>
          <w:tcPr/>
          <w:p>
            <w:pPr>
              <w:pStyle w:val="Compact"/>
              <w:jc w:val="left"/>
            </w:pPr>
            <w:r>
              <w:t xml:space="preserve">2P 3:16</w:t>
            </w:r>
          </w:p>
        </w:tc>
        <w:tc>
          <w:tcPr/>
          <w:p>
            <w:pPr>
              <w:pStyle w:val="Compact"/>
              <w:jc w:val="left"/>
            </w:pPr>
            <w:r>
              <w:t xml:space="preserve">εισιν [33%] || εστιν [67%]</w:t>
            </w:r>
          </w:p>
        </w:tc>
      </w:tr>
      <w:tr>
        <w:tc>
          <w:tcPr/>
          <w:p>
            <w:pPr>
              <w:pStyle w:val="Compact"/>
              <w:jc w:val="left"/>
            </w:pPr>
            <w:r>
              <w:t xml:space="preserve">++--</w:t>
            </w:r>
          </w:p>
        </w:tc>
        <w:tc>
          <w:tcPr/>
          <w:p>
            <w:pPr>
              <w:pStyle w:val="Compact"/>
              <w:jc w:val="left"/>
            </w:pPr>
            <w:r>
              <w:t xml:space="preserve">2P 3:18</w:t>
            </w:r>
          </w:p>
        </w:tc>
        <w:tc>
          <w:tcPr/>
          <w:p>
            <w:pPr>
              <w:pStyle w:val="Compact"/>
              <w:jc w:val="left"/>
            </w:pPr>
            <w:r>
              <w:t xml:space="preserve">αυξανητε [27%] || αυξανετε [60%] ||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1J 1:6</w:t>
            </w:r>
          </w:p>
        </w:tc>
        <w:tc>
          <w:tcPr/>
          <w:p>
            <w:pPr>
              <w:pStyle w:val="Compact"/>
              <w:jc w:val="left"/>
            </w:pPr>
            <w:r>
              <w:t xml:space="preserve">περιπατουμεν [29%] || περιπατωμεν [71%]</w:t>
            </w:r>
          </w:p>
        </w:tc>
      </w:tr>
      <w:tr>
        <w:tc>
          <w:tcPr/>
          <w:p>
            <w:pPr>
              <w:pStyle w:val="Compact"/>
              <w:jc w:val="left"/>
            </w:pPr>
            <w:r>
              <w:t xml:space="preserve">+--</w:t>
            </w:r>
          </w:p>
        </w:tc>
        <w:tc>
          <w:tcPr/>
          <w:p>
            <w:pPr>
              <w:pStyle w:val="Compact"/>
              <w:jc w:val="left"/>
            </w:pPr>
            <w:r>
              <w:t xml:space="preserve">1J 2:24</w:t>
            </w:r>
          </w:p>
        </w:tc>
        <w:tc>
          <w:tcPr/>
          <w:p>
            <w:pPr>
              <w:pStyle w:val="Compact"/>
              <w:jc w:val="left"/>
            </w:pPr>
            <w:r>
              <w:t xml:space="preserve">πατρι και εν τω υιω [35%] || ~ 52341 [65%]</w:t>
            </w:r>
          </w:p>
        </w:tc>
      </w:tr>
      <w:tr>
        <w:tc>
          <w:tcPr/>
          <w:p>
            <w:pPr>
              <w:pStyle w:val="Compact"/>
              <w:jc w:val="left"/>
            </w:pPr>
            <w:r>
              <w:t xml:space="preserve">+--</w:t>
            </w:r>
          </w:p>
        </w:tc>
        <w:tc>
          <w:tcPr/>
          <w:p>
            <w:pPr>
              <w:pStyle w:val="Compact"/>
              <w:jc w:val="left"/>
            </w:pPr>
            <w:r>
              <w:t xml:space="preserve">1J 2:29</w:t>
            </w:r>
          </w:p>
        </w:tc>
        <w:tc>
          <w:tcPr/>
          <w:p>
            <w:pPr>
              <w:pStyle w:val="Compact"/>
              <w:jc w:val="left"/>
            </w:pPr>
            <w:r>
              <w:t xml:space="preserve">ειδητε [37%] || ιδητε [59%] ||</w:t>
            </w:r>
          </w:p>
        </w:tc>
      </w:tr>
      <w:tr>
        <w:tc>
          <w:tcPr/>
          <w:p>
            <w:pPr>
              <w:pStyle w:val="Compact"/>
              <w:jc w:val="left"/>
            </w:pPr>
            <w:r>
              <w:t xml:space="preserve">+--</w:t>
            </w:r>
          </w:p>
        </w:tc>
        <w:tc>
          <w:tcPr/>
          <w:p>
            <w:pPr>
              <w:pStyle w:val="Compact"/>
              <w:jc w:val="left"/>
            </w:pPr>
            <w:r>
              <w:t xml:space="preserve">1J 3:1</w:t>
            </w:r>
          </w:p>
        </w:tc>
        <w:tc>
          <w:tcPr/>
          <w:p>
            <w:pPr>
              <w:pStyle w:val="Compact"/>
              <w:jc w:val="left"/>
            </w:pPr>
            <w:r>
              <w:t xml:space="preserve">ημας [36%] || υμας [63.5%]</w:t>
            </w:r>
          </w:p>
        </w:tc>
      </w:tr>
      <w:tr>
        <w:tc>
          <w:tcPr/>
          <w:p>
            <w:pPr>
              <w:pStyle w:val="Compact"/>
              <w:jc w:val="left"/>
            </w:pPr>
            <w:r>
              <w:t xml:space="preserve">+++</w:t>
            </w:r>
          </w:p>
        </w:tc>
        <w:tc>
          <w:tcPr/>
          <w:p>
            <w:pPr>
              <w:pStyle w:val="Compact"/>
              <w:jc w:val="left"/>
            </w:pPr>
            <w:r>
              <w:t xml:space="preserve">1J 3:6</w:t>
            </w:r>
          </w:p>
        </w:tc>
        <w:tc>
          <w:tcPr/>
          <w:p>
            <w:pPr>
              <w:pStyle w:val="Compact"/>
              <w:jc w:val="left"/>
            </w:pPr>
            <w:r>
              <w:t xml:space="preserve">και [20%] || --- [80%]</w:t>
            </w:r>
          </w:p>
        </w:tc>
      </w:tr>
      <w:tr>
        <w:tc>
          <w:tcPr/>
          <w:p>
            <w:pPr>
              <w:pStyle w:val="Compact"/>
              <w:jc w:val="left"/>
            </w:pPr>
            <w:r>
              <w:t xml:space="preserve">++</w:t>
            </w:r>
          </w:p>
        </w:tc>
        <w:tc>
          <w:tcPr/>
          <w:p>
            <w:pPr>
              <w:pStyle w:val="Compact"/>
              <w:jc w:val="left"/>
            </w:pPr>
            <w:r>
              <w:t xml:space="preserve">1J 3:24</w:t>
            </w:r>
          </w:p>
        </w:tc>
        <w:tc>
          <w:tcPr/>
          <w:p>
            <w:pPr>
              <w:pStyle w:val="Compact"/>
              <w:jc w:val="left"/>
            </w:pPr>
            <w:r>
              <w:t xml:space="preserve">εν [30%] || και 1 [70%]</w:t>
            </w:r>
          </w:p>
        </w:tc>
      </w:tr>
      <w:tr>
        <w:tc>
          <w:tcPr/>
          <w:p>
            <w:pPr>
              <w:pStyle w:val="Compact"/>
              <w:jc w:val="left"/>
            </w:pPr>
            <w:r>
              <w:t xml:space="preserve">+--</w:t>
            </w:r>
          </w:p>
        </w:tc>
        <w:tc>
          <w:tcPr/>
          <w:p>
            <w:pPr>
              <w:pStyle w:val="Compact"/>
              <w:jc w:val="left"/>
            </w:pPr>
            <w:r>
              <w:t xml:space="preserve">1J 4:16</w:t>
            </w:r>
          </w:p>
        </w:tc>
        <w:tc>
          <w:tcPr/>
          <w:p>
            <w:pPr>
              <w:pStyle w:val="Compact"/>
              <w:jc w:val="left"/>
            </w:pPr>
            <w:r>
              <w:t xml:space="preserve">αυτω [37%] || 1 μενει [63%]</w:t>
            </w:r>
          </w:p>
        </w:tc>
      </w:tr>
      <w:tr>
        <w:tc>
          <w:tcPr/>
          <w:p>
            <w:pPr>
              <w:pStyle w:val="Compact"/>
              <w:jc w:val="left"/>
            </w:pPr>
            <w:r>
              <w:t xml:space="preserve">++--</w:t>
            </w:r>
          </w:p>
        </w:tc>
        <w:tc>
          <w:tcPr/>
          <w:p>
            <w:pPr>
              <w:pStyle w:val="Compact"/>
              <w:jc w:val="left"/>
            </w:pPr>
            <w:r>
              <w:t xml:space="preserve">1J 5:11</w:t>
            </w:r>
          </w:p>
        </w:tc>
        <w:tc>
          <w:tcPr/>
          <w:p>
            <w:pPr>
              <w:pStyle w:val="Compact"/>
              <w:jc w:val="left"/>
            </w:pPr>
            <w:r>
              <w:t xml:space="preserve">ο θεος ημιν [24%] || ~ 312 [76%]</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2J 5</w:t>
            </w:r>
          </w:p>
        </w:tc>
        <w:tc>
          <w:tcPr/>
          <w:p>
            <w:pPr>
              <w:pStyle w:val="Compact"/>
              <w:jc w:val="left"/>
            </w:pPr>
            <w:r>
              <w:t xml:space="preserve">εχομεν [32%] || ειχομεν [68%]</w:t>
            </w:r>
          </w:p>
        </w:tc>
      </w:tr>
      <w:tr>
        <w:tc>
          <w:tcPr/>
          <w:p>
            <w:pPr>
              <w:pStyle w:val="Compact"/>
              <w:jc w:val="left"/>
            </w:pPr>
            <w:r>
              <w:t xml:space="preserve">+++</w:t>
            </w:r>
          </w:p>
        </w:tc>
        <w:tc>
          <w:tcPr/>
          <w:p>
            <w:pPr>
              <w:pStyle w:val="Compact"/>
              <w:jc w:val="left"/>
            </w:pPr>
            <w:r>
              <w:t xml:space="preserve">2J 9</w:t>
            </w:r>
          </w:p>
        </w:tc>
        <w:tc>
          <w:tcPr/>
          <w:p>
            <w:pPr>
              <w:pStyle w:val="Compact"/>
              <w:jc w:val="left"/>
            </w:pPr>
            <w:r>
              <w:t xml:space="preserve">δε [20%] || ---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3J 11</w:t>
            </w:r>
          </w:p>
        </w:tc>
        <w:tc>
          <w:tcPr/>
          <w:p>
            <w:pPr>
              <w:pStyle w:val="Compact"/>
              <w:jc w:val="left"/>
            </w:pPr>
            <w:r>
              <w:t xml:space="preserve">δε [25%] || --- [75%]</w:t>
            </w:r>
          </w:p>
        </w:tc>
      </w:tr>
      <w:tr>
        <w:tc>
          <w:tcPr/>
          <w:p>
            <w:pPr>
              <w:pStyle w:val="Compact"/>
              <w:jc w:val="left"/>
            </w:pPr>
            <w:r>
              <w:t xml:space="preserve">++--</w:t>
            </w:r>
          </w:p>
        </w:tc>
        <w:tc>
          <w:tcPr/>
          <w:p>
            <w:pPr>
              <w:pStyle w:val="Compact"/>
              <w:jc w:val="left"/>
            </w:pPr>
            <w:r>
              <w:t xml:space="preserve">3J 12</w:t>
            </w:r>
          </w:p>
        </w:tc>
        <w:tc>
          <w:tcPr/>
          <w:p>
            <w:pPr>
              <w:pStyle w:val="Compact"/>
              <w:jc w:val="left"/>
            </w:pPr>
            <w:r>
              <w:t xml:space="preserve">οιδαμεν (23%) || οιδατε (61.5%) || οιδας (15.1%)</w:t>
            </w:r>
          </w:p>
        </w:tc>
      </w:tr>
    </w:tbl>
    <w:p>
      <w:pPr>
        <w:pStyle w:val="BodyText"/>
      </w:pPr>
      <w:r>
        <w:rPr>
          <w:bCs/>
          <w:b/>
        </w:rPr>
        <w:t xml:space="preserve">Brak dla Listu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(9)</w:t>
            </w:r>
          </w:p>
        </w:tc>
      </w:tr>
      <w:tr>
        <w:tc>
          <w:tcPr/>
          <w:p>
            <w:pPr>
              <w:pStyle w:val="Compact"/>
              <w:jc w:val="left"/>
            </w:pPr>
            <w:r>
              <w:t xml:space="preserve">++--</w:t>
            </w:r>
          </w:p>
        </w:tc>
        <w:tc>
          <w:tcPr/>
          <w:p>
            <w:pPr>
              <w:pStyle w:val="Compact"/>
              <w:jc w:val="left"/>
            </w:pPr>
            <w:r>
              <w:t xml:space="preserve">około 25% = całkiem dobre (16)</w:t>
            </w:r>
          </w:p>
        </w:tc>
      </w:tr>
      <w:tr>
        <w:tc>
          <w:tcPr/>
          <w:p>
            <w:pPr>
              <w:pStyle w:val="Compact"/>
              <w:jc w:val="left"/>
            </w:pPr>
            <w:r>
              <w:t xml:space="preserve">++</w:t>
            </w:r>
          </w:p>
        </w:tc>
        <w:tc>
          <w:tcPr/>
          <w:p>
            <w:pPr>
              <w:pStyle w:val="Compact"/>
              <w:jc w:val="left"/>
            </w:pPr>
            <w:r>
              <w:t xml:space="preserve">około 30% = niezłe (7)</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(6)</w:t>
            </w:r>
          </w:p>
        </w:tc>
      </w:tr>
    </w:tbl>
    <w:p>
      <w:pPr>
        <w:pStyle w:val="BodyText"/>
      </w:pPr>
      <w:r>
        <w:t xml:space="preserve">Łącznie: 49</w:t>
      </w:r>
    </w:p>
    <w:p>
      <w:pPr>
        <w:pStyle w:val="BodyText"/>
      </w:pPr>
      <w:r>
        <w:rPr>
          <w:bCs/>
          <w:b/>
        </w:rPr>
        <w:t xml:space="preserve">Objawienie Jana</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w:t>
            </w:r>
          </w:p>
        </w:tc>
        <w:tc>
          <w:tcPr/>
          <w:p>
            <w:pPr>
              <w:pStyle w:val="Compact"/>
              <w:jc w:val="left"/>
            </w:pPr>
            <w:r>
              <w:t xml:space="preserve">ἅ || ἁτινα || ---</w:t>
            </w:r>
          </w:p>
        </w:tc>
      </w:tr>
      <w:tr>
        <w:tc>
          <w:tcPr/>
          <w:p>
            <w:pPr>
              <w:pStyle w:val="Compact"/>
              <w:jc w:val="left"/>
            </w:pPr>
            <w:r>
              <w:t xml:space="preserve">+</w:t>
            </w:r>
          </w:p>
        </w:tc>
        <w:tc>
          <w:tcPr/>
          <w:p>
            <w:pPr>
              <w:pStyle w:val="Compact"/>
              <w:jc w:val="left"/>
            </w:pPr>
            <w:r>
              <w:t xml:space="preserve">1:5</w:t>
            </w:r>
          </w:p>
        </w:tc>
        <w:tc>
          <w:tcPr/>
          <w:p>
            <w:pPr>
              <w:pStyle w:val="Compact"/>
              <w:jc w:val="left"/>
            </w:pPr>
            <w:r>
              <w:t xml:space="preserve">εκ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μαζοις || μαστοις || μασθοις</w:t>
            </w:r>
          </w:p>
        </w:tc>
      </w:tr>
      <w:tr>
        <w:tc>
          <w:tcPr/>
          <w:p>
            <w:pPr>
              <w:pStyle w:val="Compact"/>
              <w:jc w:val="left"/>
            </w:pPr>
            <w:r>
              <w:t xml:space="preserve">+--</w:t>
            </w:r>
          </w:p>
        </w:tc>
        <w:tc>
          <w:tcPr/>
          <w:p>
            <w:pPr>
              <w:pStyle w:val="Compact"/>
              <w:jc w:val="left"/>
            </w:pPr>
            <w:r>
              <w:t xml:space="preserve">2:2</w:t>
            </w:r>
          </w:p>
        </w:tc>
        <w:tc>
          <w:tcPr/>
          <w:p>
            <w:pPr>
              <w:pStyle w:val="Compact"/>
              <w:jc w:val="left"/>
            </w:pPr>
            <w:r>
              <w:t xml:space="preserve">κοπον || 1 σου</w:t>
            </w:r>
          </w:p>
        </w:tc>
      </w:tr>
      <w:tr>
        <w:tc>
          <w:tcPr/>
          <w:p>
            <w:pPr>
              <w:pStyle w:val="Compact"/>
              <w:jc w:val="left"/>
            </w:pPr>
            <w:r>
              <w:t xml:space="preserve">++--</w:t>
            </w:r>
          </w:p>
        </w:tc>
        <w:tc>
          <w:tcPr/>
          <w:p>
            <w:pPr>
              <w:pStyle w:val="Compact"/>
              <w:jc w:val="left"/>
            </w:pPr>
            <w:r>
              <w:t xml:space="preserve">2:7</w:t>
            </w:r>
          </w:p>
        </w:tc>
        <w:tc>
          <w:tcPr/>
          <w:p>
            <w:pPr>
              <w:pStyle w:val="Compact"/>
              <w:jc w:val="left"/>
            </w:pPr>
            <w:r>
              <w:t xml:space="preserve">δωσω || 1 αυτω</w:t>
            </w:r>
          </w:p>
        </w:tc>
      </w:tr>
      <w:tr>
        <w:tc>
          <w:tcPr/>
          <w:p>
            <w:pPr>
              <w:pStyle w:val="Compact"/>
              <w:jc w:val="left"/>
            </w:pPr>
            <w:r>
              <w:t xml:space="preserve">++--</w:t>
            </w:r>
          </w:p>
        </w:tc>
        <w:tc>
          <w:tcPr/>
          <w:p>
            <w:pPr>
              <w:pStyle w:val="Compact"/>
              <w:jc w:val="left"/>
            </w:pPr>
            <w:r>
              <w:t xml:space="preserve">2:24</w:t>
            </w:r>
          </w:p>
        </w:tc>
        <w:tc>
          <w:tcPr/>
          <w:p>
            <w:pPr>
              <w:pStyle w:val="Compact"/>
              <w:jc w:val="left"/>
            </w:pPr>
            <w:r>
              <w:t xml:space="preserve">βαλω || βαλλω</w:t>
            </w:r>
          </w:p>
        </w:tc>
      </w:tr>
      <w:tr>
        <w:tc>
          <w:tcPr/>
          <w:p>
            <w:pPr>
              <w:pStyle w:val="Compact"/>
              <w:jc w:val="left"/>
            </w:pPr>
            <w:r>
              <w:t xml:space="preserve">+++</w:t>
            </w:r>
          </w:p>
        </w:tc>
        <w:tc>
          <w:tcPr/>
          <w:p>
            <w:pPr>
              <w:pStyle w:val="Compact"/>
              <w:jc w:val="left"/>
            </w:pPr>
            <w:r>
              <w:t xml:space="preserve">3:2</w:t>
            </w:r>
          </w:p>
        </w:tc>
        <w:tc>
          <w:tcPr/>
          <w:p>
            <w:pPr>
              <w:pStyle w:val="Compact"/>
              <w:jc w:val="left"/>
            </w:pPr>
            <w:r>
              <w:t xml:space="preserve">εμελλες αποβαλειν || 1 αποβαλλειν || ημελλες αποβαλλειν || itd.</w:t>
            </w:r>
          </w:p>
        </w:tc>
      </w:tr>
      <w:tr>
        <w:tc>
          <w:tcPr/>
          <w:p>
            <w:pPr>
              <w:pStyle w:val="Compact"/>
              <w:jc w:val="left"/>
            </w:pPr>
            <w:r>
              <w:t xml:space="preserve">+--</w:t>
            </w:r>
          </w:p>
        </w:tc>
        <w:tc>
          <w:tcPr/>
          <w:p>
            <w:pPr>
              <w:pStyle w:val="Compact"/>
              <w:jc w:val="left"/>
            </w:pPr>
            <w:r>
              <w:t xml:space="preserve">3:5</w:t>
            </w:r>
          </w:p>
        </w:tc>
        <w:tc>
          <w:tcPr/>
          <w:p>
            <w:pPr>
              <w:pStyle w:val="Compact"/>
              <w:jc w:val="left"/>
            </w:pPr>
            <w:r>
              <w:t xml:space="preserve">ουτως || ουτος</w:t>
            </w:r>
          </w:p>
        </w:tc>
      </w:tr>
      <w:tr>
        <w:tc>
          <w:tcPr/>
          <w:p>
            <w:pPr>
              <w:pStyle w:val="Compact"/>
              <w:jc w:val="left"/>
            </w:pPr>
            <w:r>
              <w:t xml:space="preserve">++</w:t>
            </w:r>
          </w:p>
        </w:tc>
        <w:tc>
          <w:tcPr/>
          <w:p>
            <w:pPr>
              <w:pStyle w:val="Compact"/>
              <w:jc w:val="left"/>
            </w:pPr>
            <w:r>
              <w:t xml:space="preserve">3:18</w:t>
            </w:r>
            <w:r>
              <w:rPr>
                <w:vertAlign w:val="superscript"/>
              </w:rPr>
              <w:t xml:space="preserve">a</w:t>
            </w:r>
          </w:p>
        </w:tc>
        <w:tc>
          <w:tcPr/>
          <w:p>
            <w:pPr>
              <w:pStyle w:val="Compact"/>
              <w:jc w:val="left"/>
            </w:pPr>
            <w:r>
              <w:t xml:space="preserve">κολλουριον || κουλουριον || κολλυριον</w:t>
            </w:r>
          </w:p>
        </w:tc>
      </w:tr>
      <w:tr>
        <w:tc>
          <w:tcPr/>
          <w:p>
            <w:pPr>
              <w:pStyle w:val="Compact"/>
              <w:jc w:val="left"/>
            </w:pPr>
            <w:r>
              <w:t xml:space="preserve">+++</w:t>
            </w:r>
          </w:p>
        </w:tc>
        <w:tc>
          <w:tcPr/>
          <w:p>
            <w:pPr>
              <w:pStyle w:val="Compact"/>
              <w:jc w:val="left"/>
            </w:pPr>
            <w:r>
              <w:t xml:space="preserve">3:18</w:t>
            </w:r>
            <w:r>
              <w:rPr>
                <w:vertAlign w:val="superscript"/>
              </w:rPr>
              <w:t xml:space="preserve">b</w:t>
            </w:r>
          </w:p>
        </w:tc>
        <w:tc>
          <w:tcPr/>
          <w:p>
            <w:pPr>
              <w:pStyle w:val="Compact"/>
              <w:jc w:val="left"/>
            </w:pPr>
            <w:r>
              <w:t xml:space="preserve">εγχρισον επι || 1 || ινα εγχριση || ινα εγχρισαι || εγχρισαι || itd.</w:t>
            </w:r>
          </w:p>
        </w:tc>
      </w:tr>
      <w:tr>
        <w:tc>
          <w:tcPr/>
          <w:p>
            <w:pPr>
              <w:pStyle w:val="Compact"/>
              <w:jc w:val="left"/>
            </w:pPr>
            <w:r>
              <w:t xml:space="preserve">+</w:t>
            </w:r>
          </w:p>
        </w:tc>
        <w:tc>
          <w:tcPr/>
          <w:p>
            <w:pPr>
              <w:pStyle w:val="Compact"/>
              <w:jc w:val="left"/>
            </w:pPr>
            <w:r>
              <w:t xml:space="preserve">4:3</w:t>
            </w:r>
          </w:p>
        </w:tc>
        <w:tc>
          <w:tcPr/>
          <w:p>
            <w:pPr>
              <w:pStyle w:val="Compact"/>
              <w:jc w:val="left"/>
            </w:pPr>
            <w:r>
              <w:t xml:space="preserve">ομοια || ομοιος || ομοιως</w:t>
            </w:r>
          </w:p>
        </w:tc>
      </w:tr>
      <w:tr>
        <w:tc>
          <w:tcPr/>
          <w:p>
            <w:pPr>
              <w:pStyle w:val="Compact"/>
              <w:jc w:val="left"/>
            </w:pPr>
            <w:r>
              <w:t xml:space="preserve">+++</w:t>
            </w:r>
          </w:p>
        </w:tc>
        <w:tc>
          <w:tcPr/>
          <w:p>
            <w:pPr>
              <w:pStyle w:val="Compact"/>
              <w:jc w:val="left"/>
            </w:pPr>
            <w:r>
              <w:t xml:space="preserve">4:4</w:t>
            </w:r>
          </w:p>
        </w:tc>
        <w:tc>
          <w:tcPr/>
          <w:p>
            <w:pPr>
              <w:pStyle w:val="Compact"/>
              <w:jc w:val="left"/>
            </w:pPr>
            <w:r>
              <w:t xml:space="preserve">ειδον || ---</w:t>
            </w:r>
          </w:p>
        </w:tc>
      </w:tr>
      <w:tr>
        <w:tc>
          <w:tcPr/>
          <w:p>
            <w:pPr>
              <w:pStyle w:val="Compact"/>
              <w:jc w:val="left"/>
            </w:pPr>
            <w:r>
              <w:t xml:space="preserve">+</w:t>
            </w:r>
          </w:p>
        </w:tc>
        <w:tc>
          <w:tcPr/>
          <w:p>
            <w:pPr>
              <w:pStyle w:val="Compact"/>
              <w:jc w:val="left"/>
            </w:pPr>
            <w:r>
              <w:t xml:space="preserve">4:6</w:t>
            </w:r>
          </w:p>
        </w:tc>
        <w:tc>
          <w:tcPr/>
          <w:p>
            <w:pPr>
              <w:pStyle w:val="Compact"/>
              <w:jc w:val="left"/>
            </w:pPr>
            <w:r>
              <w:t xml:space="preserve">κρυσταλω || κρυσταλλω</w:t>
            </w:r>
          </w:p>
        </w:tc>
      </w:tr>
      <w:tr>
        <w:tc>
          <w:tcPr/>
          <w:p>
            <w:pPr>
              <w:pStyle w:val="Compact"/>
              <w:jc w:val="left"/>
            </w:pPr>
            <w:r>
              <w:t xml:space="preserve">+++</w:t>
            </w:r>
          </w:p>
        </w:tc>
        <w:tc>
          <w:tcPr/>
          <w:p>
            <w:pPr>
              <w:pStyle w:val="Compact"/>
              <w:jc w:val="left"/>
            </w:pPr>
            <w:r>
              <w:t xml:space="preserve">4:8</w:t>
            </w:r>
          </w:p>
        </w:tc>
        <w:tc>
          <w:tcPr/>
          <w:p>
            <w:pPr>
              <w:pStyle w:val="Compact"/>
              <w:jc w:val="left"/>
            </w:pPr>
            <w:r>
              <w:t xml:space="preserve">λεγοντα || λεγοντες</w:t>
            </w:r>
          </w:p>
        </w:tc>
      </w:tr>
      <w:tr>
        <w:tc>
          <w:tcPr/>
          <w:p>
            <w:pPr>
              <w:pStyle w:val="Compact"/>
              <w:jc w:val="left"/>
            </w:pPr>
            <w:r>
              <w:t xml:space="preserve">+</w:t>
            </w:r>
          </w:p>
        </w:tc>
        <w:tc>
          <w:tcPr/>
          <w:p>
            <w:pPr>
              <w:pStyle w:val="Compact"/>
              <w:jc w:val="left"/>
            </w:pPr>
            <w:r>
              <w:t xml:space="preserve">5:2</w:t>
            </w:r>
          </w:p>
        </w:tc>
        <w:tc>
          <w:tcPr/>
          <w:p>
            <w:pPr>
              <w:pStyle w:val="Compact"/>
              <w:jc w:val="left"/>
            </w:pPr>
            <w:r>
              <w:t xml:space="preserve">αξιος || 1 εστιν</w:t>
            </w:r>
          </w:p>
        </w:tc>
      </w:tr>
      <w:tr>
        <w:tc>
          <w:tcPr/>
          <w:p>
            <w:pPr>
              <w:pStyle w:val="Compact"/>
              <w:jc w:val="left"/>
            </w:pPr>
            <w:r>
              <w:t xml:space="preserve">++--</w:t>
            </w:r>
          </w:p>
        </w:tc>
        <w:tc>
          <w:tcPr/>
          <w:p>
            <w:pPr>
              <w:pStyle w:val="Compact"/>
              <w:jc w:val="left"/>
            </w:pPr>
            <w:r>
              <w:t xml:space="preserve">6:8</w:t>
            </w:r>
          </w:p>
        </w:tc>
        <w:tc>
          <w:tcPr/>
          <w:p>
            <w:pPr>
              <w:pStyle w:val="Compact"/>
              <w:jc w:val="left"/>
            </w:pPr>
            <w:r>
              <w:t xml:space="preserve">θανατος || ο 1 || ο αθανατος</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των ανθρωπων || ---</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και || ---</w:t>
            </w:r>
          </w:p>
        </w:tc>
      </w:tr>
      <w:tr>
        <w:tc>
          <w:tcPr/>
          <w:p>
            <w:pPr>
              <w:pStyle w:val="Compact"/>
              <w:jc w:val="left"/>
            </w:pPr>
            <w:r>
              <w:t xml:space="preserve">+</w:t>
            </w:r>
          </w:p>
        </w:tc>
        <w:tc>
          <w:tcPr/>
          <w:p>
            <w:pPr>
              <w:pStyle w:val="Compact"/>
              <w:jc w:val="left"/>
            </w:pPr>
            <w:r>
              <w:t xml:space="preserve">8:9</w:t>
            </w:r>
          </w:p>
        </w:tc>
        <w:tc>
          <w:tcPr/>
          <w:p>
            <w:pPr>
              <w:pStyle w:val="Compact"/>
              <w:jc w:val="left"/>
            </w:pPr>
            <w:r>
              <w:t xml:space="preserve">διεφθαρησαν || διεφθαρη</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τρις || ---</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μονους || ---</w:t>
            </w:r>
          </w:p>
        </w:tc>
      </w:tr>
      <w:tr>
        <w:tc>
          <w:tcPr/>
          <w:p>
            <w:pPr>
              <w:pStyle w:val="Compact"/>
              <w:jc w:val="left"/>
            </w:pPr>
            <w:r>
              <w:t xml:space="preserve">+++</w:t>
            </w:r>
          </w:p>
        </w:tc>
        <w:tc>
          <w:tcPr/>
          <w:p>
            <w:pPr>
              <w:pStyle w:val="Compact"/>
              <w:jc w:val="left"/>
            </w:pPr>
            <w:r>
              <w:t xml:space="preserve">9:5</w:t>
            </w:r>
          </w:p>
        </w:tc>
        <w:tc>
          <w:tcPr/>
          <w:p>
            <w:pPr>
              <w:pStyle w:val="Compact"/>
              <w:jc w:val="left"/>
            </w:pPr>
            <w:r>
              <w:t xml:space="preserve">πληξη || παιση || πεση</w:t>
            </w:r>
          </w:p>
        </w:tc>
      </w:tr>
      <w:tr>
        <w:tc>
          <w:tcPr/>
          <w:p>
            <w:pPr>
              <w:pStyle w:val="Compact"/>
              <w:jc w:val="left"/>
            </w:pPr>
            <w:r>
              <w:t xml:space="preserve">+--</w:t>
            </w:r>
          </w:p>
        </w:tc>
        <w:tc>
          <w:tcPr/>
          <w:p>
            <w:pPr>
              <w:pStyle w:val="Compact"/>
              <w:jc w:val="left"/>
            </w:pPr>
            <w:r>
              <w:t xml:space="preserve">9:6</w:t>
            </w:r>
          </w:p>
        </w:tc>
        <w:tc>
          <w:tcPr/>
          <w:p>
            <w:pPr>
              <w:pStyle w:val="Compact"/>
              <w:jc w:val="left"/>
            </w:pPr>
            <w:r>
              <w:t xml:space="preserve">ζητουσιν || ζητησουσιν</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αββαδδων || αββαδων || αββααδων || αββααδδων || αβαδδων</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και την ημεραν || 1 εις 23 || 13 || ---</w:t>
            </w:r>
          </w:p>
        </w:tc>
      </w:tr>
      <w:tr>
        <w:tc>
          <w:tcPr/>
          <w:p>
            <w:pPr>
              <w:pStyle w:val="Compact"/>
              <w:jc w:val="left"/>
            </w:pPr>
            <w:r>
              <w:t xml:space="preserve">++</w:t>
            </w:r>
          </w:p>
        </w:tc>
        <w:tc>
          <w:tcPr/>
          <w:p>
            <w:pPr>
              <w:pStyle w:val="Compact"/>
              <w:jc w:val="left"/>
            </w:pPr>
            <w:r>
              <w:t xml:space="preserve">10:7</w:t>
            </w:r>
            <w:r>
              <w:rPr>
                <w:vertAlign w:val="superscript"/>
              </w:rPr>
              <w:t xml:space="preserve">a</w:t>
            </w:r>
          </w:p>
        </w:tc>
        <w:tc>
          <w:tcPr/>
          <w:p>
            <w:pPr>
              <w:pStyle w:val="Compact"/>
              <w:jc w:val="left"/>
            </w:pPr>
            <w:r>
              <w:t xml:space="preserve">τελεσθη || και 1 || και ετελεσθη</w:t>
            </w:r>
          </w:p>
        </w:tc>
      </w:tr>
      <w:tr>
        <w:tc>
          <w:tcPr/>
          <w:p>
            <w:pPr>
              <w:pStyle w:val="Compact"/>
              <w:jc w:val="left"/>
            </w:pPr>
            <w:r>
              <w:t xml:space="preserve">+</w:t>
            </w:r>
          </w:p>
        </w:tc>
        <w:tc>
          <w:tcPr/>
          <w:p>
            <w:pPr>
              <w:pStyle w:val="Compact"/>
              <w:jc w:val="left"/>
            </w:pPr>
            <w:r>
              <w:t xml:space="preserve">10:7</w:t>
            </w:r>
            <w:r>
              <w:rPr>
                <w:vertAlign w:val="superscript"/>
              </w:rPr>
              <w:t xml:space="preserve">b</w:t>
            </w:r>
          </w:p>
        </w:tc>
        <w:tc>
          <w:tcPr/>
          <w:p>
            <w:pPr>
              <w:pStyle w:val="Compact"/>
              <w:jc w:val="left"/>
            </w:pPr>
            <w:r>
              <w:t xml:space="preserve">ὅ || ως</w:t>
            </w:r>
          </w:p>
        </w:tc>
      </w:tr>
      <w:tr>
        <w:tc>
          <w:tcPr/>
          <w:p>
            <w:pPr>
              <w:pStyle w:val="Compact"/>
              <w:jc w:val="left"/>
            </w:pPr>
            <w:r>
              <w:t xml:space="preserve">++</w:t>
            </w:r>
          </w:p>
        </w:tc>
        <w:tc>
          <w:tcPr/>
          <w:p>
            <w:pPr>
              <w:pStyle w:val="Compact"/>
              <w:jc w:val="left"/>
            </w:pPr>
            <w:r>
              <w:t xml:space="preserve">10:7</w:t>
            </w:r>
            <w:r>
              <w:rPr>
                <w:vertAlign w:val="superscript"/>
              </w:rPr>
              <w:t xml:space="preserve">c</w:t>
            </w:r>
          </w:p>
        </w:tc>
        <w:tc>
          <w:tcPr/>
          <w:p>
            <w:pPr>
              <w:pStyle w:val="Compact"/>
              <w:jc w:val="left"/>
            </w:pPr>
            <w:r>
              <w:t xml:space="preserve">ευηγγελισατο || ευηγγελισεν || ευηγγελησε</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και ειστηκει ο αγγελος λεγων || 1 φωνη λεγουσα || 5 || λεγει</w:t>
            </w:r>
          </w:p>
        </w:tc>
      </w:tr>
      <w:tr>
        <w:tc>
          <w:tcPr/>
          <w:p>
            <w:pPr>
              <w:pStyle w:val="Compact"/>
              <w:jc w:val="left"/>
            </w:pPr>
            <w:r>
              <w:t xml:space="preserve">+</w:t>
            </w:r>
          </w:p>
        </w:tc>
        <w:tc>
          <w:tcPr/>
          <w:p>
            <w:pPr>
              <w:pStyle w:val="Compact"/>
              <w:jc w:val="left"/>
            </w:pPr>
            <w:r>
              <w:t xml:space="preserve">11:11</w:t>
            </w:r>
          </w:p>
        </w:tc>
        <w:tc>
          <w:tcPr/>
          <w:p>
            <w:pPr>
              <w:pStyle w:val="Compact"/>
              <w:jc w:val="left"/>
            </w:pPr>
            <w:r>
              <w:t xml:space="preserve">επ αυτους || εις 2 || εν αυτοις || αυτοις</w:t>
            </w:r>
          </w:p>
        </w:tc>
      </w:tr>
      <w:tr>
        <w:tc>
          <w:tcPr/>
          <w:p>
            <w:pPr>
              <w:pStyle w:val="Compact"/>
              <w:jc w:val="left"/>
            </w:pPr>
            <w:r>
              <w:t xml:space="preserve">+</w:t>
            </w:r>
          </w:p>
        </w:tc>
        <w:tc>
          <w:tcPr/>
          <w:p>
            <w:pPr>
              <w:pStyle w:val="Compact"/>
              <w:jc w:val="left"/>
            </w:pPr>
            <w:r>
              <w:t xml:space="preserve">11:17</w:t>
            </w:r>
          </w:p>
        </w:tc>
        <w:tc>
          <w:tcPr/>
          <w:p>
            <w:pPr>
              <w:pStyle w:val="Compact"/>
              <w:jc w:val="left"/>
            </w:pPr>
            <w:r>
              <w:t xml:space="preserve">και ο ερχομενος || ---</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μεγας πυρρος || 1 πυρος || ~ 21 || ~ πυρος 1</w:t>
            </w:r>
          </w:p>
        </w:tc>
      </w:tr>
      <w:tr>
        <w:tc>
          <w:tcPr/>
          <w:p>
            <w:pPr>
              <w:pStyle w:val="Compact"/>
              <w:jc w:val="left"/>
            </w:pPr>
            <w:r>
              <w:t xml:space="preserve">+++</w:t>
            </w:r>
          </w:p>
        </w:tc>
        <w:tc>
          <w:tcPr/>
          <w:p>
            <w:pPr>
              <w:pStyle w:val="Compact"/>
              <w:jc w:val="left"/>
            </w:pPr>
            <w:r>
              <w:t xml:space="preserve">12:4</w:t>
            </w:r>
          </w:p>
        </w:tc>
        <w:tc>
          <w:tcPr/>
          <w:p>
            <w:pPr>
              <w:pStyle w:val="Compact"/>
              <w:jc w:val="left"/>
            </w:pPr>
            <w:r>
              <w:t xml:space="preserve">τικτειν || τεκειν</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ηρπαγη || ηρπασθη</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του πολεμησαι || 2 || επολεμησαν</w:t>
            </w:r>
          </w:p>
        </w:tc>
      </w:tr>
      <w:tr>
        <w:tc>
          <w:tcPr/>
          <w:p>
            <w:pPr>
              <w:pStyle w:val="Compact"/>
              <w:jc w:val="left"/>
            </w:pPr>
            <w:r>
              <w:t xml:space="preserve">+</w:t>
            </w:r>
          </w:p>
        </w:tc>
        <w:tc>
          <w:tcPr/>
          <w:p>
            <w:pPr>
              <w:pStyle w:val="Compact"/>
              <w:jc w:val="left"/>
            </w:pPr>
            <w:r>
              <w:t xml:space="preserve">13:7</w:t>
            </w:r>
          </w:p>
        </w:tc>
        <w:tc>
          <w:tcPr/>
          <w:p>
            <w:pPr>
              <w:pStyle w:val="Compact"/>
              <w:jc w:val="left"/>
            </w:pPr>
            <w:r>
              <w:t xml:space="preserve">φυλην || 1 και λαον</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ινα2 || ---</w:t>
            </w:r>
          </w:p>
        </w:tc>
      </w:tr>
      <w:tr>
        <w:tc>
          <w:tcPr/>
          <w:p>
            <w:pPr>
              <w:pStyle w:val="Compact"/>
              <w:jc w:val="left"/>
            </w:pPr>
            <w:r>
              <w:t xml:space="preserve">+</w:t>
            </w:r>
          </w:p>
        </w:tc>
        <w:tc>
          <w:tcPr/>
          <w:p>
            <w:pPr>
              <w:pStyle w:val="Compact"/>
              <w:jc w:val="left"/>
            </w:pPr>
            <w:r>
              <w:t xml:space="preserve">14:6</w:t>
            </w:r>
          </w:p>
        </w:tc>
        <w:tc>
          <w:tcPr/>
          <w:p>
            <w:pPr>
              <w:pStyle w:val="Compact"/>
              <w:jc w:val="left"/>
            </w:pPr>
            <w:r>
              <w:t xml:space="preserve">αλλον αγγελον || 2 || ~ 21</w:t>
            </w:r>
          </w:p>
        </w:tc>
      </w:tr>
      <w:tr>
        <w:tc>
          <w:tcPr/>
          <w:p>
            <w:pPr>
              <w:pStyle w:val="Compact"/>
              <w:jc w:val="left"/>
            </w:pPr>
            <w:r>
              <w:t xml:space="preserve">+++</w:t>
            </w:r>
          </w:p>
        </w:tc>
        <w:tc>
          <w:tcPr/>
          <w:p>
            <w:pPr>
              <w:pStyle w:val="Compact"/>
              <w:jc w:val="left"/>
            </w:pPr>
            <w:r>
              <w:t xml:space="preserve">14:12</w:t>
            </w:r>
          </w:p>
        </w:tc>
        <w:tc>
          <w:tcPr/>
          <w:p>
            <w:pPr>
              <w:pStyle w:val="Compact"/>
              <w:jc w:val="left"/>
            </w:pPr>
            <w:r>
              <w:t xml:space="preserve">του ιησου || 2 || 2 χριστου</w:t>
            </w:r>
          </w:p>
        </w:tc>
      </w:tr>
      <w:tr>
        <w:tc>
          <w:tcPr/>
          <w:p>
            <w:pPr>
              <w:pStyle w:val="Compact"/>
              <w:jc w:val="left"/>
            </w:pPr>
            <w:r>
              <w:t xml:space="preserve">+</w:t>
            </w:r>
          </w:p>
        </w:tc>
        <w:tc>
          <w:tcPr/>
          <w:p>
            <w:pPr>
              <w:pStyle w:val="Compact"/>
              <w:jc w:val="left"/>
            </w:pPr>
            <w:r>
              <w:t xml:space="preserve">15:3</w:t>
            </w:r>
          </w:p>
        </w:tc>
        <w:tc>
          <w:tcPr/>
          <w:p>
            <w:pPr>
              <w:pStyle w:val="Compact"/>
              <w:jc w:val="left"/>
            </w:pPr>
            <w:r>
              <w:t xml:space="preserve">μωυσεος || μωυσεως || μωσεως</w:t>
            </w:r>
          </w:p>
        </w:tc>
      </w:tr>
      <w:tr>
        <w:tc>
          <w:tcPr/>
          <w:p>
            <w:pPr>
              <w:pStyle w:val="Compact"/>
              <w:jc w:val="left"/>
            </w:pPr>
            <w:r>
              <w:t xml:space="preserve">++--</w:t>
            </w:r>
          </w:p>
        </w:tc>
        <w:tc>
          <w:tcPr/>
          <w:p>
            <w:pPr>
              <w:pStyle w:val="Compact"/>
              <w:jc w:val="left"/>
            </w:pPr>
            <w:r>
              <w:t xml:space="preserve">15:4</w:t>
            </w:r>
          </w:p>
        </w:tc>
        <w:tc>
          <w:tcPr/>
          <w:p>
            <w:pPr>
              <w:pStyle w:val="Compact"/>
              <w:jc w:val="left"/>
            </w:pPr>
            <w:r>
              <w:t xml:space="preserve">αγιος ει || 1 || 2 || οσιος</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εκ του ουρανου || 12 ναου ||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 ---</w:t>
            </w:r>
          </w:p>
        </w:tc>
      </w:tr>
      <w:tr>
        <w:tc>
          <w:tcPr/>
          <w:p>
            <w:pPr>
              <w:pStyle w:val="Compact"/>
              <w:jc w:val="left"/>
            </w:pPr>
            <w:r>
              <w:t xml:space="preserve">+</w:t>
            </w:r>
          </w:p>
        </w:tc>
        <w:tc>
          <w:tcPr/>
          <w:p>
            <w:pPr>
              <w:pStyle w:val="Compact"/>
              <w:jc w:val="left"/>
            </w:pPr>
            <w:r>
              <w:t xml:space="preserve">17:8</w:t>
            </w:r>
          </w:p>
        </w:tc>
        <w:tc>
          <w:tcPr/>
          <w:p>
            <w:pPr>
              <w:pStyle w:val="Compact"/>
              <w:jc w:val="left"/>
            </w:pPr>
            <w:r>
              <w:t xml:space="preserve">βλεποντες || βλεποντων</w:t>
            </w:r>
          </w:p>
        </w:tc>
      </w:tr>
      <w:tr>
        <w:tc>
          <w:tcPr/>
          <w:p>
            <w:pPr>
              <w:pStyle w:val="Compact"/>
              <w:jc w:val="left"/>
            </w:pPr>
            <w:r>
              <w:t xml:space="preserve">+--</w:t>
            </w:r>
          </w:p>
        </w:tc>
        <w:tc>
          <w:tcPr/>
          <w:p>
            <w:pPr>
              <w:pStyle w:val="Compact"/>
              <w:jc w:val="left"/>
            </w:pPr>
            <w:r>
              <w:t xml:space="preserve">18:2</w:t>
            </w:r>
          </w:p>
        </w:tc>
        <w:tc>
          <w:tcPr/>
          <w:p>
            <w:pPr>
              <w:pStyle w:val="Compact"/>
              <w:jc w:val="left"/>
            </w:pPr>
            <w:r>
              <w:t xml:space="preserve">εν ισχυρα φωνη || 123 μεγαλη || 123 και μεγαλη || 23 || 23 μεγαλη || itd.</w:t>
            </w:r>
          </w:p>
        </w:tc>
      </w:tr>
      <w:tr>
        <w:tc>
          <w:tcPr/>
          <w:p>
            <w:pPr>
              <w:pStyle w:val="Compact"/>
              <w:jc w:val="left"/>
            </w:pPr>
            <w:r>
              <w:t xml:space="preserve">+</w:t>
            </w:r>
          </w:p>
        </w:tc>
        <w:tc>
          <w:tcPr/>
          <w:p>
            <w:pPr>
              <w:pStyle w:val="Compact"/>
              <w:jc w:val="left"/>
            </w:pPr>
            <w:r>
              <w:t xml:space="preserve">18:3</w:t>
            </w:r>
          </w:p>
        </w:tc>
        <w:tc>
          <w:tcPr/>
          <w:p>
            <w:pPr>
              <w:pStyle w:val="Compact"/>
              <w:jc w:val="left"/>
            </w:pPr>
            <w:r>
              <w:t xml:space="preserve">πεπωκεν || πεπωκασιν || πεπωτικεν || πεπτωκασιν || πεπτωκαν || πεπωκαν</w:t>
            </w:r>
          </w:p>
        </w:tc>
      </w:tr>
      <w:tr>
        <w:tc>
          <w:tcPr/>
          <w:p>
            <w:pPr>
              <w:pStyle w:val="Compact"/>
              <w:jc w:val="left"/>
            </w:pPr>
            <w:r>
              <w:t xml:space="preserve">+</w:t>
            </w:r>
          </w:p>
        </w:tc>
        <w:tc>
          <w:tcPr/>
          <w:p>
            <w:pPr>
              <w:pStyle w:val="Compact"/>
              <w:jc w:val="left"/>
            </w:pPr>
            <w:r>
              <w:t xml:space="preserve">18:7</w:t>
            </w:r>
          </w:p>
        </w:tc>
        <w:tc>
          <w:tcPr/>
          <w:p>
            <w:pPr>
              <w:pStyle w:val="Compact"/>
              <w:jc w:val="left"/>
            </w:pPr>
            <w:r>
              <w:t xml:space="preserve">βασανισμον || 1 και πενθος</w:t>
            </w:r>
          </w:p>
        </w:tc>
      </w:tr>
      <w:tr>
        <w:tc>
          <w:tcPr/>
          <w:p>
            <w:pPr>
              <w:pStyle w:val="Compact"/>
              <w:jc w:val="left"/>
            </w:pPr>
            <w:r>
              <w:t xml:space="preserve">+</w:t>
            </w:r>
          </w:p>
        </w:tc>
        <w:tc>
          <w:tcPr/>
          <w:p>
            <w:pPr>
              <w:pStyle w:val="Compact"/>
              <w:jc w:val="left"/>
            </w:pPr>
            <w:r>
              <w:t xml:space="preserve">18:14</w:t>
            </w:r>
            <w:r>
              <w:rPr>
                <w:vertAlign w:val="superscript"/>
              </w:rPr>
              <w:t xml:space="preserve">a</w:t>
            </w:r>
          </w:p>
        </w:tc>
        <w:tc>
          <w:tcPr/>
          <w:p>
            <w:pPr>
              <w:pStyle w:val="Compact"/>
              <w:jc w:val="left"/>
            </w:pPr>
            <w:r>
              <w:t xml:space="preserve">απωλοντο || απωλετο || απηλθεν</w:t>
            </w:r>
          </w:p>
        </w:tc>
      </w:tr>
      <w:tr>
        <w:tc>
          <w:tcPr/>
          <w:p>
            <w:pPr>
              <w:pStyle w:val="Compact"/>
              <w:jc w:val="left"/>
            </w:pPr>
            <w:r>
              <w:t xml:space="preserve">+</w:t>
            </w:r>
          </w:p>
        </w:tc>
        <w:tc>
          <w:tcPr/>
          <w:p>
            <w:pPr>
              <w:pStyle w:val="Compact"/>
              <w:jc w:val="left"/>
            </w:pPr>
            <w:r>
              <w:t xml:space="preserve">18:14</w:t>
            </w:r>
            <w:r>
              <w:rPr>
                <w:vertAlign w:val="superscript"/>
              </w:rPr>
              <w:t xml:space="preserve">b</w:t>
            </w:r>
          </w:p>
        </w:tc>
        <w:tc>
          <w:tcPr/>
          <w:p>
            <w:pPr>
              <w:pStyle w:val="Compact"/>
              <w:jc w:val="left"/>
            </w:pPr>
            <w:r>
              <w:t xml:space="preserve">ου μη ευρησεις αυτα || 12 ευρησης 4 || 12 ευρης 4 || 12 ευρησουσιν 4 || itd.</w:t>
            </w:r>
          </w:p>
        </w:tc>
      </w:tr>
      <w:tr>
        <w:tc>
          <w:tcPr/>
          <w:p>
            <w:pPr>
              <w:pStyle w:val="Compact"/>
              <w:jc w:val="left"/>
            </w:pPr>
            <w:r>
              <w:t xml:space="preserve">++--</w:t>
            </w:r>
          </w:p>
        </w:tc>
        <w:tc>
          <w:tcPr/>
          <w:p>
            <w:pPr>
              <w:pStyle w:val="Compact"/>
              <w:jc w:val="left"/>
            </w:pPr>
            <w:r>
              <w:t xml:space="preserve">18:17</w:t>
            </w:r>
          </w:p>
        </w:tc>
        <w:tc>
          <w:tcPr/>
          <w:p>
            <w:pPr>
              <w:pStyle w:val="Compact"/>
              <w:jc w:val="left"/>
            </w:pPr>
            <w:r>
              <w:t xml:space="preserve">ο επι των πλοιων πλεων || 2345 || 234 ομιλος || 234 ο ομιλος || itd.</w:t>
            </w:r>
          </w:p>
        </w:tc>
      </w:tr>
      <w:tr>
        <w:tc>
          <w:tcPr/>
          <w:p>
            <w:pPr>
              <w:pStyle w:val="Compact"/>
              <w:jc w:val="left"/>
            </w:pPr>
            <w:r>
              <w:t xml:space="preserve">+++</w:t>
            </w:r>
          </w:p>
        </w:tc>
        <w:tc>
          <w:tcPr/>
          <w:p>
            <w:pPr>
              <w:pStyle w:val="Compact"/>
              <w:jc w:val="left"/>
            </w:pPr>
            <w:r>
              <w:t xml:space="preserve">18:21</w:t>
            </w:r>
          </w:p>
        </w:tc>
        <w:tc>
          <w:tcPr/>
          <w:p>
            <w:pPr>
              <w:pStyle w:val="Compact"/>
              <w:jc w:val="left"/>
            </w:pPr>
            <w:r>
              <w:t xml:space="preserve">λεγων || 1 ουτως</w:t>
            </w:r>
          </w:p>
        </w:tc>
      </w:tr>
      <w:tr>
        <w:tc>
          <w:tcPr/>
          <w:p>
            <w:pPr>
              <w:pStyle w:val="Compact"/>
              <w:jc w:val="left"/>
            </w:pPr>
            <w:r>
              <w:t xml:space="preserve">+++</w:t>
            </w:r>
          </w:p>
        </w:tc>
        <w:tc>
          <w:tcPr/>
          <w:p>
            <w:pPr>
              <w:pStyle w:val="Compact"/>
              <w:jc w:val="left"/>
            </w:pPr>
            <w:r>
              <w:t xml:space="preserve">19:1</w:t>
            </w:r>
          </w:p>
        </w:tc>
        <w:tc>
          <w:tcPr/>
          <w:p>
            <w:pPr>
              <w:pStyle w:val="Compact"/>
              <w:jc w:val="left"/>
            </w:pPr>
            <w:r>
              <w:t xml:space="preserve">φωνην οχλου πολλου μεγαλην || ~ 1423 || 123 || φωνης 23</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το μετωπον αυτων || 12 || των μετωπων 3 ||</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ο ουρανος και η γη || ~ 45312</w:t>
            </w:r>
          </w:p>
        </w:tc>
      </w:tr>
      <w:tr>
        <w:tc>
          <w:tcPr/>
          <w:p>
            <w:pPr>
              <w:pStyle w:val="Compact"/>
              <w:jc w:val="left"/>
            </w:pPr>
            <w:r>
              <w:t xml:space="preserve">+++</w:t>
            </w:r>
          </w:p>
        </w:tc>
        <w:tc>
          <w:tcPr/>
          <w:p>
            <w:pPr>
              <w:pStyle w:val="Compact"/>
              <w:jc w:val="left"/>
            </w:pPr>
            <w:r>
              <w:t xml:space="preserve">20:12</w:t>
            </w:r>
            <w:r>
              <w:rPr>
                <w:vertAlign w:val="superscript"/>
              </w:rPr>
              <w:t xml:space="preserve">a</w:t>
            </w:r>
          </w:p>
        </w:tc>
        <w:tc>
          <w:tcPr/>
          <w:p>
            <w:pPr>
              <w:pStyle w:val="Compact"/>
              <w:jc w:val="left"/>
            </w:pPr>
            <w:r>
              <w:t xml:space="preserve">ανεωχθησαν || ηνεωχθησαν || ηνοιχθησαν || ηνοιξαν</w:t>
            </w:r>
          </w:p>
        </w:tc>
      </w:tr>
      <w:tr>
        <w:tc>
          <w:tcPr/>
          <w:p>
            <w:pPr>
              <w:pStyle w:val="Compact"/>
              <w:jc w:val="left"/>
            </w:pPr>
            <w:r>
              <w:t xml:space="preserve">++--</w:t>
            </w:r>
          </w:p>
        </w:tc>
        <w:tc>
          <w:tcPr/>
          <w:p>
            <w:pPr>
              <w:pStyle w:val="Compact"/>
              <w:jc w:val="left"/>
            </w:pPr>
            <w:r>
              <w:t xml:space="preserve">20:12</w:t>
            </w:r>
            <w:r>
              <w:rPr>
                <w:vertAlign w:val="superscript"/>
              </w:rPr>
              <w:t xml:space="preserve">b</w:t>
            </w:r>
          </w:p>
        </w:tc>
        <w:tc>
          <w:tcPr/>
          <w:p>
            <w:pPr>
              <w:pStyle w:val="Compact"/>
              <w:jc w:val="left"/>
            </w:pPr>
            <w:r>
              <w:t xml:space="preserve">ανεωχθη || ηνεωχθη || ηνοιχθη</w:t>
            </w:r>
          </w:p>
        </w:tc>
      </w:tr>
      <w:tr>
        <w:tc>
          <w:tcPr/>
          <w:p>
            <w:pPr>
              <w:pStyle w:val="Compact"/>
              <w:jc w:val="left"/>
            </w:pPr>
            <w:r>
              <w:t xml:space="preserve">+++</w:t>
            </w:r>
          </w:p>
        </w:tc>
        <w:tc>
          <w:tcPr/>
          <w:p>
            <w:pPr>
              <w:pStyle w:val="Compact"/>
              <w:jc w:val="left"/>
            </w:pPr>
            <w:r>
              <w:t xml:space="preserve">20:14</w:t>
            </w:r>
          </w:p>
        </w:tc>
        <w:tc>
          <w:tcPr/>
          <w:p>
            <w:pPr>
              <w:pStyle w:val="Compact"/>
              <w:jc w:val="left"/>
            </w:pPr>
            <w:r>
              <w:t xml:space="preserve">εστιν ο θανατος ο δευτερος || ~ 1453 || ~ 23451 || ~ 2351 || -- - || ~ 4531</w:t>
            </w:r>
          </w:p>
        </w:tc>
      </w:tr>
      <w:tr>
        <w:tc>
          <w:tcPr/>
          <w:p>
            <w:pPr>
              <w:pStyle w:val="Compact"/>
              <w:jc w:val="left"/>
            </w:pPr>
            <w:r>
              <w:t xml:space="preserve">+</w:t>
            </w:r>
          </w:p>
        </w:tc>
        <w:tc>
          <w:tcPr/>
          <w:p>
            <w:pPr>
              <w:pStyle w:val="Compact"/>
              <w:jc w:val="left"/>
            </w:pPr>
            <w:r>
              <w:t xml:space="preserve">21:5</w:t>
            </w:r>
          </w:p>
        </w:tc>
        <w:tc>
          <w:tcPr/>
          <w:p>
            <w:pPr>
              <w:pStyle w:val="Compact"/>
              <w:jc w:val="left"/>
            </w:pPr>
            <w:r>
              <w:t xml:space="preserve">καινα ποιω παντα || ~ 312 || ||</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αρχη και τελος || η 12 το 3 || και η 12 το 3</w:t>
            </w:r>
          </w:p>
        </w:tc>
      </w:tr>
      <w:tr>
        <w:tc>
          <w:tcPr/>
          <w:p>
            <w:pPr>
              <w:pStyle w:val="Compact"/>
              <w:jc w:val="left"/>
            </w:pPr>
            <w:r>
              <w:t xml:space="preserve">++--</w:t>
            </w:r>
          </w:p>
        </w:tc>
        <w:tc>
          <w:tcPr/>
          <w:p>
            <w:pPr>
              <w:pStyle w:val="Compact"/>
              <w:jc w:val="left"/>
            </w:pPr>
            <w:r>
              <w:t xml:space="preserve">21:10</w:t>
            </w:r>
          </w:p>
        </w:tc>
        <w:tc>
          <w:tcPr/>
          <w:p>
            <w:pPr>
              <w:pStyle w:val="Compact"/>
              <w:jc w:val="left"/>
            </w:pPr>
            <w:r>
              <w:t xml:space="preserve">την μεγαλην την αγιαν || 12 και 4 || 34</w:t>
            </w:r>
          </w:p>
        </w:tc>
      </w:tr>
      <w:tr>
        <w:tc>
          <w:tcPr/>
          <w:p>
            <w:pPr>
              <w:pStyle w:val="Compact"/>
              <w:jc w:val="left"/>
            </w:pPr>
            <w:r>
              <w:t xml:space="preserve">+</w:t>
            </w:r>
          </w:p>
        </w:tc>
        <w:tc>
          <w:tcPr/>
          <w:p>
            <w:pPr>
              <w:pStyle w:val="Compact"/>
              <w:jc w:val="left"/>
            </w:pPr>
            <w:r>
              <w:t xml:space="preserve">21:24</w:t>
            </w:r>
          </w:p>
        </w:tc>
        <w:tc>
          <w:tcPr/>
          <w:p>
            <w:pPr>
              <w:pStyle w:val="Compact"/>
              <w:jc w:val="left"/>
            </w:pPr>
            <w:r>
              <w:t xml:space="preserve">την δοξαν και την τιμην αυτων εις αυτην || 12678 || αυτω 235 των εθνων 78 ||</w:t>
            </w:r>
          </w:p>
        </w:tc>
      </w:tr>
      <w:tr>
        <w:tc>
          <w:tcPr/>
          <w:p>
            <w:pPr>
              <w:pStyle w:val="Compact"/>
              <w:jc w:val="left"/>
            </w:pPr>
            <w:r>
              <w:t xml:space="preserve">+--</w:t>
            </w:r>
          </w:p>
        </w:tc>
        <w:tc>
          <w:tcPr/>
          <w:p>
            <w:pPr>
              <w:pStyle w:val="Compact"/>
              <w:jc w:val="left"/>
            </w:pPr>
            <w:r>
              <w:t xml:space="preserve">22:2</w:t>
            </w:r>
          </w:p>
        </w:tc>
        <w:tc>
          <w:tcPr/>
          <w:p>
            <w:pPr>
              <w:pStyle w:val="Compact"/>
              <w:jc w:val="left"/>
            </w:pPr>
            <w:r>
              <w:t xml:space="preserve">εκαστον αποδιδους || 1 αποδιδον || 1 αποδιδουν || ~ 21 || ~ 2 εκαστος</w:t>
            </w:r>
          </w:p>
        </w:tc>
      </w:tr>
    </w:tbl>
    <w:p>
      <w:pPr>
        <w:pStyle w:val="BodyText"/>
      </w:pPr>
      <w:r>
        <w:rPr>
          <w:bCs/>
          <w:b/>
        </w:rPr>
        <w:t xml:space="preserve">Klucz:</w:t>
      </w:r>
    </w:p>
    <w:tbl>
      <w:tblPr>
        <w:tblStyle w:val="Table"/>
        <w:tblW w:type="pct" w:w="5000"/>
        <w:tblLook w:firstRow="0" w:lastRow="0" w:firstColumn="0" w:lastColumn="0" w:noHBand="0" w:noVBand="0" w:val="0000"/>
        <w:jc w:val="start"/>
      </w:tblPr>
      <w:tblGrid>
        <w:gridCol w:w="628"/>
        <w:gridCol w:w="7291"/>
      </w:tblGrid>
      <w:tr>
        <w:tc>
          <w:tcPr/>
          <w:p>
            <w:pPr>
              <w:pStyle w:val="Compact"/>
              <w:jc w:val="left"/>
            </w:pPr>
            <w:r>
              <w:t xml:space="preserve">+++</w:t>
            </w:r>
          </w:p>
        </w:tc>
        <w:tc>
          <w:tcPr/>
          <w:p>
            <w:pPr>
              <w:pStyle w:val="Compact"/>
              <w:jc w:val="left"/>
            </w:pPr>
            <w:r>
              <w:t xml:space="preserve">tylko</w:t>
            </w:r>
            <w:r>
              <w:t xml:space="preserve"> </w:t>
            </w:r>
            <w:r>
              <w:rPr>
                <w:bCs/>
                <w:b/>
              </w:rPr>
              <w:t xml:space="preserve">f</w:t>
            </w:r>
            <w:r>
              <w:rPr>
                <w:vertAlign w:val="superscript"/>
                <w:bCs/>
                <w:b/>
              </w:rPr>
              <w:t xml:space="preserve">35</w:t>
            </w:r>
            <w:r>
              <w:t xml:space="preserve">, albo praktycznie tylko (15)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część innej rodziny (małej) (10)</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plus (7)</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mniej niż którakolwiek z dwóch pozostałych głównych linii przekazu (25)</w:t>
            </w:r>
          </w:p>
        </w:tc>
      </w:tr>
    </w:tbl>
    <w:p>
      <w:pPr>
        <w:pStyle w:val="BodyText"/>
      </w:pPr>
      <w:r>
        <w:t xml:space="preserve">Łącznie: 62</w:t>
      </w:r>
    </w:p>
    <w:p>
      <w:pPr>
        <w:pStyle w:val="BodyText"/>
      </w:pPr>
      <w:r>
        <w:t xml:space="preserve">Oto dane zbiorcze dla całego Nowego Testamentu.</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(161)</w:t>
            </w:r>
          </w:p>
        </w:tc>
      </w:tr>
      <w:tr>
        <w:tc>
          <w:tcPr/>
          <w:p>
            <w:pPr>
              <w:pStyle w:val="Compact"/>
              <w:jc w:val="left"/>
            </w:pPr>
            <w:r>
              <w:t xml:space="preserve">++--</w:t>
            </w:r>
          </w:p>
        </w:tc>
        <w:tc>
          <w:tcPr/>
          <w:p>
            <w:pPr>
              <w:pStyle w:val="Compact"/>
              <w:jc w:val="left"/>
            </w:pPr>
            <w:r>
              <w:t xml:space="preserve">około 25% = całkiem dobre (144)</w:t>
            </w:r>
          </w:p>
        </w:tc>
      </w:tr>
      <w:tr>
        <w:tc>
          <w:tcPr/>
          <w:p>
            <w:pPr>
              <w:pStyle w:val="Compact"/>
              <w:jc w:val="left"/>
            </w:pPr>
            <w:r>
              <w:t xml:space="preserve">++</w:t>
            </w:r>
          </w:p>
        </w:tc>
        <w:tc>
          <w:tcPr/>
          <w:p>
            <w:pPr>
              <w:pStyle w:val="Compact"/>
              <w:jc w:val="left"/>
            </w:pPr>
            <w:r>
              <w:t xml:space="preserve">około 30% = niezłe (153)</w:t>
            </w:r>
          </w:p>
        </w:tc>
      </w:tr>
      <w:tr>
        <w:tc>
          <w:tcPr/>
          <w:p>
            <w:pPr>
              <w:pStyle w:val="Compact"/>
              <w:jc w:val="left"/>
            </w:pPr>
            <w:r>
              <w:t xml:space="preserve">+--</w:t>
            </w:r>
          </w:p>
        </w:tc>
        <w:tc>
          <w:tcPr/>
          <w:p>
            <w:pPr>
              <w:pStyle w:val="Compact"/>
              <w:jc w:val="left"/>
            </w:pPr>
            <w:r>
              <w:t xml:space="preserve">około 35% (81)</w:t>
            </w:r>
          </w:p>
        </w:tc>
      </w:tr>
      <w:tr>
        <w:tc>
          <w:tcPr/>
          <w:p>
            <w:pPr>
              <w:pStyle w:val="Compact"/>
              <w:jc w:val="left"/>
            </w:pPr>
            <w:r>
              <w:t xml:space="preserve">+</w:t>
            </w:r>
          </w:p>
        </w:tc>
        <w:tc>
          <w:tcPr/>
          <w:p>
            <w:pPr>
              <w:pStyle w:val="Compact"/>
              <w:jc w:val="left"/>
            </w:pPr>
            <w:r>
              <w:t xml:space="preserve">około 40% (119)</w:t>
            </w:r>
          </w:p>
        </w:tc>
      </w:tr>
    </w:tbl>
    <w:p>
      <w:pPr>
        <w:pStyle w:val="BodyText"/>
      </w:pPr>
      <w:r>
        <w:rPr>
          <w:bCs/>
          <w:b/>
        </w:rPr>
        <w:t xml:space="preserve">Łącznie: 658</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można wykazać formę archetypalną. Gdyby Bóg zachowywał oryginalne sformułowania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jak dotąd widziałem.</w:t>
      </w:r>
    </w:p>
    <w:bookmarkEnd w:id="207"/>
    <w:bookmarkStart w:id="217" w:name="epistemologia"/>
    <w:p>
      <w:pPr>
        <w:pStyle w:val="Heading2"/>
      </w:pPr>
      <w:r>
        <w:t xml:space="preserve">Epistemologia</w:t>
      </w:r>
    </w:p>
    <w:p>
      <w:pPr>
        <w:pStyle w:val="FirstParagraph"/>
      </w:pPr>
      <w:r>
        <w:t xml:space="preserve">Drogi czytelniku, pozwól, że zasugeruję, iż kwestia epistemologii nie otrzymała należnej jej uwagi w obrębie dyscypliny krytyki tekstu Nowego Testamentu. Epistemologia zajmuje się naturą wiedzy, w tym jej pochodzeniem i podstawami. Skąd pochodzi wiedza? „Bojaźń Pana jest początkiem wiedzy” (Księga Przysłów 1,7). Czy to się zgadza? Może się zgadzać tylko wtedy, gdy Suwerenny Stwórca istnieje — bojaźń przed nieistniejącą istotą nie doprowadzi do prawdziwej wiedzy. Każdy ewolucjonista w naturalny sposób wykluczy ponadnaturalność z każdego tworzonego przez siebie modelu, podobnie jak uczynił to Fenton John Anthony Hort. Zauważ, że taki model nie dopuszcza możliwości istnienia natchnionego przez Boga Nowego Testamentu. Hipoteza ewolucyjna, jako teoria pochodzenia, jest naukowo niemożliwa, otaczające nas dowody wyraźnie wskazują na istnienie niewiarygodnie inteligentnego i potężnego Stwórcy.</w:t>
      </w:r>
    </w:p>
    <w:p>
      <w:pPr>
        <w:pStyle w:val="BodyText"/>
      </w:pPr>
      <w:r>
        <w:t xml:space="preserve">Jeśli Stwórca istnieje i jeśli przekazał naszej rasie pisemne Objawienie, nic nie powinno być dla nas ważniejsze niż poznanie tego, co powiedział. Oczywiście dlatego, że będzie On Źródłem wszelkiej prawdziwej wiedzy. Zatrzymaj się i pomyśl. Jeśli jakaś Istota stworzyła naszą planetę wraz ze wszystkim, co się na niej znajduje, w tym wszystkie formy życia (rośliny są żywe), a zwłaszcza naszą zdolność rozumowania,</w:t>
      </w:r>
      <w:r>
        <w:rPr>
          <w:rStyle w:val="FootnoteReference"/>
        </w:rPr>
        <w:footnoteReference w:id="208"/>
      </w:r>
      <w:r>
        <w:t xml:space="preserve"> </w:t>
      </w:r>
      <w:r>
        <w:t xml:space="preserve">oczywiście jest On kompetentny, aby udzielić nam poprawnych informacji o tym, co stworzył. Jest Źródłem obiektywnej prawdy o naszej planecie. Skąd cokolwiek „wiemy”? Tylko wtedy, gdy sami tego doświadczyliśmy albo gdy doświadczył tego ktoś inny i nam o tym powiedział. Co jednak się dzieje, gdy doświadczenia są ze sobą sprzeczne? I skąd możemy wiedzieć, czy lub kiedy poprawnie interpretujemy doświadczenie? I jak możemy radzić sobie ze sprzecznymi interpretacjami?</w:t>
      </w:r>
    </w:p>
    <w:p>
      <w:pPr>
        <w:pStyle w:val="BodyText"/>
      </w:pPr>
      <w:r>
        <w:t xml:space="preserve">Jeśli nie ma Stwórcy, który udzieliłby nam poprawnych informacji, nasza „wiedza” jest skazana na to, by zawsze pozostawać częściowa i niepewna, o ile nie jest niebezpiecznie błędna. Dotyczy to w równym stopniu tych, którzy udają, że Stwórca nie istnieje. Rezultatem jest rozpacz relatywizmu i nieustanna niepewność co do wszystkiego, co nie należy do nauk ścisłych. Król Salomon był wystarczająco mądry, by dojść do tego wniosku 3000 lat temu: „Marność nad marnościami, wszystko jest marnością!” (Księga Koheleta 1,2).</w:t>
      </w:r>
    </w:p>
    <w:p>
      <w:pPr>
        <w:pStyle w:val="BodyText"/>
      </w:pPr>
      <w:r>
        <w:t xml:space="preserve">Szatan od 6000 lat napełnia świat sofizmatami, więc nie ma w nim końca fałszywej „wiedzy” — nie najmniej w „nauce” krytyki tekstu Nowego Testamentu. Ktoś, kto twierdzi, że jest chrześcijaninem, a wyklucza ponadnaturalność ze swojego modelu roboczego, wikła się w fundamentalną sprzeczność epistemologiczną. Twierdzi, że jest chrześcijaninem, lecz pracuje jak ateista. Każdy, kto wyklucza ponadnaturalność ze swojego myślenia, w oczywisty sposób nie ma Ducha Świętego, a zatem jest całkowicie wystawiony na szatańską ingerencję w swój umysł.</w:t>
      </w:r>
      <w:r>
        <w:rPr>
          <w:rStyle w:val="FootnoteReference"/>
        </w:rPr>
        <w:footnoteReference w:id="209"/>
      </w:r>
    </w:p>
    <w:p>
      <w:pPr>
        <w:pStyle w:val="BodyText"/>
      </w:pPr>
      <w:r>
        <w:t xml:space="preserve">Nie wystarczy, by ktoś twierdził, że próbuje jedynie zachować neutralność, ani Bóg, ani Szatan nie pozwolą na neutralność. Suwerenny Stwórca, gdy chodził po tej ziemi jako Jezus, wypowiedział się na ten temat zupełnie jasno. „Kto nie jest ze mną, jest przeciwko mnie, a kto ze mną nie zbiera, rozprasza” (Ewangelia Mateusza 12,30, Ewangelia Łukasza 11,23). Proszę zauważyć, że obejmuje to zarówno to, w co wierzymy, jak i to, co robimy: rozpraszanie jest działaniem. Pracować jak ateista to być przeciwko Jezusowi. Uprawiać ateistyczną krytykę tekstu to być przeciwko Jezusowi. Neutralność nie istnieje.</w:t>
      </w:r>
    </w:p>
    <w:p>
      <w:pPr>
        <w:pStyle w:val="BodyText"/>
      </w:pPr>
      <w:r>
        <w:t xml:space="preserve">W 1881 roku, gdy Westcott i Hort opublikowali swoje dwutomowe dzieło, John William Burgon natychmiast zaczął wykazywać, że ich teoria i praca były sprzeczne z dowodami empirycznymi. Biograf Burgona napisał: „Burgon był w tym kraju (Anglii) czołowym nauczycielem religijnym swoich czasów”.</w:t>
      </w:r>
      <w:r>
        <w:rPr>
          <w:rStyle w:val="FootnoteReference"/>
        </w:rPr>
        <w:footnoteReference w:id="210"/>
      </w:r>
      <w:r>
        <w:t xml:space="preserve"> </w:t>
      </w:r>
      <w:r>
        <w:t xml:space="preserve">Burgon był człowiekiem o niekwestionowanej erudycji, jego biograf wymienia ponad pięćdziesiąt opublikowanych dzieł z bardzo różnorodnych dziedzin. Jego indeks cytatów z Nowego Testamentu u wczesnych przywódców chrześcijańskich składa się z szesnastu grubych tomów rękopiśmiennych, znajdujących się w British Library, zawiera on 86 489 cytatów.</w:t>
      </w:r>
      <w:r>
        <w:rPr>
          <w:rStyle w:val="FootnoteReference"/>
        </w:rPr>
        <w:footnoteReference w:id="211"/>
      </w:r>
      <w:r>
        <w:t xml:space="preserve"> </w:t>
      </w:r>
      <w:r>
        <w:t xml:space="preserve">Dorobkowi Burgona w tym obszarze całej dziedziny nigdy nie dorównano. Być może jest on jedyną osobą, żyjącą lub zmarłą, która osobiście skolacjonowała w całości każdy z pięciu wielkich wczesnych kodeksów majuskułowych (znanych za jego życia) — ℵ, A, B, C, D — w zakresie Nowego Testamentu. Skatalogował 374 greckie manuskrypty, w tamtych czasach nie istniały nawet mikrofilmy, musiał osobiście udać się do każdego miejsca, w którym przechowywano dany manuskrypt.</w:t>
      </w:r>
    </w:p>
    <w:p>
      <w:pPr>
        <w:pStyle w:val="BodyText"/>
      </w:pPr>
      <w:r>
        <w:t xml:space="preserve">Ponieważ Burgon znał dowody empiryczne z pierwszej ręki, jego obalenie teorii Horta nigdy nie doczekało się odpowiedzi, przynajmniej odpowiedzi opartej na dowodach. Albo go ignorowano, albo przedstawiano w fałszywym świetle: „on tylko liczy manuskrypty” — przewrotne (i groteskowe) kłamstwo, „on po prostu nie rozumie genealogii” — równie przewrotne i równie fałszywe.</w:t>
      </w:r>
      <w:r>
        <w:rPr>
          <w:rStyle w:val="FootnoteReference"/>
        </w:rPr>
        <w:footnoteReference w:id="212"/>
      </w:r>
      <w:r>
        <w:t xml:space="preserve"> </w:t>
      </w:r>
      <w:r>
        <w:t xml:space="preserve">Jednak najbardziej krzykliwym i nieustającym zarzutem było to, że jego argumentacja miała charakter teologiczny, ponieważ wierzył w boskie natchnienie Nowego Testamentu i go bronił. Właśnie tutaj pojawia się epistemologia: ataki na Burgona były w rzeczywistości atakami złośliwej epistemologii na pobożną epistemologię.</w:t>
      </w:r>
    </w:p>
    <w:p>
      <w:pPr>
        <w:pStyle w:val="BodyText"/>
      </w:pPr>
      <w:r>
        <w:t xml:space="preserve">W żadnej dziedzinie nie można pracować bez założeń. Dlatego krytykowanie kogoś za to, że je posiada, jest przewrotne. Założenia mogą jednak i powinny być oceniane. Po dokonaniu oceny dane założenie można zasadnie skrytykować. Konkretne (empiryczne) dowody są przypuszczalnie takie same dla wszystkich, lecz interpretacja nadawana dowodom będzie kontrolowana (albo przynajmniej pozostanie pod silnym wpływem) przez założenia danej osoby. Wynika z tego, że każdy uczciwy uczony powinien otwarcie przedstawić swoje założenia. Zaniechanie tego jest naganne.</w:t>
      </w:r>
      <w:r>
        <w:rPr>
          <w:rStyle w:val="FootnoteReference"/>
        </w:rPr>
        <w:footnoteReference w:id="213"/>
      </w:r>
      <w:r>
        <w:t xml:space="preserve"> </w:t>
      </w:r>
      <w:r>
        <w:t xml:space="preserve">Gdy ktoś, kto nie przedstawia swoich założeń, krytykuje za to inną osobę, jest to czymś gorszym niż przewrotność — udawanie, że samemu nie ma się żadnych założeń, jest niegodziwe (no dobrze, być może taka osoba ma jedynie wyprany umysł i została zaślepiona).</w:t>
      </w:r>
    </w:p>
    <w:p>
      <w:pPr>
        <w:pStyle w:val="BodyText"/>
      </w:pPr>
      <w:r>
        <w:t xml:space="preserve">Chociaż jako uczony nie dorównuję Burgonowi (życie z rdzennym ludem w amazońskiej dżungli nie pozwalało na badania naukowe), ja również byłem nieustannie krytykowany za otwarte wyznawanie wiary w to, że Bóg zarówno natchnął, jak i zachował Nowy Testament. Twierdzi się nawet, że takie przekonanie uniemożliwia prowadzenie obiektywnej pracy naukowej. No, no, no, skoro sługa Boga nie może wykonywać obiektywnej pracy naukowej, to sługa Szatana z całą pewnością także nie może tego robić. Na jakiej zatem podstawie sługa Szatana krytykuje sługę Boga? Czyni to na podstawie swoich założeń, swojej epistemologii.</w:t>
      </w:r>
    </w:p>
    <w:p>
      <w:pPr>
        <w:pStyle w:val="BodyText"/>
      </w:pPr>
      <w:r>
        <w:t xml:space="preserve">Pewien brat mieszkający w Kurytybie, stolicy stanu Parana, napisał niedawno wprowadzenie do książki w języku portugalskim, której jestem współautorem. Chwali w nim moją pracę z punktu widzenia epistemologii. Jego argument wydał mi się tak interesujący (zainspirował ten artykuł), że go przetłumaczyłem, przesłałem mu tłumaczenie, aby upewnić się, że dobrze go zrozumiałem, i poprosiłem o zgodę na jego wykorzystanie. Nazywa się Carlos Eduardo Rangel Xavier. Proszę, abyście skupili się na jego argumencie i nie dali się rozproszyć pochwałom.</w:t>
      </w:r>
    </w:p>
    <w:p>
      <w:pPr>
        <w:pStyle w:val="BlockText"/>
      </w:pPr>
      <w:r>
        <w:t xml:space="preserve">Praca dr. Pickeringa w obrębie krytyki tekstu Nowego Testamentu (chociaż on sam nie uważa się za krytyka tekstu</w:t>
      </w:r>
      <w:r>
        <w:rPr>
          <w:rStyle w:val="FootnoteReference"/>
        </w:rPr>
        <w:footnoteReference w:id="214"/>
      </w:r>
      <w:r>
        <w:t xml:space="preserve">), zwłaszcza w zakresie kolacjonowania manuskryptów, jest imponująca i niezrównana. Co więcej, jego teoria dotycząca zachowania Nowego Testamentu za pośrednictwem grupy manuskryptów, którą określa mianem Rodziny 35, odznacza się równie imponującą solidnością epistemologiczną, rygorem metodologicznym i wartością apologetyczną.</w:t>
      </w:r>
    </w:p>
    <w:p>
      <w:pPr>
        <w:pStyle w:val="BlockText"/>
      </w:pPr>
      <w:r>
        <w:t xml:space="preserve">Z epistemologicznego i apologetycznego punktu widzenia jego praca wychodzi od założonej przesłanki, że Bóg przekazał rasie ludzkiej pisemne objawienie, co nie miałoby sensu, gdyby Jego Boska opatrzność nie miała zachować tego pisemnego objawienia. Jak w przypadku każdej epistemologicznej pierwszej zasady, punkt ten musi zostać przyjęty jako założenie, a dr Pickering zawsze nalegał, aby bardzo jasno przedstawiać swoje założenia, wykazując tym samym uczciwość intelektualną.</w:t>
      </w:r>
    </w:p>
    <w:p>
      <w:pPr>
        <w:pStyle w:val="BlockText"/>
      </w:pPr>
      <w:r>
        <w:t xml:space="preserve">Jednak imponujący rygor metodologiczny teorii dr. Pickeringa ujawnia się w analizie dowodów empirycznych.</w:t>
      </w:r>
    </w:p>
    <w:p>
      <w:pPr>
        <w:pStyle w:val="BlockText"/>
      </w:pPr>
      <w:r>
        <w:t xml:space="preserve">Chociaż nalegam, by podkreślić, że jego teoria ma założeniową podstawę epistemologiczną, przedstawię jednak rozważenie dowodów empirycznych, posługując się zupełnie inną osią. W następstwie wpływu, jaki uczeni tacy jak Alvin Plantinga i William Lane Craig wywarli ostatnio na moje studia, posłużę się teraz logiką modalną, aby pracować na gruncie apologetyki dowodowej.</w:t>
      </w:r>
    </w:p>
    <w:p>
      <w:pPr>
        <w:pStyle w:val="BlockText"/>
      </w:pPr>
      <w:r>
        <w:t xml:space="preserve">Wyjaśniwszy zatem, że poniższe wersy odnoszą się wyłącznie do opracowywanej tutaj przeze mnie argumentacji perswazyjnej, wykorzystującej logikę modalną (a nie do sposobu, w jaki dr Pickering konstruuje swoje argumenty), mogę sformułować następujące przesłanki jako podstawę rozumowania o zachowaniu Tekstu Nowego Testamentu, którego przykładem jest Rodzina 35.</w:t>
      </w:r>
    </w:p>
    <w:p>
      <w:pPr>
        <w:numPr>
          <w:ilvl w:val="0"/>
          <w:numId w:val="1009"/>
        </w:numPr>
        <w:pStyle w:val="BlockText"/>
      </w:pPr>
      <w:r>
        <w:t xml:space="preserve">Możliwe, że Bóg przekazał rasie ludzkiej pisemne objawienie.</w:t>
      </w:r>
    </w:p>
    <w:p>
      <w:pPr>
        <w:numPr>
          <w:ilvl w:val="0"/>
          <w:numId w:val="1009"/>
        </w:numPr>
        <w:pStyle w:val="BlockText"/>
      </w:pPr>
      <w:r>
        <w:t xml:space="preserve">Jeśli Bóg przekazał nam takie objawienie, rozsądne jest, że zostało ono zachowane.</w:t>
      </w:r>
    </w:p>
    <w:p>
      <w:pPr>
        <w:numPr>
          <w:ilvl w:val="0"/>
          <w:numId w:val="1009"/>
        </w:numPr>
        <w:pStyle w:val="BlockText"/>
      </w:pPr>
      <w:r>
        <w:t xml:space="preserve">Istnienie zachowanego tekstu potwierdza punkty 1) i 2).</w:t>
      </w:r>
    </w:p>
    <w:p>
      <w:pPr>
        <w:numPr>
          <w:ilvl w:val="0"/>
          <w:numId w:val="1009"/>
        </w:numPr>
        <w:pStyle w:val="BlockText"/>
      </w:pPr>
      <w:r>
        <w:t xml:space="preserve">Jedynym typem tekstu, który obiektywnie stanowi przykład punktu 3), jest typ Rodziny 35.</w:t>
      </w:r>
    </w:p>
    <w:p>
      <w:pPr>
        <w:pStyle w:val="BlockText"/>
      </w:pPr>
      <w:r>
        <w:t xml:space="preserve">Wiara w istnienie Boga jest decyzją wiary. Nie jest jednak wiarą irracjonalną, ponieważ wiara chrześcijańska stanowi, jak argumentował Alvin Platinga, przekonanie posiadające uzasadnienie epistemiczne i dlatego odpowiada prawdziwej wiedzy, jeśli przedmiot tego przekonania jest prawdziwy. W tej dziedzinie funkcjonują tradycyjne argumenty apologetyczne na rzecz istnienia Boga.</w:t>
      </w:r>
    </w:p>
    <w:p>
      <w:pPr>
        <w:pStyle w:val="BlockText"/>
      </w:pPr>
      <w:r>
        <w:t xml:space="preserve">Z drugiej strony, historyczne rozważenie osoby Jezusa wiąże się z kwestią objawienia, ponieważ wszystkie podstawowe fakty wiary chrześcijańskiej prowadzą do Chrystusa jako punktu kulminacyjnego procesu samoobjawienia się Boga w Historii.</w:t>
      </w:r>
    </w:p>
    <w:p>
      <w:pPr>
        <w:pStyle w:val="BlockText"/>
      </w:pPr>
      <w:r>
        <w:t xml:space="preserve">Jeśli zatem istnieje Bóg, który stworzył wszystkie rzeczy, i jeśli postanowił objawić się nam w Chrystusie, całkowicie rozsądne jest wywnioskowanie, że przekazał nam również pisemne objawienie i je zachował.</w:t>
      </w:r>
    </w:p>
    <w:p>
      <w:pPr>
        <w:pStyle w:val="BlockText"/>
      </w:pPr>
      <w:r>
        <w:t xml:space="preserve">Innymi słowy, jedyną przesłanką dodaną w drodze wnioskowania do podstawowych faktów wiary chrześcijańskiej jest zachowanie Tekstu Nowego Testamentu. Oznacza to, że trynitarny teizm dr. Pickeringa zakłada nie tylko Boga będącego Stwórcą, Odkupicielem i Opiekunem, ale przez proste racjonalne wnioskowanie dodaje do Bożej Opatrzności zachowanie Tekstu Nowego Testamentu.</w:t>
      </w:r>
    </w:p>
    <w:p>
      <w:pPr>
        <w:pStyle w:val="BlockText"/>
      </w:pPr>
      <w:r>
        <w:t xml:space="preserve">Jakkolwiek by było, należy zauważyć, że choć dowiedzenie punktu 1) przypisałem tradycyjnej apologetyce, a ponadto punkt 2) można rozsądnie wywnioskować na podstawie punktu 1), pozostaje faktem, że na potrzeby analizy argumentu twierdzenie 3) wynika z punktów 1) i 2). Cała ważność argumentu zależy zatem wyłącznie od dowiedzenia punktu 4), to znaczy, że tekst Rodziny 35 jest jedynym typem tekstu Nowego Testamentu, o którym można obiektywnie wykazać, że został zachowany. Właśnie tutaj do głosu dochodzi praca dr. Pickeringa.</w:t>
      </w:r>
    </w:p>
    <w:p>
      <w:pPr>
        <w:pStyle w:val="BlockText"/>
      </w:pPr>
      <w:r>
        <w:t xml:space="preserve">Dokładnie w tym punkcie, przy wykazywaniu twierdzenia 4), praca dr. Pickeringa przestaje mieć charakter jedynie założeniowy i staje się empiryczna, analizując dowody w obiektywny sposób, do czego dąży każdy szanowany współczesny naukowiec.</w:t>
      </w:r>
    </w:p>
    <w:p>
      <w:pPr>
        <w:pStyle w:val="BlockText"/>
      </w:pPr>
      <w:r>
        <w:t xml:space="preserve">Oznacza to, że wykazanie starożytności i niezależności tekstu Rodziny 35 opiera się na obiektywnych argumentach i porównaniu dowodów (wszystkich zachowanych manuskryptów). Także w tej dziedzinie praca dr. Pickeringa jest niezrównana.</w:t>
      </w:r>
    </w:p>
    <w:p>
      <w:pPr>
        <w:pStyle w:val="BlockText"/>
      </w:pPr>
      <w:r>
        <w:t xml:space="preserve">Korzystając z korelacji z apologetyką, mogę stwierdzić, że praca dr. Pickeringa z dowodami, podobnie jak apologetyka chrześcijańska, posługuje się zarówno strategią obrony, jak i ataku.</w:t>
      </w:r>
    </w:p>
    <w:p>
      <w:pPr>
        <w:pStyle w:val="BlockText"/>
      </w:pPr>
      <w:r>
        <w:t xml:space="preserve">Z punktu widzenia obrony jego praca polega na wskazaniu niespójności subiektywnych postulatów teorii eklektycznej oraz na obiektywnym wykazaniu niższej jakości najwcześniejszych manuskryptów.</w:t>
      </w:r>
    </w:p>
    <w:p>
      <w:pPr>
        <w:pStyle w:val="BlockText"/>
      </w:pPr>
      <w:r>
        <w:t xml:space="preserve">Z punktu widzenia ataku jego praca polega na przyjrzeniu się możliwym liniom przekazu tekstu i obiektywnym przeanalizowaniu dostępnych dowodów — to znaczy manuskryptów. Doszedł on do wniosku, że Rodzina 35 jest jedynym archetypem tekstu całego Nowego Testamentu, który można obiektywnie wykazać. (Z pewnością jest jedynym, który wykazano do tej pory).</w:t>
      </w:r>
    </w:p>
    <w:p>
      <w:pPr>
        <w:pStyle w:val="FirstParagraph"/>
      </w:pPr>
      <w:r>
        <w:t xml:space="preserve">Dziękuję, profesorze Xavier! Każdy, kto uczciwie odnosi się do mojej pracy,</w:t>
      </w:r>
      <w:r>
        <w:rPr>
          <w:rStyle w:val="FootnoteReference"/>
        </w:rPr>
        <w:footnoteReference w:id="215"/>
      </w:r>
      <w:r>
        <w:t xml:space="preserve"> </w:t>
      </w:r>
      <w:r>
        <w:t xml:space="preserve">wie, że nie posługuję się argumentami ponadnaturalnymi ani teologicznymi, aby bronić boskiego zachowania tekstu Nowego Testamentu. Moje twierdzenie, że Rodzina 35 zachowuje oryginalne sformułowania, opiera się w całości na dowodach empirycznych i logicznym wnioskowaniu opartym na tych dowodach. Jeśli w ogóle odwołuję się do Bożej opatrzności, to wyłącznie po to, by wyjaśnić fakty, a nie by do nich dojść. Jedynym sposobem wyjaśnienia wewnętrznego charakteru Rodziny 35 jest zrozumienie, że Bóg zachowywał Swój Tekst.</w:t>
      </w:r>
    </w:p>
    <w:p>
      <w:pPr>
        <w:pStyle w:val="BodyText"/>
      </w:pPr>
      <w:r>
        <w:t xml:space="preserve">Nalegam, że nie jestem czystym empirystą. Moja praca jest zakotwiczona w przesłance transcendentalnej. Moje kolacjonowanie manuskryptów dostarczyło empirycznego poświadczenia tej przesłanki. Nie posługuję się przesłanką, aby dojść do faktów, dochodzę do faktów empirycznie. Posługuję się przesłanką, aby wyjaśnić fakty po ich empirycznym ustaleniu.</w:t>
      </w:r>
      <w:r>
        <w:t xml:space="preserve"> </w:t>
      </w:r>
      <w:r>
        <w:rPr>
          <w:bCs/>
          <w:b/>
        </w:rPr>
        <w:t xml:space="preserve">Moja epistemologia opiera się na osobie i dziele Suwerennego Jezusa.</w:t>
      </w:r>
      <w:r>
        <w:rPr>
          <w:rStyle w:val="FootnoteReference"/>
        </w:rPr>
        <w:footnoteReference w:id="216"/>
      </w:r>
    </w:p>
    <w:bookmarkEnd w:id="217"/>
    <w:bookmarkStart w:id="224" w:name="Xc80f99dd4fbb21d79d8909c0f0d5a69f0b2a8f4"/>
    <w:p>
      <w:pPr>
        <w:pStyle w:val="Heading2"/>
      </w:pPr>
      <w:r>
        <w:t xml:space="preserve">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w:t>
      </w:r>
    </w:p>
    <w:p>
      <w:pPr>
        <w:pStyle w:val="FirstParagraph"/>
      </w:pPr>
      <w:r>
        <w:t xml:space="preserve">Kiedy Hermann von Soden zidentyfikował</w:t>
      </w:r>
      <w:r>
        <w:t xml:space="preserve"> </w:t>
      </w:r>
      <w:r>
        <w:rPr>
          <w:bCs/>
          <w:b/>
        </w:rPr>
        <w:t xml:space="preserve">K</w:t>
      </w:r>
      <w:r>
        <w:rPr>
          <w:vertAlign w:val="superscript"/>
          <w:bCs/>
          <w:b/>
        </w:rPr>
        <w:t xml:space="preserve">r</w:t>
      </w:r>
      <w:r>
        <w:t xml:space="preserve"> </w:t>
      </w:r>
      <w:r>
        <w:t xml:space="preserve">i ogłosił, że jest to rewizja</w:t>
      </w:r>
      <w:r>
        <w:t xml:space="preserve"> </w:t>
      </w:r>
      <w:r>
        <w:rPr>
          <w:bCs/>
          <w:b/>
        </w:rPr>
        <w:t xml:space="preserve">K</w:t>
      </w:r>
      <w:r>
        <w:rPr>
          <w:vertAlign w:val="superscript"/>
          <w:bCs/>
          <w:b/>
        </w:rPr>
        <w:t xml:space="preserve">x</w:t>
      </w:r>
      <w:r>
        <w:t xml:space="preserve"> </w:t>
      </w:r>
      <w:r>
        <w:t xml:space="preserve">dokonana w XII wieku, wyświadczył znaczną niedźwiedzią przysługę Prawdzie oraz tym, którzy są zainteresowani ustaleniem oryginalnych sformułowań Tekstu Nowego Testamentu. W tej części argumentuję, że gdyby von Soden rzeczywiście zwrócił uwagę na dowody dostępne za jego czasów, nie mógłby dopuścić się takiej niesprawiedliwości.</w:t>
      </w:r>
    </w:p>
    <w:p>
      <w:pPr>
        <w:pStyle w:val="BodyText"/>
      </w:pPr>
      <w:r>
        <w:t xml:space="preserve">Osoby zaznajomione z moją pracą wiedzą, że zacząłem od używania</w:t>
      </w:r>
      <w:r>
        <w:t xml:space="preserve"> </w:t>
      </w:r>
      <w:r>
        <w:rPr>
          <w:bCs/>
          <w:b/>
        </w:rPr>
        <w:t xml:space="preserve">f</w:t>
      </w:r>
      <w:r>
        <w:rPr>
          <w:vertAlign w:val="superscript"/>
          <w:bCs/>
          <w:b/>
        </w:rPr>
        <w:t xml:space="preserve">18</w:t>
      </w:r>
      <w:r>
        <w:t xml:space="preserve"> </w:t>
      </w:r>
      <w:r>
        <w:t xml:space="preserve">zamiast</w:t>
      </w:r>
      <w:r>
        <w:t xml:space="preserve"> </w:t>
      </w:r>
      <w:r>
        <w:rPr>
          <w:bCs/>
          <w:b/>
        </w:rPr>
        <w:t xml:space="preserve">K</w:t>
      </w:r>
      <w:r>
        <w:rPr>
          <w:vertAlign w:val="superscript"/>
          <w:bCs/>
          <w:b/>
        </w:rPr>
        <w:t xml:space="preserve">r</w:t>
      </w:r>
      <w:r>
        <w:t xml:space="preserve">, ponieważ minuskuł 18 jest członkiem rodziny o najniższym numerze. Następnie przeszedłem na</w:t>
      </w:r>
      <w:r>
        <w:t xml:space="preserve"> </w:t>
      </w:r>
      <w:r>
        <w:rPr>
          <w:bCs/>
          <w:b/>
        </w:rPr>
        <w:t xml:space="preserve">f</w:t>
      </w:r>
      <w:r>
        <w:rPr>
          <w:vertAlign w:val="superscript"/>
          <w:bCs/>
          <w:b/>
        </w:rPr>
        <w:t xml:space="preserve">35</w:t>
      </w:r>
      <w:r>
        <w:t xml:space="preserve"> </w:t>
      </w:r>
      <w:r>
        <w:t xml:space="preserve">z następujących powodów: 1) chociaż 18 jest niekiedy czystszym przedstawicielem typu tekstu niż minuskuł 35, w Objawieniu Jana 18 przechodzi do innego typu, podczas gdy 35 pozostaje wierny (oba manuskrypty zawierają cały Nowy Testament), 2) podczas gdy 18 datowany jest na XIV wiek, 35 datowany jest na XI, a zatem sam jeden zadaje kłam twierdzeniu von Sodena, że</w:t>
      </w:r>
      <w:r>
        <w:t xml:space="preserve"> </w:t>
      </w:r>
      <w:r>
        <w:rPr>
          <w:bCs/>
          <w:b/>
        </w:rPr>
        <w:t xml:space="preserve">K</w:t>
      </w:r>
      <w:r>
        <w:rPr>
          <w:vertAlign w:val="superscript"/>
          <w:bCs/>
          <w:b/>
        </w:rPr>
        <w:t xml:space="preserve">r</w:t>
      </w:r>
      <w:r>
        <w:t xml:space="preserve"> </w:t>
      </w:r>
      <w:r>
        <w:t xml:space="preserve">powstał w XII wieku. Co więcej, jeśli 35 jest kopią, a nie nowym tworem, jego egzemplarz musiał być starszy, i tak dalej.</w:t>
      </w:r>
    </w:p>
    <w:p>
      <w:pPr>
        <w:pStyle w:val="BodyText"/>
      </w:pPr>
      <w:r>
        <w:t xml:space="preserve">Po dokonaniu pełnego kolacjonowania 1389 manuskryptów zawierających całą</w:t>
      </w:r>
      <w:r>
        <w:t xml:space="preserve"> </w:t>
      </w:r>
      <w:r>
        <w:rPr>
          <w:iCs/>
          <w:i/>
        </w:rPr>
        <w:t xml:space="preserve">Pericope Adulterae</w:t>
      </w:r>
      <w:r>
        <w:t xml:space="preserve"> </w:t>
      </w:r>
      <w:r>
        <w:t xml:space="preserve">(istniało jeszcze kilka innych, które z pewnością zawierają tę perykopę, lecz nie można ich było skolacjonować z powodu nieczytelnego mikrofilmu), Maurice Robinson doszedł do następującego wniosku:</w:t>
      </w:r>
    </w:p>
    <w:p>
      <w:pPr>
        <w:pStyle w:val="BlockText"/>
      </w:pPr>
      <w:r>
        <w:t xml:space="preserve">Na podstawie skolacjonowanych danych autor niniejszych słów jest zmuszony odwrócić swoje wcześniejsze założenia dotyczące rozwoju oraz odtworzenia/zachowania bizantyjskiej formy tekstu w następującym sensie: chociaż sam przekaz tekstu jest procesem, wydaje się, że w przeważającej części linie przekazu pozostawały odrębne, a mieszanie zachodziło lub utrwalało się w stosunkowo niewielkim stopniu…</w:t>
      </w:r>
    </w:p>
    <w:p>
      <w:pPr>
        <w:pStyle w:val="Block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w:t>
      </w:r>
    </w:p>
    <w:p>
      <w:pPr>
        <w:pStyle w:val="BlockText"/>
      </w:pPr>
      <w:r>
        <w:t xml:space="preserve">Wydaje się zatem, że bizantyjskie minuskułowe manuskrypty zachowują linie przekazu, które są nie tylko niezależne, ale z konieczności musiały powstać na długo przed IX wiekiem.</w:t>
      </w:r>
      <w:r>
        <w:rPr>
          <w:rStyle w:val="FootnoteReference"/>
        </w:rPr>
        <w:footnoteReference w:id="218"/>
      </w:r>
    </w:p>
    <w:p>
      <w:pPr>
        <w:pStyle w:val="FirstParagraph"/>
      </w:pPr>
      <w:r>
        <w:t xml:space="preserve">W porządku. Jeśli</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7</w:t>
      </w:r>
      <w:r>
        <w:t xml:space="preserve">) został zachowany w swojej „odrębnej integralności” podczas „długiej linii przekazu”, to musiał powstać „na długo przed IX wiekiem”. Oprócz świadectwa 35 kolacjonowania Robinsona wykazują, że minuskuł 1166 i lekcjonarz 139, oba z X wieku, odzwierciedlają</w:t>
      </w:r>
      <w:r>
        <w:t xml:space="preserve"> </w:t>
      </w:r>
      <w:r>
        <w:rPr>
          <w:bCs/>
          <w:b/>
        </w:rPr>
        <w:t xml:space="preserve">K</w:t>
      </w:r>
      <w:r>
        <w:rPr>
          <w:vertAlign w:val="superscript"/>
          <w:bCs/>
          <w:b/>
        </w:rPr>
        <w:t xml:space="preserve">r</w:t>
      </w:r>
      <w:r>
        <w:t xml:space="preserve">. Jeśli są kopiami, a nie nowymi tworami, ich egzemplarze musiały być starsze, i tak dalej. Bez przytaczania dalszych dowodów można uczciwie stwierdzić, że</w:t>
      </w:r>
      <w:r>
        <w:t xml:space="preserve"> </w:t>
      </w:r>
      <w:r>
        <w:rPr>
          <w:bCs/>
          <w:b/>
        </w:rPr>
        <w:t xml:space="preserve">K</w:t>
      </w:r>
      <w:r>
        <w:rPr>
          <w:vertAlign w:val="superscript"/>
          <w:bCs/>
          <w:b/>
        </w:rPr>
        <w:t xml:space="preserve">r</w:t>
      </w:r>
      <w:r>
        <w:t xml:space="preserve"> </w:t>
      </w:r>
      <w:r>
        <w:t xml:space="preserve">musiał istnieć już w IX wieku, jeśli nie w VIII.</w:t>
      </w:r>
    </w:p>
    <w:p>
      <w:pPr>
        <w:pStyle w:val="BodyText"/>
      </w:pPr>
      <w:r>
        <w:t xml:space="preserve">Od lat, na podstawie serii</w:t>
      </w:r>
      <w:r>
        <w:t xml:space="preserve"> </w:t>
      </w:r>
      <w:r>
        <w:rPr>
          <w:iCs/>
          <w:i/>
        </w:rPr>
        <w:t xml:space="preserve">Text und Textwert</w:t>
      </w:r>
      <w:r>
        <w:t xml:space="preserve">, nalegam, że</w:t>
      </w:r>
      <w:r>
        <w:t xml:space="preserve"> </w:t>
      </w:r>
      <w:r>
        <w:rPr>
          <w:bCs/>
          <w:b/>
        </w:rPr>
        <w:t xml:space="preserve">K</w:t>
      </w:r>
      <w:r>
        <w:rPr>
          <w:vertAlign w:val="superscript"/>
          <w:bCs/>
          <w:b/>
        </w:rPr>
        <w:t xml:space="preserve">r</w:t>
      </w:r>
      <w:r>
        <w:t xml:space="preserve"> </w:t>
      </w:r>
      <w:r>
        <w:t xml:space="preserve">jest zarówno starożytny, jak i niezależny. Wydaje się, że Robinson się z tym zgadza. „Brak szeroko zakrojonego porównywania krzyżowego i poprawiania, wykazany w zachowanych manuskryptach zawierających</w:t>
      </w:r>
      <w:r>
        <w:t xml:space="preserve"> </w:t>
      </w:r>
      <w:r>
        <w:rPr>
          <w:iCs/>
          <w:i/>
        </w:rPr>
        <w:t xml:space="preserve">PA</w:t>
      </w:r>
      <w:r>
        <w:t xml:space="preserve">, wyklucza łatwe powstanie którejkolwiek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erze pergaminowej”.</w:t>
      </w:r>
      <w:r>
        <w:rPr>
          <w:rStyle w:val="FootnoteReference"/>
        </w:rPr>
        <w:footnoteReference w:id="219"/>
      </w:r>
      <w:r>
        <w:t xml:space="preserve"> </w:t>
      </w:r>
      <w:r>
        <w:t xml:space="preserve">„Era pergaminowa” — czy nie cofa nas to przynajmniej do IV wieku? W rzeczy samej, tak. Rozważmy:</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Dzieje Apostolskie 4,34 —</w:t>
            </w:r>
          </w:p>
        </w:tc>
        <w:tc>
          <w:tcPr/>
          <w:p>
            <w:pPr>
              <w:pStyle w:val="Compact"/>
              <w:jc w:val="left"/>
            </w:pPr>
            <w:r>
              <w:t xml:space="preserve">τις ην</w:t>
            </w:r>
          </w:p>
        </w:tc>
        <w:tc>
          <w:tcPr/>
          <w:p>
            <w:pPr>
              <w:pStyle w:val="Compact"/>
              <w:jc w:val="left"/>
            </w:pPr>
            <w:r>
              <w:rPr>
                <w:bCs/>
                <w:b/>
              </w:rPr>
              <w:t xml:space="preserve">K</w:t>
            </w:r>
            <w:r>
              <w:rPr>
                <w:vertAlign w:val="superscript"/>
                <w:bCs/>
                <w:b/>
              </w:rPr>
              <w:t xml:space="preserve">r</w:t>
            </w:r>
            <w:r>
              <w:t xml:space="preserve"> </w:t>
            </w:r>
            <w:r>
              <w:t xml:space="preserve">ℵA (~21 B)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pochodzą z IV wieku)</w:t>
            </w:r>
          </w:p>
        </w:tc>
      </w:tr>
      <w:tr>
        <w:tc>
          <w:tcPr/>
          <w:p>
            <w:pPr>
              <w:pStyle w:val="Compact"/>
            </w:pPr>
          </w:p>
        </w:tc>
        <w:tc>
          <w:tcPr/>
          <w:p>
            <w:pPr>
              <w:pStyle w:val="Compact"/>
              <w:jc w:val="left"/>
            </w:pPr>
            <w:r>
              <w:t xml:space="preserve">τις υπηρχεν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8</w:t>
            </w:r>
            <w:r>
              <w:t xml:space="preserve">D</w:t>
            </w:r>
          </w:p>
        </w:tc>
      </w:tr>
      <w:tr>
        <w:tc>
          <w:tcPr/>
          <w:p>
            <w:pPr>
              <w:pStyle w:val="Compact"/>
              <w:jc w:val="left"/>
            </w:pPr>
            <w:r>
              <w:t xml:space="preserve">Dzieje Apostolskie 15,7 —</w:t>
            </w:r>
          </w:p>
        </w:tc>
        <w:tc>
          <w:tcPr/>
          <w:p>
            <w:pPr>
              <w:pStyle w:val="Compact"/>
              <w:jc w:val="left"/>
            </w:pPr>
            <w:r>
              <w:t xml:space="preserve">εν υμιν</w:t>
            </w:r>
          </w:p>
        </w:tc>
        <w:tc>
          <w:tcPr/>
          <w:p>
            <w:pPr>
              <w:pStyle w:val="Compact"/>
              <w:jc w:val="left"/>
            </w:pPr>
            <w:r>
              <w:rPr>
                <w:bCs/>
                <w:b/>
              </w:rPr>
              <w:t xml:space="preserve">K</w:t>
            </w:r>
            <w:r>
              <w:rPr>
                <w:vertAlign w:val="superscript"/>
                <w:bCs/>
                <w:b/>
              </w:rPr>
              <w:t xml:space="preserve">r</w:t>
            </w:r>
            <w:r>
              <w:t xml:space="preserve"> </w:t>
            </w:r>
            <w:r>
              <w:t xml:space="preserve">ℵABC,it</w:t>
            </w:r>
            <w:r>
              <w:rPr>
                <w:vertAlign w:val="superscript"/>
              </w:rPr>
              <w:t xml:space="preserve">pt</w:t>
            </w:r>
            <w:r>
              <w:t xml:space="preserve"> </w:t>
            </w:r>
            <w:r>
              <w:t xml:space="preserve">(</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εν ημιν</w:t>
            </w:r>
          </w:p>
        </w:tc>
        <w:tc>
          <w:tcPr/>
          <w:p>
            <w:pPr>
              <w:pStyle w:val="Compact"/>
              <w:jc w:val="left"/>
            </w:pPr>
            <w:r>
              <w:rPr>
                <w:bCs/>
                <w:b/>
              </w:rPr>
              <w:t xml:space="preserve">K</w:t>
            </w:r>
            <w:r>
              <w:rPr>
                <w:vertAlign w:val="superscript"/>
                <w:bCs/>
                <w:b/>
              </w:rPr>
              <w:t xml:space="preserve">x</w:t>
            </w:r>
            <w:r>
              <w:t xml:space="preserve">(D)lat</w:t>
            </w:r>
          </w:p>
        </w:tc>
      </w:tr>
      <w:tr>
        <w:tc>
          <w:tcPr/>
          <w:p>
            <w:pPr>
              <w:pStyle w:val="Compact"/>
              <w:jc w:val="left"/>
            </w:pPr>
            <w:r>
              <w:t xml:space="preserve">Dzieje Apostolskie 19,3 —</w:t>
            </w:r>
          </w:p>
        </w:tc>
        <w:tc>
          <w:tcPr/>
          <w:p>
            <w:pPr>
              <w:pStyle w:val="Compact"/>
              <w:jc w:val="left"/>
            </w:pPr>
            <w:r>
              <w:t xml:space="preserve">ειπεν τε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ο δε ειπεν</w:t>
            </w:r>
          </w:p>
        </w:tc>
        <w:tc>
          <w:tcPr/>
          <w:p>
            <w:pPr>
              <w:pStyle w:val="Compact"/>
              <w:jc w:val="left"/>
            </w:pPr>
            <w:r>
              <w:t xml:space="preserve">ℵA(P</w:t>
            </w:r>
            <w:r>
              <w:rPr>
                <w:vertAlign w:val="superscript"/>
              </w:rPr>
              <w:t xml:space="preserve">38</w:t>
            </w:r>
            <w:r>
              <w:t xml:space="preserve">)bo</w:t>
            </w:r>
          </w:p>
        </w:tc>
      </w:tr>
      <w:tr>
        <w:tc>
          <w:tcPr/>
          <w:p>
            <w:pPr>
              <w:pStyle w:val="Compact"/>
            </w:pPr>
          </w:p>
        </w:tc>
        <w:tc>
          <w:tcPr/>
          <w:p>
            <w:pPr>
              <w:pStyle w:val="Compact"/>
              <w:jc w:val="left"/>
            </w:pPr>
            <w:r>
              <w:t xml:space="preserve">ειπεν τε προς αυτους</w:t>
            </w:r>
          </w:p>
        </w:tc>
        <w:tc>
          <w:tcPr/>
          <w:p>
            <w:pPr>
              <w:pStyle w:val="Compact"/>
              <w:jc w:val="left"/>
            </w:pPr>
            <w:r>
              <w:rPr>
                <w:bCs/>
                <w:b/>
              </w:rPr>
              <w:t xml:space="preserve">K</w:t>
            </w:r>
            <w:r>
              <w:rPr>
                <w:vertAlign w:val="superscript"/>
                <w:bCs/>
                <w:b/>
              </w:rPr>
              <w:t xml:space="preserve">x</w:t>
            </w:r>
            <w:r>
              <w:t xml:space="preserve"> </w:t>
            </w:r>
            <w:r>
              <w:t xml:space="preserve">sy</w:t>
            </w:r>
            <w:r>
              <w:rPr>
                <w:vertAlign w:val="superscript"/>
              </w:rPr>
              <w:t xml:space="preserve">p</w:t>
            </w:r>
            <w:r>
              <w:t xml:space="preserve">,sa</w:t>
            </w:r>
          </w:p>
        </w:tc>
      </w:tr>
      <w:tr>
        <w:tc>
          <w:tcPr/>
          <w:p>
            <w:pPr>
              <w:pStyle w:val="Compact"/>
              <w:jc w:val="left"/>
            </w:pPr>
            <w:r>
              <w:t xml:space="preserve">Dzieje Apostolskie 21,8 —</w:t>
            </w:r>
          </w:p>
        </w:tc>
        <w:tc>
          <w:tcPr/>
          <w:p>
            <w:pPr>
              <w:pStyle w:val="Compact"/>
              <w:jc w:val="left"/>
            </w:pPr>
            <w:r>
              <w:t xml:space="preserve">ηλθομεν</w:t>
            </w:r>
          </w:p>
        </w:tc>
        <w:tc>
          <w:tcPr/>
          <w:p>
            <w:pPr>
              <w:pStyle w:val="Compact"/>
              <w:jc w:val="left"/>
            </w:pPr>
            <w:r>
              <w:rPr>
                <w:bCs/>
                <w:b/>
              </w:rPr>
              <w:t xml:space="preserve">K</w:t>
            </w:r>
            <w:r>
              <w:rPr>
                <w:vertAlign w:val="superscript"/>
                <w:bCs/>
                <w:b/>
              </w:rPr>
              <w:t xml:space="preserve">r</w:t>
            </w:r>
            <w:r>
              <w:t xml:space="preserve"> </w:t>
            </w:r>
            <w:r>
              <w:t xml:space="preserve">ℵAC(B)lat,syr,cop (</w:t>
            </w:r>
            <w:r>
              <w:rPr>
                <w:bCs/>
                <w:b/>
              </w:rPr>
              <w:t xml:space="preserve">K</w:t>
            </w:r>
            <w:r>
              <w:rPr>
                <w:vertAlign w:val="superscript"/>
                <w:bCs/>
                <w:b/>
              </w:rPr>
              <w:t xml:space="preserve">r</w:t>
            </w:r>
            <w:r>
              <w:t xml:space="preserve"> </w:t>
            </w:r>
            <w:r>
              <w:t xml:space="preserve">jest starszy niż</w:t>
            </w:r>
            <w:r>
              <w:t xml:space="preserve"> </w:t>
            </w:r>
            <w:r>
              <w:rPr>
                <w:bCs/>
                <w:b/>
              </w:rPr>
              <w:t xml:space="preserve">K</w:t>
            </w:r>
            <w:r>
              <w:rPr>
                <w:vertAlign w:val="superscript"/>
                <w:bCs/>
                <w:b/>
              </w:rPr>
              <w:t xml:space="preserve">x</w:t>
            </w:r>
            <w:r>
              <w:t xml:space="preserve">, bardzo starożytny)</w:t>
            </w:r>
          </w:p>
        </w:tc>
      </w:tr>
      <w:tr>
        <w:tc>
          <w:tcPr/>
          <w:p>
            <w:pPr>
              <w:pStyle w:val="Compact"/>
            </w:pPr>
          </w:p>
        </w:tc>
        <w:tc>
          <w:tcPr/>
          <w:p>
            <w:pPr>
              <w:pStyle w:val="Compact"/>
              <w:jc w:val="left"/>
            </w:pPr>
            <w:r>
              <w:t xml:space="preserve">οι περι τον παυλον ηλθον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Dzieje Apostolskie 23,20 —</w:t>
            </w:r>
          </w:p>
        </w:tc>
        <w:tc>
          <w:tcPr/>
          <w:p>
            <w:pPr>
              <w:pStyle w:val="Compact"/>
              <w:jc w:val="left"/>
            </w:pPr>
            <w:r>
              <w:t xml:space="preserve">μελλοντες</w:t>
            </w:r>
          </w:p>
        </w:tc>
        <w:tc>
          <w:tcPr/>
          <w:p>
            <w:pPr>
              <w:pStyle w:val="Compact"/>
              <w:jc w:val="left"/>
            </w:pPr>
            <w:r>
              <w:t xml:space="preserve">(33,1%)</w:t>
            </w:r>
            <w:r>
              <w:t xml:space="preserve"> </w:t>
            </w:r>
            <w:r>
              <w:rPr>
                <w:bCs/>
                <w:b/>
              </w:rPr>
              <w:t xml:space="preserve">K</w:t>
            </w:r>
            <w:r>
              <w:rPr>
                <w:vertAlign w:val="superscript"/>
                <w:bCs/>
                <w:b/>
              </w:rPr>
              <w:t xml:space="preserve">r</w:t>
            </w:r>
            <w:r>
              <w:t xml:space="preserve"> </w:t>
            </w:r>
            <w:r>
              <w:t xml:space="preserve">lat,syr,sa (</w:t>
            </w:r>
            <w:r>
              <w:rPr>
                <w:bCs/>
                <w:b/>
              </w:rPr>
              <w:t xml:space="preserve">K</w:t>
            </w:r>
            <w:r>
              <w:rPr>
                <w:vertAlign w:val="superscript"/>
                <w:bCs/>
                <w:b/>
              </w:rPr>
              <w:t xml:space="preserve">r</w:t>
            </w:r>
            <w:r>
              <w:t xml:space="preserve"> </w:t>
            </w:r>
            <w:r>
              <w:t xml:space="preserve">jest niezależny i bardzo starożytny, nie istnieje</w:t>
            </w:r>
            <w:r>
              <w:t xml:space="preserve"> </w:t>
            </w:r>
            <w:r>
              <w:rPr>
                <w:bCs/>
                <w:b/>
              </w:rPr>
              <w:t xml:space="preserve">K</w:t>
            </w:r>
            <w:r>
              <w:rPr>
                <w:vertAlign w:val="superscript"/>
                <w:bCs/>
                <w:b/>
              </w:rPr>
              <w:t xml:space="preserve">x</w:t>
            </w:r>
            <w:r>
              <w:t xml:space="preserve">)</w:t>
            </w:r>
          </w:p>
        </w:tc>
      </w:tr>
      <w:tr>
        <w:tc>
          <w:tcPr/>
          <w:p>
            <w:pPr>
              <w:pStyle w:val="Compact"/>
            </w:pPr>
          </w:p>
        </w:tc>
        <w:tc>
          <w:tcPr/>
          <w:p>
            <w:pPr>
              <w:pStyle w:val="Compact"/>
              <w:jc w:val="left"/>
            </w:pPr>
            <w:r>
              <w:t xml:space="preserve">μελλοντα</w:t>
            </w:r>
          </w:p>
        </w:tc>
        <w:tc>
          <w:tcPr/>
          <w:p>
            <w:pPr>
              <w:pStyle w:val="Compact"/>
              <w:jc w:val="left"/>
            </w:pPr>
            <w:r>
              <w:t xml:space="preserve">(27,2%) {HF,RP}</w:t>
            </w:r>
          </w:p>
        </w:tc>
      </w:tr>
      <w:tr>
        <w:tc>
          <w:tcPr/>
          <w:p>
            <w:pPr>
              <w:pStyle w:val="Compact"/>
            </w:pPr>
          </w:p>
        </w:tc>
        <w:tc>
          <w:tcPr/>
          <w:p>
            <w:pPr>
              <w:pStyle w:val="Compact"/>
              <w:jc w:val="left"/>
            </w:pPr>
            <w:r>
              <w:t xml:space="preserve">μελλοντων</w:t>
            </w:r>
          </w:p>
        </w:tc>
        <w:tc>
          <w:tcPr/>
          <w:p>
            <w:pPr>
              <w:pStyle w:val="Compact"/>
              <w:jc w:val="left"/>
            </w:pPr>
            <w:r>
              <w:t xml:space="preserve">(17,4%)</w:t>
            </w:r>
          </w:p>
        </w:tc>
      </w:tr>
      <w:tr>
        <w:tc>
          <w:tcPr/>
          <w:p>
            <w:pPr>
              <w:pStyle w:val="Compact"/>
            </w:pPr>
          </w:p>
        </w:tc>
        <w:tc>
          <w:tcPr/>
          <w:p>
            <w:pPr>
              <w:pStyle w:val="Compact"/>
              <w:jc w:val="left"/>
            </w:pPr>
            <w:r>
              <w:t xml:space="preserve">μελλων</w:t>
            </w:r>
          </w:p>
        </w:tc>
        <w:tc>
          <w:tcPr/>
          <w:p>
            <w:pPr>
              <w:pStyle w:val="Compact"/>
              <w:jc w:val="left"/>
            </w:pPr>
            <w:r>
              <w:t xml:space="preserve">(9,2%) AB,bo</w:t>
            </w:r>
          </w:p>
        </w:tc>
      </w:tr>
      <w:tr>
        <w:tc>
          <w:tcPr/>
          <w:p>
            <w:pPr>
              <w:pStyle w:val="Compact"/>
            </w:pPr>
          </w:p>
        </w:tc>
        <w:tc>
          <w:tcPr/>
          <w:p>
            <w:pPr>
              <w:pStyle w:val="Compact"/>
              <w:jc w:val="left"/>
            </w:pPr>
            <w:r>
              <w:t xml:space="preserve">μελλον</w:t>
            </w:r>
          </w:p>
        </w:tc>
        <w:tc>
          <w:tcPr/>
          <w:p>
            <w:pPr>
              <w:pStyle w:val="Compact"/>
              <w:jc w:val="left"/>
            </w:pPr>
            <w:r>
              <w:t xml:space="preserve">(7,5%) {NU}ℵ</w:t>
            </w:r>
          </w:p>
        </w:tc>
      </w:tr>
      <w:tr>
        <w:tc>
          <w:tcPr/>
          <w:p>
            <w:pPr>
              <w:pStyle w:val="Compact"/>
            </w:pPr>
          </w:p>
        </w:tc>
        <w:tc>
          <w:tcPr/>
          <w:p>
            <w:pPr>
              <w:pStyle w:val="Compact"/>
              <w:jc w:val="left"/>
            </w:pPr>
            <w:r>
              <w:t xml:space="preserve">μελλοντας</w:t>
            </w:r>
          </w:p>
        </w:tc>
        <w:tc>
          <w:tcPr/>
          <w:p>
            <w:pPr>
              <w:pStyle w:val="Compact"/>
              <w:jc w:val="left"/>
            </w:pPr>
            <w:r>
              <w:t xml:space="preserve">(5,4%)</w:t>
            </w:r>
          </w:p>
        </w:tc>
      </w:tr>
      <w:tr>
        <w:tc>
          <w:tcPr/>
          <w:p>
            <w:pPr>
              <w:pStyle w:val="Compact"/>
              <w:jc w:val="left"/>
            </w:pPr>
            <w:r>
              <w:t xml:space="preserve">List do Rzymian 5,1 —</w:t>
            </w:r>
          </w:p>
        </w:tc>
        <w:tc>
          <w:tcPr/>
          <w:p>
            <w:pPr>
              <w:pStyle w:val="Compact"/>
              <w:jc w:val="left"/>
            </w:pPr>
            <w:r>
              <w:t xml:space="preserve">εχωμεν</w:t>
            </w:r>
          </w:p>
        </w:tc>
        <w:tc>
          <w:tcPr/>
          <w:p>
            <w:pPr>
              <w:pStyle w:val="Compact"/>
              <w:jc w:val="left"/>
            </w:pPr>
            <w:r>
              <w:t xml:space="preserve">(43%)</w:t>
            </w:r>
            <w:r>
              <w:t xml:space="preserve"> </w:t>
            </w:r>
            <w:r>
              <w:rPr>
                <w:bCs/>
                <w:b/>
              </w:rPr>
              <w:t xml:space="preserve">K</w:t>
            </w:r>
            <w:r>
              <w:rPr>
                <w:vertAlign w:val="superscript"/>
                <w:bCs/>
                <w:b/>
              </w:rPr>
              <w:t xml:space="preserve">r</w:t>
            </w:r>
            <w:r>
              <w:t xml:space="preserve"> </w:t>
            </w:r>
            <w:r>
              <w:rPr>
                <w:bCs/>
                <w:b/>
              </w:rPr>
              <w:t xml:space="preserve">K</w:t>
            </w:r>
            <w:r>
              <w:rPr>
                <w:vertAlign w:val="superscript"/>
                <w:bCs/>
                <w:b/>
              </w:rPr>
              <w:t xml:space="preserve">x(1/3)</w:t>
            </w:r>
            <w:r>
              <w:t xml:space="preserve"> </w:t>
            </w:r>
            <w:r>
              <w:t xml:space="preserve">ℵABCD,lat (czy część</w:t>
            </w:r>
            <w:r>
              <w:t xml:space="preserve"> </w:t>
            </w:r>
            <w:r>
              <w:rPr>
                <w:bCs/>
                <w:b/>
              </w:rPr>
              <w:t xml:space="preserve">K</w:t>
            </w:r>
            <w:r>
              <w:rPr>
                <w:vertAlign w:val="superscript"/>
                <w:bCs/>
                <w:b/>
              </w:rPr>
              <w:t xml:space="preserve">x</w:t>
            </w:r>
            <w:r>
              <w:t xml:space="preserve"> </w:t>
            </w:r>
            <w:r>
              <w:t xml:space="preserve">upodobniła się do</w:t>
            </w:r>
            <w:r>
              <w:t xml:space="preserve"> </w:t>
            </w:r>
            <w:r>
              <w:rPr>
                <w:bCs/>
                <w:b/>
              </w:rPr>
              <w:t xml:space="preserve">K</w:t>
            </w:r>
            <w:r>
              <w:rPr>
                <w:vertAlign w:val="superscript"/>
                <w:bCs/>
                <w:b/>
              </w:rPr>
              <w:t xml:space="preserve">r</w:t>
            </w:r>
            <w:r>
              <w:t xml:space="preserve">?)</w:t>
            </w:r>
          </w:p>
        </w:tc>
      </w:tr>
      <w:tr>
        <w:tc>
          <w:tcPr/>
          <w:p>
            <w:pPr>
              <w:pStyle w:val="Compact"/>
            </w:pPr>
          </w:p>
        </w:tc>
        <w:tc>
          <w:tcPr/>
          <w:p>
            <w:pPr>
              <w:pStyle w:val="Compact"/>
              <w:jc w:val="left"/>
            </w:pPr>
            <w:r>
              <w:t xml:space="preserve">εχομεν</w:t>
            </w:r>
          </w:p>
        </w:tc>
        <w:tc>
          <w:tcPr/>
          <w:p>
            <w:pPr>
              <w:pStyle w:val="Compact"/>
              <w:jc w:val="left"/>
            </w:pPr>
            <w:r>
              <w:t xml:space="preserve">(57%)</w:t>
            </w:r>
            <w:r>
              <w:t xml:space="preserve"> </w:t>
            </w:r>
            <w:r>
              <w:rPr>
                <w:bCs/>
                <w:b/>
              </w:rPr>
              <w:t xml:space="preserve">K</w:t>
            </w:r>
            <w:r>
              <w:rPr>
                <w:vertAlign w:val="superscript"/>
                <w:bCs/>
                <w:b/>
              </w:rPr>
              <w:t xml:space="preserve">x(2/3)</w:t>
            </w:r>
          </w:p>
        </w:tc>
      </w:tr>
      <w:tr>
        <w:tc>
          <w:tcPr/>
          <w:p>
            <w:pPr>
              <w:pStyle w:val="Compact"/>
              <w:jc w:val="left"/>
            </w:pPr>
            <w:r>
              <w:t xml:space="preserve">List do Rzymian 16,6 —</w:t>
            </w:r>
          </w:p>
        </w:tc>
        <w:tc>
          <w:tcPr/>
          <w:p>
            <w:pPr>
              <w:pStyle w:val="Compact"/>
              <w:jc w:val="left"/>
            </w:pPr>
            <w:r>
              <w:t xml:space="preserve">εις υμας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46</w:t>
            </w:r>
            <w:r>
              <w:t xml:space="preserve"> </w:t>
            </w:r>
            <w:r>
              <w:t xml:space="preserve">ℵABC (</w:t>
            </w:r>
            <w:r>
              <w:rPr>
                <w:bCs/>
                <w:b/>
              </w:rPr>
              <w:t xml:space="preserve">K</w:t>
            </w:r>
            <w:r>
              <w:rPr>
                <w:vertAlign w:val="superscript"/>
                <w:bCs/>
                <w:b/>
              </w:rPr>
              <w:t xml:space="preserve">r</w:t>
            </w:r>
            <w:r>
              <w:t xml:space="preserve"> </w:t>
            </w:r>
            <w:r>
              <w:t xml:space="preserve">jest niezależny i bardzo starożytny, II/III wiek)</w:t>
            </w:r>
          </w:p>
        </w:tc>
      </w:tr>
      <w:tr>
        <w:tc>
          <w:tcPr/>
          <w:p>
            <w:pPr>
              <w:pStyle w:val="Compact"/>
            </w:pPr>
          </w:p>
        </w:tc>
        <w:tc>
          <w:tcPr/>
          <w:p>
            <w:pPr>
              <w:pStyle w:val="Compact"/>
              <w:jc w:val="left"/>
            </w:pPr>
            <w:r>
              <w:t xml:space="preserve">εις ημας</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εν υμιν</w:t>
            </w:r>
          </w:p>
        </w:tc>
        <w:tc>
          <w:tcPr/>
          <w:p>
            <w:pPr>
              <w:pStyle w:val="Compact"/>
              <w:jc w:val="left"/>
            </w:pPr>
            <w:r>
              <w:t xml:space="preserve">D</w:t>
            </w:r>
          </w:p>
        </w:tc>
      </w:tr>
      <w:tr>
        <w:tc>
          <w:tcPr/>
          <w:p>
            <w:pPr>
              <w:pStyle w:val="Compact"/>
              <w:jc w:val="left"/>
            </w:pPr>
            <w:r>
              <w:t xml:space="preserve">2 List do Koryntian 1,15 —</w:t>
            </w:r>
          </w:p>
        </w:tc>
        <w:tc>
          <w:tcPr/>
          <w:p>
            <w:pPr>
              <w:pStyle w:val="Compact"/>
              <w:jc w:val="left"/>
            </w:pPr>
            <w:r>
              <w:t xml:space="preserve">προς υμας ελθειν το προτερον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προς υμας ελθειν</w:t>
            </w:r>
          </w:p>
        </w:tc>
        <w:tc>
          <w:tcPr/>
          <w:p>
            <w:pPr>
              <w:pStyle w:val="Compact"/>
              <w:jc w:val="left"/>
            </w:pPr>
            <w:r>
              <w:t xml:space="preserve">ℵ</w:t>
            </w:r>
          </w:p>
        </w:tc>
      </w:tr>
      <w:tr>
        <w:tc>
          <w:tcPr/>
          <w:p>
            <w:pPr>
              <w:pStyle w:val="Compact"/>
            </w:pPr>
          </w:p>
        </w:tc>
        <w:tc>
          <w:tcPr/>
          <w:p>
            <w:pPr>
              <w:pStyle w:val="Compact"/>
              <w:jc w:val="left"/>
            </w:pPr>
            <w:r>
              <w:t xml:space="preserve">προτερον προς υμας ελθειν</w:t>
            </w:r>
          </w:p>
        </w:tc>
        <w:tc>
          <w:tcPr/>
          <w:p>
            <w:pPr>
              <w:pStyle w:val="Compact"/>
              <w:jc w:val="left"/>
            </w:pPr>
            <w:r>
              <w:t xml:space="preserve">ABC</w:t>
            </w:r>
          </w:p>
        </w:tc>
      </w:tr>
      <w:tr>
        <w:tc>
          <w:tcPr/>
          <w:p>
            <w:pPr>
              <w:pStyle w:val="Compact"/>
            </w:pPr>
          </w:p>
        </w:tc>
        <w:tc>
          <w:tcPr/>
          <w:p>
            <w:pPr>
              <w:pStyle w:val="Compact"/>
              <w:jc w:val="left"/>
            </w:pPr>
            <w:r>
              <w:t xml:space="preserve">προτερον ελθειν</w:t>
            </w:r>
          </w:p>
        </w:tc>
        <w:tc>
          <w:tcPr/>
          <w:p>
            <w:pPr>
              <w:pStyle w:val="Compact"/>
              <w:jc w:val="left"/>
            </w:pPr>
            <w:r>
              <w:t xml:space="preserve">D,lat</w:t>
            </w:r>
          </w:p>
        </w:tc>
      </w:tr>
      <w:tr>
        <w:tc>
          <w:tcPr/>
          <w:p>
            <w:pPr>
              <w:pStyle w:val="Compact"/>
            </w:pPr>
          </w:p>
        </w:tc>
        <w:tc>
          <w:tcPr/>
          <w:p>
            <w:pPr>
              <w:pStyle w:val="Compact"/>
              <w:jc w:val="left"/>
            </w:pPr>
            <w:r>
              <w:t xml:space="preserve">προς υμας</w:t>
            </w:r>
          </w:p>
        </w:tc>
        <w:tc>
          <w:tcPr/>
          <w:p>
            <w:pPr>
              <w:pStyle w:val="Compact"/>
            </w:pPr>
          </w:p>
        </w:tc>
      </w:tr>
      <w:tr>
        <w:tc>
          <w:tcPr/>
          <w:p>
            <w:pPr>
              <w:pStyle w:val="Compact"/>
            </w:pPr>
          </w:p>
        </w:tc>
        <w:tc>
          <w:tcPr/>
          <w:p>
            <w:pPr>
              <w:pStyle w:val="Compact"/>
              <w:jc w:val="left"/>
            </w:pPr>
            <w:r>
              <w:t xml:space="preserve">ελθειν προς υμας το προτερον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2 List do Koryntian 2,17 —</w:t>
            </w:r>
          </w:p>
        </w:tc>
        <w:tc>
          <w:tcPr/>
          <w:p>
            <w:pPr>
              <w:pStyle w:val="Compact"/>
              <w:jc w:val="left"/>
            </w:pPr>
            <w:r>
              <w:t xml:space="preserve">λοιποι</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x(pt)</w:t>
            </w:r>
            <w:r>
              <w:t xml:space="preserve"> </w:t>
            </w:r>
            <w:r>
              <w:t xml:space="preserve">P</w:t>
            </w:r>
            <w:r>
              <w:rPr>
                <w:vertAlign w:val="superscript"/>
              </w:rPr>
              <w:t xml:space="preserve">46</w:t>
            </w:r>
            <w:r>
              <w:t xml:space="preserve">D,syr (</w:t>
            </w:r>
            <w:r>
              <w:rPr>
                <w:bCs/>
                <w:b/>
              </w:rPr>
              <w:t xml:space="preserve">K</w:t>
            </w:r>
            <w:r>
              <w:rPr>
                <w:vertAlign w:val="superscript"/>
                <w:bCs/>
                <w:b/>
              </w:rPr>
              <w:t xml:space="preserve">r</w:t>
            </w:r>
            <w:r>
              <w:t xml:space="preserve"> </w:t>
            </w:r>
            <w:r>
              <w:t xml:space="preserve">jest bardzo starożytny, II/III wiek)</w:t>
            </w:r>
          </w:p>
        </w:tc>
      </w:tr>
      <w:tr>
        <w:tc>
          <w:tcPr/>
          <w:p>
            <w:pPr>
              <w:pStyle w:val="Compact"/>
            </w:pPr>
          </w:p>
        </w:tc>
        <w:tc>
          <w:tcPr/>
          <w:p>
            <w:pPr>
              <w:pStyle w:val="Compact"/>
              <w:jc w:val="left"/>
            </w:pPr>
            <w:r>
              <w:t xml:space="preserve">πολλοι</w:t>
            </w:r>
          </w:p>
        </w:tc>
        <w:tc>
          <w:tcPr/>
          <w:p>
            <w:pPr>
              <w:pStyle w:val="Compact"/>
              <w:jc w:val="left"/>
            </w:pPr>
            <w:r>
              <w:rPr>
                <w:bCs/>
                <w:b/>
              </w:rPr>
              <w:t xml:space="preserve">K</w:t>
            </w:r>
            <w:r>
              <w:rPr>
                <w:vertAlign w:val="superscript"/>
                <w:bCs/>
                <w:b/>
              </w:rPr>
              <w:t xml:space="preserve">x(pt)</w:t>
            </w:r>
            <w:r>
              <w:t xml:space="preserve"> </w:t>
            </w:r>
            <w:r>
              <w:t xml:space="preserve">ℵABC,lat,cop</w:t>
            </w:r>
          </w:p>
        </w:tc>
      </w:tr>
      <w:tr>
        <w:tc>
          <w:tcPr/>
          <w:p>
            <w:pPr>
              <w:pStyle w:val="Compact"/>
              <w:jc w:val="left"/>
            </w:pPr>
            <w:r>
              <w:t xml:space="preserve">List Jakuba 1,23 —</w:t>
            </w:r>
          </w:p>
        </w:tc>
        <w:tc>
          <w:tcPr/>
          <w:p>
            <w:pPr>
              <w:pStyle w:val="Compact"/>
              <w:jc w:val="left"/>
            </w:pPr>
            <w:r>
              <w:t xml:space="preserve">νομου</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r>
              <w:rPr>
                <w:rStyle w:val="FootnoteReference"/>
              </w:rPr>
              <w:footnoteReference w:id="220"/>
            </w:r>
          </w:p>
        </w:tc>
      </w:tr>
      <w:tr>
        <w:tc>
          <w:tcPr/>
          <w:p>
            <w:pPr>
              <w:pStyle w:val="Compact"/>
            </w:pPr>
          </w:p>
        </w:tc>
        <w:tc>
          <w:tcPr/>
          <w:p>
            <w:pPr>
              <w:pStyle w:val="Compact"/>
              <w:jc w:val="left"/>
            </w:pPr>
            <w:r>
              <w:t xml:space="preserve">λογου</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2,3 —</w:t>
            </w:r>
          </w:p>
        </w:tc>
        <w:tc>
          <w:tcPr/>
          <w:p>
            <w:pPr>
              <w:pStyle w:val="Compact"/>
              <w:jc w:val="left"/>
            </w:pPr>
            <w:r>
              <w:t xml:space="preserve">την λαμπραν εσθητα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την εσθητα την λαμπραν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2,4 —</w:t>
            </w:r>
          </w:p>
        </w:tc>
        <w:tc>
          <w:tcPr/>
          <w:p>
            <w:pPr>
              <w:pStyle w:val="Compact"/>
              <w:jc w:val="left"/>
            </w:pPr>
            <w:r>
              <w:t xml:space="preserve">— ου</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και ου</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2,8 —</w:t>
            </w:r>
          </w:p>
        </w:tc>
        <w:tc>
          <w:tcPr/>
          <w:p>
            <w:pPr>
              <w:pStyle w:val="Compact"/>
              <w:jc w:val="left"/>
            </w:pPr>
            <w:r>
              <w:t xml:space="preserve">σεαυτον</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εαυτον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2,14 —</w:t>
            </w:r>
          </w:p>
        </w:tc>
        <w:tc>
          <w:tcPr/>
          <w:p>
            <w:pPr>
              <w:pStyle w:val="Compact"/>
              <w:jc w:val="left"/>
            </w:pPr>
            <w:r>
              <w:t xml:space="preserve">εχει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εχη</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3,2 —</w:t>
            </w:r>
          </w:p>
        </w:tc>
        <w:tc>
          <w:tcPr/>
          <w:p>
            <w:pPr>
              <w:pStyle w:val="Compact"/>
              <w:jc w:val="left"/>
            </w:pPr>
            <w:r>
              <w:t xml:space="preserve">δυναμενος</w:t>
            </w:r>
          </w:p>
        </w:tc>
        <w:tc>
          <w:tcPr/>
          <w:p>
            <w:pPr>
              <w:pStyle w:val="Compact"/>
              <w:jc w:val="left"/>
            </w:pPr>
            <w:r>
              <w:rPr>
                <w:bCs/>
                <w:b/>
              </w:rPr>
              <w:t xml:space="preserve">K</w:t>
            </w:r>
            <w:r>
              <w:rPr>
                <w:vertAlign w:val="superscript"/>
                <w:bCs/>
                <w:b/>
              </w:rPr>
              <w:t xml:space="preserve">r</w:t>
            </w:r>
            <w:r>
              <w:t xml:space="preserve"> </w:t>
            </w:r>
            <w:r>
              <w:t xml:space="preserve">ℵ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δυνατος</w:t>
            </w:r>
          </w:p>
        </w:tc>
        <w:tc>
          <w:tcPr/>
          <w:p>
            <w:pPr>
              <w:pStyle w:val="Compact"/>
              <w:jc w:val="left"/>
            </w:pPr>
            <w:r>
              <w:rPr>
                <w:bCs/>
                <w:b/>
              </w:rPr>
              <w:t xml:space="preserve">K</w:t>
            </w:r>
            <w:r>
              <w:rPr>
                <w:vertAlign w:val="superscript"/>
                <w:bCs/>
                <w:b/>
              </w:rPr>
              <w:t xml:space="preserve">x</w:t>
            </w:r>
            <w:r>
              <w:t xml:space="preserve"> </w:t>
            </w:r>
            <w:r>
              <w:t xml:space="preserve">AB</w:t>
            </w:r>
          </w:p>
        </w:tc>
      </w:tr>
      <w:tr>
        <w:tc>
          <w:tcPr/>
          <w:p>
            <w:pPr>
              <w:pStyle w:val="Compact"/>
              <w:jc w:val="left"/>
            </w:pPr>
            <w:r>
              <w:t xml:space="preserve">List Jakuba 3,4 —</w:t>
            </w:r>
          </w:p>
        </w:tc>
        <w:tc>
          <w:tcPr/>
          <w:p>
            <w:pPr>
              <w:pStyle w:val="Compact"/>
              <w:jc w:val="left"/>
            </w:pPr>
            <w:r>
              <w:t xml:space="preserve">ιθυνοντος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 rzadka pisownia klasyczna)</w:t>
            </w:r>
          </w:p>
        </w:tc>
      </w:tr>
      <w:tr>
        <w:tc>
          <w:tcPr/>
          <w:p>
            <w:pPr>
              <w:pStyle w:val="Compact"/>
            </w:pPr>
          </w:p>
        </w:tc>
        <w:tc>
          <w:tcPr/>
          <w:p>
            <w:pPr>
              <w:pStyle w:val="Compact"/>
              <w:jc w:val="left"/>
            </w:pPr>
            <w:r>
              <w:t xml:space="preserve">ευθυνοντος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4,11 —</w:t>
            </w:r>
          </w:p>
        </w:tc>
        <w:tc>
          <w:tcPr/>
          <w:p>
            <w:pPr>
              <w:pStyle w:val="Compact"/>
              <w:jc w:val="left"/>
            </w:pPr>
            <w:r>
              <w:t xml:space="preserve">ο γαρ</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 —</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List Jakuba 4,14 —</w:t>
            </w:r>
          </w:p>
        </w:tc>
        <w:tc>
          <w:tcPr/>
          <w:p>
            <w:pPr>
              <w:pStyle w:val="Compact"/>
              <w:jc w:val="left"/>
            </w:pPr>
            <w:r>
              <w:t xml:space="preserve">ημων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υμων</w:t>
            </w:r>
          </w:p>
        </w:tc>
        <w:tc>
          <w:tcPr/>
          <w:p>
            <w:pPr>
              <w:pStyle w:val="Compact"/>
              <w:jc w:val="left"/>
            </w:pPr>
            <w:r>
              <w:rPr>
                <w:bCs/>
                <w:b/>
              </w:rPr>
              <w:t xml:space="preserve">K</w:t>
            </w:r>
            <w:r>
              <w:rPr>
                <w:vertAlign w:val="superscript"/>
                <w:bCs/>
                <w:b/>
              </w:rPr>
              <w:t xml:space="preserve">x</w:t>
            </w:r>
            <w:r>
              <w:t xml:space="preserve"> </w:t>
            </w:r>
            <w:r>
              <w:t xml:space="preserve">ℵA(P</w:t>
            </w:r>
            <w:r>
              <w:rPr>
                <w:vertAlign w:val="superscript"/>
              </w:rPr>
              <w:t xml:space="preserve">100</w:t>
            </w:r>
            <w:r>
              <w:t xml:space="preserve">B)</w:t>
            </w:r>
          </w:p>
        </w:tc>
      </w:tr>
      <w:tr>
        <w:tc>
          <w:tcPr/>
          <w:p>
            <w:pPr>
              <w:pStyle w:val="Compact"/>
              <w:jc w:val="left"/>
            </w:pPr>
            <w:r>
              <w:t xml:space="preserve">List Jakuba 4,14 —</w:t>
            </w:r>
          </w:p>
        </w:tc>
        <w:tc>
          <w:tcPr/>
          <w:p>
            <w:pPr>
              <w:pStyle w:val="Compact"/>
              <w:jc w:val="left"/>
            </w:pPr>
            <w:r>
              <w:t xml:space="preserve">επειτα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επειτα και</w:t>
            </w:r>
          </w:p>
        </w:tc>
        <w:tc>
          <w:tcPr/>
          <w:p>
            <w:pPr>
              <w:pStyle w:val="Compact"/>
              <w:jc w:val="left"/>
            </w:pPr>
            <w:r>
              <w:t xml:space="preserve">ℵAB</w:t>
            </w:r>
          </w:p>
        </w:tc>
      </w:tr>
      <w:tr>
        <w:tc>
          <w:tcPr/>
          <w:p>
            <w:pPr>
              <w:pStyle w:val="Compact"/>
            </w:pPr>
          </w:p>
        </w:tc>
        <w:tc>
          <w:tcPr/>
          <w:p>
            <w:pPr>
              <w:pStyle w:val="Compact"/>
              <w:jc w:val="left"/>
            </w:pPr>
            <w:r>
              <w:t xml:space="preserve">επειτα δε και</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1 List Piotra 3,16 —</w:t>
            </w:r>
          </w:p>
        </w:tc>
        <w:tc>
          <w:tcPr/>
          <w:p>
            <w:pPr>
              <w:pStyle w:val="Compact"/>
              <w:jc w:val="left"/>
            </w:pPr>
            <w:r>
              <w:t xml:space="preserve">καταλαλουσιν</w:t>
            </w:r>
          </w:p>
        </w:tc>
        <w:tc>
          <w:tcPr/>
          <w:p>
            <w:pPr>
              <w:pStyle w:val="Compact"/>
              <w:jc w:val="left"/>
            </w:pPr>
            <w:r>
              <w:rPr>
                <w:bCs/>
                <w:b/>
              </w:rPr>
              <w:t xml:space="preserve">K</w:t>
            </w:r>
            <w:r>
              <w:rPr>
                <w:vertAlign w:val="superscript"/>
                <w:bCs/>
                <w:b/>
              </w:rPr>
              <w:t xml:space="preserve">r</w:t>
            </w:r>
            <w:r>
              <w:t xml:space="preserve"> </w:t>
            </w:r>
            <w:r>
              <w:t xml:space="preserve">ℵAC,sy</w:t>
            </w:r>
            <w:r>
              <w:rPr>
                <w:vertAlign w:val="superscript"/>
              </w:rPr>
              <w:t xml:space="preserve">p</w:t>
            </w:r>
            <w:r>
              <w:t xml:space="preserve">,bo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καταλαλωσιν</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καταλαλεισθε</w:t>
            </w:r>
          </w:p>
        </w:tc>
        <w:tc>
          <w:tcPr/>
          <w:p>
            <w:pPr>
              <w:pStyle w:val="Compact"/>
              <w:jc w:val="left"/>
            </w:pPr>
            <w:r>
              <w:t xml:space="preserve">P</w:t>
            </w:r>
            <w:r>
              <w:rPr>
                <w:vertAlign w:val="superscript"/>
              </w:rPr>
              <w:t xml:space="preserve">72</w:t>
            </w:r>
            <w:r>
              <w:t xml:space="preserve">B,sa</w:t>
            </w:r>
          </w:p>
        </w:tc>
      </w:tr>
      <w:tr>
        <w:tc>
          <w:tcPr/>
          <w:p>
            <w:pPr>
              <w:pStyle w:val="Compact"/>
              <w:jc w:val="left"/>
            </w:pPr>
            <w:r>
              <w:t xml:space="preserve">1 List Piotra 4,3 —</w:t>
            </w:r>
          </w:p>
        </w:tc>
        <w:tc>
          <w:tcPr/>
          <w:p>
            <w:pPr>
              <w:pStyle w:val="Compact"/>
              <w:jc w:val="left"/>
            </w:pPr>
            <w:r>
              <w:t xml:space="preserve">υμιν</w:t>
            </w:r>
          </w:p>
        </w:tc>
        <w:tc>
          <w:tcPr/>
          <w:p>
            <w:pPr>
              <w:pStyle w:val="Compact"/>
              <w:jc w:val="left"/>
            </w:pPr>
            <w:r>
              <w:rPr>
                <w:bCs/>
                <w:b/>
              </w:rPr>
              <w:t xml:space="preserve">K</w:t>
            </w:r>
            <w:r>
              <w:rPr>
                <w:vertAlign w:val="superscript"/>
                <w:bCs/>
                <w:b/>
              </w:rPr>
              <w:t xml:space="preserve">r</w:t>
            </w:r>
            <w:r>
              <w:t xml:space="preserve"> </w:t>
            </w:r>
            <w:r>
              <w:t xml:space="preserve">ℵbo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ημιν</w:t>
            </w:r>
          </w:p>
        </w:tc>
        <w:tc>
          <w:tcPr/>
          <w:p>
            <w:pPr>
              <w:pStyle w:val="Compact"/>
              <w:jc w:val="left"/>
            </w:pPr>
            <w:r>
              <w:rPr>
                <w:bCs/>
                <w:b/>
              </w:rPr>
              <w:t xml:space="preserve">K</w:t>
            </w:r>
            <w:r>
              <w:rPr>
                <w:vertAlign w:val="superscript"/>
                <w:bCs/>
                <w:b/>
              </w:rPr>
              <w:t xml:space="preserve">x</w:t>
            </w:r>
            <w:r>
              <w:t xml:space="preserve"> </w:t>
            </w:r>
            <w:r>
              <w:t xml:space="preserve">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AB,lat,syr,sa</w:t>
            </w:r>
          </w:p>
        </w:tc>
      </w:tr>
      <w:tr>
        <w:tc>
          <w:tcPr/>
          <w:p>
            <w:pPr>
              <w:pStyle w:val="Compact"/>
              <w:jc w:val="left"/>
            </w:pPr>
            <w:r>
              <w:t xml:space="preserve">2 List Piotra 2,17 —</w:t>
            </w:r>
          </w:p>
        </w:tc>
        <w:tc>
          <w:tcPr/>
          <w:p>
            <w:pPr>
              <w:pStyle w:val="Compact"/>
              <w:jc w:val="left"/>
            </w:pPr>
            <w:r>
              <w:t xml:space="preserve">εις αιωνας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εις αιωνα</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 </w:t>
            </w:r>
            <w:r>
              <w:t xml:space="preserve">ℵB,lat,syr,cop</w:t>
            </w:r>
          </w:p>
        </w:tc>
      </w:tr>
      <w:tr>
        <w:tc>
          <w:tcPr/>
          <w:p>
            <w:pPr>
              <w:pStyle w:val="Compact"/>
              <w:jc w:val="left"/>
            </w:pPr>
            <w:r>
              <w:t xml:space="preserve">3 List Jana 12 —</w:t>
            </w:r>
          </w:p>
        </w:tc>
        <w:tc>
          <w:tcPr/>
          <w:p>
            <w:pPr>
              <w:pStyle w:val="Compact"/>
              <w:jc w:val="left"/>
            </w:pPr>
            <w:r>
              <w:t xml:space="preserve">οιδαμεν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οιδατε</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οιδας</w:t>
            </w:r>
          </w:p>
        </w:tc>
        <w:tc>
          <w:tcPr/>
          <w:p>
            <w:pPr>
              <w:pStyle w:val="Compact"/>
              <w:jc w:val="left"/>
            </w:pPr>
            <w:r>
              <w:t xml:space="preserve">ℵABC</w:t>
            </w:r>
          </w:p>
        </w:tc>
      </w:tr>
    </w:tbl>
    <w:p>
      <w:pPr>
        <w:pStyle w:val="BodyText"/>
      </w:pPr>
      <w:r>
        <w:t xml:space="preserve">Jakie zatem wnioski możemy wyciągnąć z tych dowodów?</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i sięgają co najmniej IV wieku.</w:t>
      </w:r>
      <w:r>
        <w:rPr>
          <w:rStyle w:val="FootnoteReference"/>
        </w:rPr>
        <w:footnoteReference w:id="221"/>
      </w:r>
      <w:r>
        <w:t xml:space="preserve"> </w:t>
      </w:r>
      <w:r>
        <w:t xml:space="preserve">Kilka przykładów można by interpretować w ten sposób, że</w:t>
      </w:r>
      <w:r>
        <w:t xml:space="preserve"> </w:t>
      </w:r>
      <w:r>
        <w:rPr>
          <w:bCs/>
          <w:b/>
        </w:rPr>
        <w:t xml:space="preserve">K</w:t>
      </w:r>
      <w:r>
        <w:rPr>
          <w:vertAlign w:val="superscript"/>
          <w:bCs/>
          <w:b/>
        </w:rPr>
        <w:t xml:space="preserve">r</w:t>
      </w:r>
      <w:r>
        <w:t xml:space="preserve"> </w:t>
      </w:r>
      <w:r>
        <w:t xml:space="preserve">jest starszy od</w:t>
      </w:r>
      <w:r>
        <w:t xml:space="preserve"> </w:t>
      </w:r>
      <w:r>
        <w:rPr>
          <w:bCs/>
          <w:b/>
        </w:rPr>
        <w:t xml:space="preserve">K</w:t>
      </w:r>
      <w:r>
        <w:rPr>
          <w:vertAlign w:val="superscript"/>
          <w:bCs/>
          <w:b/>
        </w:rPr>
        <w:t xml:space="preserve">x</w:t>
      </w:r>
      <w:r>
        <w:t xml:space="preserve"> </w:t>
      </w:r>
      <w:r>
        <w:t xml:space="preserve">i sięga III, a nawet II wieku, pozostawię jednak tę możliwość na dalszym planie i przyjrzę się kolejnym dowodom. Poniższe przykłady opierają się na</w:t>
      </w:r>
      <w:r>
        <w:t xml:space="preserve"> </w:t>
      </w:r>
      <w:r>
        <w:rPr>
          <w:iCs/>
          <w:i/>
        </w:rPr>
        <w:t xml:space="preserve">Text und Textwert</w:t>
      </w:r>
      <w:r>
        <w:t xml:space="preserve"> </w:t>
      </w:r>
      <w:r>
        <w:t xml:space="preserve">i wydaniu Ewangelii Łukasza przygotowanym przez IGNTP.</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Ewangelia Łukasza 1,55 —</w:t>
            </w:r>
          </w:p>
        </w:tc>
        <w:tc>
          <w:tcPr/>
          <w:p>
            <w:pPr>
              <w:pStyle w:val="Compact"/>
              <w:jc w:val="left"/>
            </w:pPr>
            <w:r>
              <w:t xml:space="preserve">εως αιωνος</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εις τον αιωνα</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1,63 —</w:t>
            </w:r>
          </w:p>
        </w:tc>
        <w:tc>
          <w:tcPr/>
          <w:p>
            <w:pPr>
              <w:pStyle w:val="Compact"/>
              <w:jc w:val="left"/>
            </w:pPr>
            <w:r>
              <w:t xml:space="preserve">εσται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εστιν</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3,12 —</w:t>
            </w:r>
          </w:p>
        </w:tc>
        <w:tc>
          <w:tcPr/>
          <w:p>
            <w:pPr>
              <w:pStyle w:val="Compact"/>
              <w:jc w:val="left"/>
            </w:pPr>
            <w:r>
              <w:t xml:space="preserve">υπ αυτου και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 —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4,7 —</w:t>
            </w:r>
          </w:p>
        </w:tc>
        <w:tc>
          <w:tcPr/>
          <w:p>
            <w:pPr>
              <w:pStyle w:val="Compact"/>
              <w:jc w:val="left"/>
            </w:pPr>
            <w:r>
              <w:t xml:space="preserve">σοι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4,42 —</w:t>
            </w:r>
          </w:p>
        </w:tc>
        <w:tc>
          <w:tcPr/>
          <w:p>
            <w:pPr>
              <w:pStyle w:val="Compact"/>
              <w:jc w:val="left"/>
            </w:pPr>
            <w:r>
              <w:t xml:space="preserve">εζητουν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επεζητουν</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 —</w:t>
            </w:r>
          </w:p>
        </w:tc>
        <w:tc>
          <w:tcPr/>
          <w:p>
            <w:pPr>
              <w:pStyle w:val="Compact"/>
              <w:jc w:val="left"/>
            </w:pPr>
            <w:r>
              <w:t xml:space="preserve">περι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παρα</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w:t>
            </w:r>
          </w:p>
        </w:tc>
      </w:tr>
      <w:tr>
        <w:tc>
          <w:tcPr/>
          <w:p>
            <w:pPr>
              <w:pStyle w:val="Compact"/>
              <w:jc w:val="left"/>
            </w:pPr>
            <w:r>
              <w:t xml:space="preserve">Ewangelia Łukasza 5,19 —</w:t>
            </w:r>
          </w:p>
        </w:tc>
        <w:tc>
          <w:tcPr/>
          <w:p>
            <w:pPr>
              <w:pStyle w:val="Compact"/>
              <w:jc w:val="left"/>
            </w:pPr>
            <w:r>
              <w:t xml:space="preserve">ευροντες δια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ευροντες —</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5,19 —</w:t>
            </w:r>
          </w:p>
        </w:tc>
        <w:tc>
          <w:tcPr/>
          <w:p>
            <w:pPr>
              <w:pStyle w:val="Compact"/>
              <w:jc w:val="left"/>
            </w:pPr>
            <w:r>
              <w:t xml:space="preserve">πως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ποιας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6,7 —</w:t>
            </w:r>
          </w:p>
        </w:tc>
        <w:tc>
          <w:tcPr/>
          <w:p>
            <w:pPr>
              <w:pStyle w:val="Compact"/>
              <w:jc w:val="left"/>
            </w:pPr>
            <w:r>
              <w:t xml:space="preserve">— τω</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εν τω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6,10 —</w:t>
            </w:r>
          </w:p>
        </w:tc>
        <w:tc>
          <w:tcPr/>
          <w:p>
            <w:pPr>
              <w:pStyle w:val="Compact"/>
              <w:jc w:val="left"/>
            </w:pPr>
            <w:r>
              <w:t xml:space="preserve">ουτως και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6,26 —</w:t>
            </w:r>
          </w:p>
        </w:tc>
        <w:tc>
          <w:tcPr/>
          <w:p>
            <w:pPr>
              <w:pStyle w:val="Compact"/>
              <w:jc w:val="left"/>
            </w:pPr>
            <w:r>
              <w:t xml:space="preserve">καλως ειπωσιν υμας</w:t>
            </w:r>
          </w:p>
        </w:tc>
        <w:tc>
          <w:tcPr/>
          <w:p>
            <w:pPr>
              <w:pStyle w:val="Compact"/>
              <w:jc w:val="left"/>
            </w:pPr>
            <w:r>
              <w:rPr>
                <w:bCs/>
                <w:b/>
              </w:rPr>
              <w:t xml:space="preserve">K</w:t>
            </w:r>
            <w:r>
              <w:rPr>
                <w:vertAlign w:val="superscript"/>
                <w:bCs/>
                <w:b/>
              </w:rPr>
              <w:t xml:space="preserve">r</w:t>
            </w:r>
            <w:r>
              <w:t xml:space="preserve"> </w:t>
            </w:r>
            <w:r>
              <w:t xml:space="preserve">ℵA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καλως υμας ειπωσιν</w:t>
            </w:r>
          </w:p>
        </w:tc>
        <w:tc>
          <w:tcPr/>
          <w:p>
            <w:pPr>
              <w:pStyle w:val="Compact"/>
              <w:jc w:val="left"/>
            </w:pPr>
            <w:r>
              <w:rPr>
                <w:bCs/>
                <w:b/>
              </w:rPr>
              <w:t xml:space="preserve">K</w:t>
            </w:r>
            <w:r>
              <w:rPr>
                <w:vertAlign w:val="superscript"/>
                <w:bCs/>
                <w:b/>
              </w:rPr>
              <w:t xml:space="preserve">x</w:t>
            </w:r>
            <w:r>
              <w:t xml:space="preserve">D</w:t>
            </w:r>
          </w:p>
        </w:tc>
      </w:tr>
      <w:tr>
        <w:tc>
          <w:tcPr/>
          <w:p>
            <w:pPr>
              <w:pStyle w:val="Compact"/>
            </w:pPr>
          </w:p>
        </w:tc>
        <w:tc>
          <w:tcPr/>
          <w:p>
            <w:pPr>
              <w:pStyle w:val="Compact"/>
              <w:jc w:val="left"/>
            </w:pPr>
            <w:r>
              <w:t xml:space="preserve">υμας καλως ειπωσιν</w:t>
            </w:r>
          </w:p>
        </w:tc>
        <w:tc>
          <w:tcPr/>
          <w:p>
            <w:pPr>
              <w:pStyle w:val="Compact"/>
              <w:jc w:val="left"/>
            </w:pPr>
            <w:r>
              <w:t xml:space="preserve">P</w:t>
            </w:r>
            <w:r>
              <w:rPr>
                <w:vertAlign w:val="superscript"/>
              </w:rPr>
              <w:t xml:space="preserve">75</w:t>
            </w:r>
            <w:r>
              <w:t xml:space="preserve">B</w:t>
            </w:r>
          </w:p>
        </w:tc>
      </w:tr>
      <w:tr>
        <w:tc>
          <w:tcPr/>
          <w:p>
            <w:pPr>
              <w:pStyle w:val="Compact"/>
              <w:jc w:val="left"/>
            </w:pPr>
            <w:r>
              <w:t xml:space="preserve">Ewangelia Łukasza 6,26 —</w:t>
            </w:r>
          </w:p>
        </w:tc>
        <w:tc>
          <w:tcPr/>
          <w:p>
            <w:pPr>
              <w:pStyle w:val="Compact"/>
              <w:jc w:val="left"/>
            </w:pPr>
            <w:r>
              <w:t xml:space="preserve">παντες οι</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AB(ℵ)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w:t>
            </w:r>
          </w:p>
        </w:tc>
        <w:tc>
          <w:tcPr/>
          <w:p>
            <w:pPr>
              <w:pStyle w:val="Compact"/>
              <w:jc w:val="left"/>
            </w:pPr>
            <w:r>
              <w:rPr>
                <w:bCs/>
                <w:b/>
              </w:rPr>
              <w:t xml:space="preserve">K</w:t>
            </w:r>
            <w:r>
              <w:rPr>
                <w:vertAlign w:val="superscript"/>
                <w:bCs/>
                <w:b/>
              </w:rPr>
              <w:t xml:space="preserve">x</w:t>
            </w:r>
            <w:r>
              <w:t xml:space="preserve"> </w:t>
            </w:r>
            <w:r>
              <w:t xml:space="preserve">D,syr</w:t>
            </w:r>
          </w:p>
        </w:tc>
      </w:tr>
      <w:tr>
        <w:tc>
          <w:tcPr/>
          <w:p>
            <w:pPr>
              <w:pStyle w:val="Compact"/>
              <w:jc w:val="left"/>
            </w:pPr>
            <w:r>
              <w:t xml:space="preserve">Ewangelia Łukasza 6,49 —</w:t>
            </w:r>
          </w:p>
        </w:tc>
        <w:tc>
          <w:tcPr/>
          <w:p>
            <w:pPr>
              <w:pStyle w:val="Compact"/>
              <w:jc w:val="left"/>
            </w:pPr>
            <w:r>
              <w:t xml:space="preserve">την οικιαν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οικιαν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8,15 —</w:t>
            </w:r>
          </w:p>
        </w:tc>
        <w:tc>
          <w:tcPr/>
          <w:p>
            <w:pPr>
              <w:pStyle w:val="Compact"/>
              <w:jc w:val="left"/>
            </w:pPr>
            <w:r>
              <w:t xml:space="preserve">ταυτα λεγων εφωνει ο εχων ωτα ακουειν ακουετω</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(pominięcie)</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8,24 —</w:t>
            </w:r>
          </w:p>
        </w:tc>
        <w:tc>
          <w:tcPr/>
          <w:p>
            <w:pPr>
              <w:pStyle w:val="Compact"/>
              <w:jc w:val="left"/>
            </w:pPr>
            <w:r>
              <w:t xml:space="preserve">και προσελθοντες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προσελθοντες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9,27 —</w:t>
            </w:r>
          </w:p>
        </w:tc>
        <w:tc>
          <w:tcPr/>
          <w:p>
            <w:pPr>
              <w:pStyle w:val="Compact"/>
              <w:jc w:val="left"/>
            </w:pPr>
            <w:r>
              <w:t xml:space="preserve">εστηκοτων</w:t>
            </w:r>
          </w:p>
        </w:tc>
        <w:tc>
          <w:tcPr/>
          <w:p>
            <w:pPr>
              <w:pStyle w:val="Compact"/>
              <w:jc w:val="left"/>
            </w:pPr>
            <w:r>
              <w:rPr>
                <w:bCs/>
                <w:b/>
              </w:rPr>
              <w:t xml:space="preserve">K</w:t>
            </w:r>
            <w:r>
              <w:rPr>
                <w:vertAlign w:val="superscript"/>
                <w:bCs/>
                <w:b/>
              </w:rPr>
              <w:t xml:space="preserve">r</w:t>
            </w:r>
            <w:r>
              <w:t xml:space="preserve"> </w:t>
            </w:r>
            <w:r>
              <w:t xml:space="preserve">ℵB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εστωτων</w:t>
            </w:r>
          </w:p>
        </w:tc>
        <w:tc>
          <w:tcPr/>
          <w:p>
            <w:pPr>
              <w:pStyle w:val="Compact"/>
              <w:jc w:val="left"/>
            </w:pPr>
            <w:r>
              <w:rPr>
                <w:bCs/>
                <w:b/>
              </w:rPr>
              <w:t xml:space="preserve">K</w:t>
            </w:r>
            <w:r>
              <w:rPr>
                <w:vertAlign w:val="superscript"/>
                <w:bCs/>
                <w:b/>
              </w:rPr>
              <w:t xml:space="preserve">x</w:t>
            </w:r>
            <w:r>
              <w:t xml:space="preserve"> </w:t>
            </w:r>
            <w:r>
              <w:t xml:space="preserve">ACD</w:t>
            </w:r>
          </w:p>
        </w:tc>
      </w:tr>
      <w:tr>
        <w:tc>
          <w:tcPr/>
          <w:p>
            <w:pPr>
              <w:pStyle w:val="Compact"/>
              <w:jc w:val="left"/>
            </w:pPr>
            <w:r>
              <w:t xml:space="preserve">Ewangelia Łukasza 9,56 —</w:t>
            </w:r>
          </w:p>
        </w:tc>
        <w:tc>
          <w:tcPr/>
          <w:p>
            <w:pPr>
              <w:pStyle w:val="Compact"/>
              <w:jc w:val="left"/>
            </w:pPr>
            <w:r>
              <w:t xml:space="preserve">(obecność wersetu)</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w:t>
            </w:r>
            <w:r>
              <w:t xml:space="preserve"> </w:t>
            </w:r>
            <w:r>
              <w:t xml:space="preserve">lat,syr,Diat,Marcion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t>
            </w:r>
            <w:r>
              <w:t xml:space="preserve">pochodzą z II wieku)</w:t>
            </w:r>
          </w:p>
        </w:tc>
      </w:tr>
      <w:tr>
        <w:tc>
          <w:tcPr/>
          <w:p>
            <w:pPr>
              <w:pStyle w:val="Compact"/>
            </w:pPr>
          </w:p>
        </w:tc>
        <w:tc>
          <w:tcPr/>
          <w:p>
            <w:pPr>
              <w:pStyle w:val="Compact"/>
              <w:jc w:val="left"/>
            </w:pPr>
            <w:r>
              <w:t xml:space="preserve">(pominięcie wersetu)</w:t>
            </w:r>
          </w:p>
        </w:tc>
        <w:tc>
          <w:tcPr/>
          <w:p>
            <w:pPr>
              <w:pStyle w:val="Compact"/>
              <w:jc w:val="left"/>
            </w:pPr>
            <w:r>
              <w:t xml:space="preserve">P</w:t>
            </w:r>
            <w:r>
              <w:rPr>
                <w:vertAlign w:val="superscript"/>
              </w:rPr>
              <w:t xml:space="preserve">45,75</w:t>
            </w:r>
            <w:r>
              <w:t xml:space="preserve"> </w:t>
            </w:r>
            <w:r>
              <w:t xml:space="preserve">ℵABCDW,cop</w:t>
            </w:r>
          </w:p>
        </w:tc>
      </w:tr>
      <w:tr>
        <w:tc>
          <w:tcPr/>
          <w:p>
            <w:pPr>
              <w:pStyle w:val="Compact"/>
              <w:jc w:val="left"/>
            </w:pPr>
            <w:r>
              <w:t xml:space="preserve">Ewangelia Łukasza 10,4 —</w:t>
            </w:r>
          </w:p>
        </w:tc>
        <w:tc>
          <w:tcPr/>
          <w:p>
            <w:pPr>
              <w:pStyle w:val="Compact"/>
              <w:jc w:val="left"/>
            </w:pPr>
            <w:r>
              <w:t xml:space="preserve">πηραν μη</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πηραν μηδε</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jc w:val="left"/>
            </w:pPr>
            <w:r>
              <w:t xml:space="preserve">Ewangelia Łukasza 10,6 —</w:t>
            </w:r>
          </w:p>
        </w:tc>
        <w:tc>
          <w:tcPr/>
          <w:p>
            <w:pPr>
              <w:pStyle w:val="Compact"/>
              <w:jc w:val="left"/>
            </w:pPr>
            <w:r>
              <w:t xml:space="preserve">εαν 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εαν —</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ℵABCD</w:t>
            </w:r>
          </w:p>
        </w:tc>
      </w:tr>
      <w:tr>
        <w:tc>
          <w:tcPr/>
          <w:p>
            <w:pPr>
              <w:pStyle w:val="Compact"/>
              <w:jc w:val="left"/>
            </w:pPr>
            <w:r>
              <w:t xml:space="preserve">Ewangelia Łukasza 10,39 —</w:t>
            </w:r>
          </w:p>
        </w:tc>
        <w:tc>
          <w:tcPr/>
          <w:p>
            <w:pPr>
              <w:pStyle w:val="Compact"/>
              <w:jc w:val="left"/>
            </w:pPr>
            <w:r>
              <w:t xml:space="preserve">των λογων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τον λογον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ℵABC</w:t>
            </w:r>
          </w:p>
        </w:tc>
      </w:tr>
      <w:tr>
        <w:tc>
          <w:tcPr/>
          <w:p>
            <w:pPr>
              <w:pStyle w:val="Compact"/>
              <w:jc w:val="left"/>
            </w:pPr>
            <w:r>
              <w:t xml:space="preserve">Ewangelia Łukasza 10,41 —</w:t>
            </w:r>
          </w:p>
        </w:tc>
        <w:tc>
          <w:tcPr/>
          <w:p>
            <w:pPr>
              <w:pStyle w:val="Compact"/>
              <w:jc w:val="left"/>
            </w:pPr>
            <w:r>
              <w:t xml:space="preserve">ο Ιησους ειπεν αυτη</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ο Kυριος ειπεν αυτη</w:t>
            </w:r>
          </w:p>
        </w:tc>
        <w:tc>
          <w:tcPr/>
          <w:p>
            <w:pPr>
              <w:pStyle w:val="Compact"/>
              <w:jc w:val="left"/>
            </w:pPr>
            <w:r>
              <w:t xml:space="preserve">P</w:t>
            </w:r>
            <w:r>
              <w:rPr>
                <w:vertAlign w:val="superscript"/>
              </w:rPr>
              <w:t xml:space="preserve">45</w:t>
            </w:r>
            <w:r>
              <w:t xml:space="preserve"> </w:t>
            </w:r>
            <w:r>
              <w:t xml:space="preserve">(szyk wyrazów pochodzi z III wieku)</w:t>
            </w:r>
          </w:p>
        </w:tc>
      </w:tr>
      <w:tr>
        <w:tc>
          <w:tcPr/>
          <w:p>
            <w:pPr>
              <w:pStyle w:val="Compact"/>
            </w:pPr>
          </w:p>
        </w:tc>
        <w:tc>
          <w:tcPr/>
          <w:p>
            <w:pPr>
              <w:pStyle w:val="Compact"/>
              <w:jc w:val="left"/>
            </w:pPr>
            <w:r>
              <w:t xml:space="preserve">ειπεν αυτη ο Ιησους</w:t>
            </w:r>
          </w:p>
        </w:tc>
        <w:tc>
          <w:tcPr/>
          <w:p>
            <w:pPr>
              <w:pStyle w:val="Compact"/>
              <w:jc w:val="left"/>
            </w:pPr>
            <w:r>
              <w:rPr>
                <w:bCs/>
                <w:b/>
              </w:rPr>
              <w:t xml:space="preserve">K</w:t>
            </w:r>
            <w:r>
              <w:rPr>
                <w:vertAlign w:val="superscript"/>
                <w:bCs/>
                <w:b/>
              </w:rPr>
              <w:t xml:space="preserve">x</w:t>
            </w:r>
            <w:r>
              <w:t xml:space="preserve"> </w:t>
            </w:r>
            <w:r>
              <w:t xml:space="preserve">ACW,syr,bo</w:t>
            </w:r>
          </w:p>
        </w:tc>
      </w:tr>
      <w:tr>
        <w:tc>
          <w:tcPr/>
          <w:p>
            <w:pPr>
              <w:pStyle w:val="Compact"/>
            </w:pPr>
          </w:p>
        </w:tc>
        <w:tc>
          <w:tcPr/>
          <w:p>
            <w:pPr>
              <w:pStyle w:val="Compact"/>
              <w:jc w:val="left"/>
            </w:pPr>
            <w:r>
              <w:t xml:space="preserve">ειπεν αυτη ο Kυριος</w:t>
            </w:r>
          </w:p>
        </w:tc>
        <w:tc>
          <w:tcPr/>
          <w:p>
            <w:pPr>
              <w:pStyle w:val="Compact"/>
              <w:jc w:val="left"/>
            </w:pPr>
            <w:r>
              <w:t xml:space="preserve">P</w:t>
            </w:r>
            <w:r>
              <w:rPr>
                <w:vertAlign w:val="superscript"/>
              </w:rPr>
              <w:t xml:space="preserve">75</w:t>
            </w:r>
            <w:r>
              <w:t xml:space="preserve"> </w:t>
            </w:r>
            <w:r>
              <w:t xml:space="preserve">ℵB,lat,sa</w:t>
            </w:r>
          </w:p>
        </w:tc>
      </w:tr>
      <w:tr>
        <w:tc>
          <w:tcPr/>
          <w:p>
            <w:pPr>
              <w:pStyle w:val="Compact"/>
              <w:jc w:val="left"/>
            </w:pPr>
            <w:r>
              <w:t xml:space="preserve">Ewangelia Łukasza 11,34 —</w:t>
            </w:r>
          </w:p>
        </w:tc>
        <w:tc>
          <w:tcPr/>
          <w:p>
            <w:pPr>
              <w:pStyle w:val="Compact"/>
              <w:jc w:val="left"/>
            </w:pPr>
            <w:r>
              <w:t xml:space="preserve">— ολον</w:t>
            </w:r>
          </w:p>
        </w:tc>
        <w:tc>
          <w:tcPr/>
          <w:p>
            <w:pPr>
              <w:pStyle w:val="Compact"/>
              <w:jc w:val="left"/>
            </w:pPr>
            <w:r>
              <w:rPr>
                <w:bCs/>
                <w:b/>
              </w:rPr>
              <w:t xml:space="preserve">K</w:t>
            </w:r>
            <w:r>
              <w:rPr>
                <w:vertAlign w:val="superscript"/>
                <w:bCs/>
                <w:b/>
              </w:rPr>
              <w:t xml:space="preserve">r</w:t>
            </w:r>
            <w:r>
              <w:t xml:space="preserve"> </w:t>
            </w:r>
            <w:r>
              <w:t xml:space="preserve">CD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και ολον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w:t>
            </w:r>
          </w:p>
        </w:tc>
      </w:tr>
      <w:tr>
        <w:tc>
          <w:tcPr/>
          <w:p>
            <w:pPr>
              <w:pStyle w:val="Compact"/>
              <w:jc w:val="left"/>
            </w:pPr>
            <w:r>
              <w:t xml:space="preserve">Ewangelia Łukasza 11,53 —</w:t>
            </w:r>
          </w:p>
        </w:tc>
        <w:tc>
          <w:tcPr/>
          <w:p>
            <w:pPr>
              <w:pStyle w:val="Compact"/>
              <w:jc w:val="left"/>
            </w:pPr>
            <w:r>
              <w:t xml:space="preserve">συνεχειν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ενεχειν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w:t>
            </w:r>
          </w:p>
        </w:tc>
      </w:tr>
      <w:tr>
        <w:tc>
          <w:tcPr/>
          <w:p>
            <w:pPr>
              <w:pStyle w:val="Compact"/>
            </w:pPr>
          </w:p>
        </w:tc>
        <w:tc>
          <w:tcPr/>
          <w:p>
            <w:pPr>
              <w:pStyle w:val="Compact"/>
              <w:jc w:val="left"/>
            </w:pPr>
            <w:r>
              <w:t xml:space="preserve">εχειν</w:t>
            </w:r>
          </w:p>
        </w:tc>
        <w:tc>
          <w:tcPr/>
          <w:p>
            <w:pPr>
              <w:pStyle w:val="Compact"/>
              <w:jc w:val="left"/>
            </w:pPr>
            <w:r>
              <w:t xml:space="preserve">P</w:t>
            </w:r>
            <w:r>
              <w:rPr>
                <w:vertAlign w:val="superscript"/>
              </w:rPr>
              <w:t xml:space="preserve">45</w:t>
            </w:r>
            <w:r>
              <w:t xml:space="preserve">D</w:t>
            </w:r>
          </w:p>
        </w:tc>
      </w:tr>
      <w:tr>
        <w:tc>
          <w:tcPr/>
          <w:p>
            <w:pPr>
              <w:pStyle w:val="Compact"/>
            </w:pPr>
          </w:p>
        </w:tc>
        <w:tc>
          <w:tcPr/>
          <w:p>
            <w:pPr>
              <w:pStyle w:val="Compact"/>
              <w:jc w:val="left"/>
            </w:pPr>
            <w:r>
              <w:t xml:space="preserve">επεχειν</w:t>
            </w:r>
          </w:p>
        </w:tc>
        <w:tc>
          <w:tcPr/>
          <w:p>
            <w:pPr>
              <w:pStyle w:val="Compact"/>
              <w:jc w:val="left"/>
            </w:pPr>
            <w:r>
              <w:t xml:space="preserve">C</w:t>
            </w:r>
          </w:p>
        </w:tc>
      </w:tr>
      <w:tr>
        <w:tc>
          <w:tcPr/>
          <w:p>
            <w:pPr>
              <w:pStyle w:val="Compact"/>
              <w:jc w:val="left"/>
            </w:pPr>
            <w:r>
              <w:t xml:space="preserve">Ewangelia Łukasza 12,22 —</w:t>
            </w:r>
          </w:p>
        </w:tc>
        <w:tc>
          <w:tcPr/>
          <w:p>
            <w:pPr>
              <w:pStyle w:val="Compact"/>
              <w:jc w:val="left"/>
            </w:pPr>
            <w:r>
              <w:t xml:space="preserve">λεγω υμιν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υμιν λεγω</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12,56 —</w:t>
            </w:r>
          </w:p>
        </w:tc>
        <w:tc>
          <w:tcPr/>
          <w:p>
            <w:pPr>
              <w:pStyle w:val="Compact"/>
              <w:jc w:val="left"/>
            </w:pPr>
            <w:r>
              <w:t xml:space="preserve">του ουρανου και της γης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45,75</w:t>
            </w:r>
            <w:r>
              <w:t xml:space="preserve">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της γης και του ουρανου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12,58 —</w:t>
            </w:r>
          </w:p>
        </w:tc>
        <w:tc>
          <w:tcPr/>
          <w:p>
            <w:pPr>
              <w:pStyle w:val="Compact"/>
              <w:jc w:val="left"/>
            </w:pPr>
            <w:r>
              <w:t xml:space="preserve">βαλη σε</w:t>
            </w:r>
          </w:p>
        </w:tc>
        <w:tc>
          <w:tcPr/>
          <w:p>
            <w:pPr>
              <w:pStyle w:val="Compact"/>
              <w:jc w:val="left"/>
            </w:pPr>
            <w:r>
              <w:rPr>
                <w:bCs/>
                <w:b/>
              </w:rPr>
              <w:t xml:space="preserve">K</w:t>
            </w:r>
            <w:r>
              <w:rPr>
                <w:vertAlign w:val="superscript"/>
                <w:bCs/>
                <w:b/>
              </w:rPr>
              <w:t xml:space="preserve">r</w:t>
            </w:r>
            <w:r>
              <w:t xml:space="preserve">(D) (</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σε βαλη</w:t>
            </w:r>
          </w:p>
        </w:tc>
        <w:tc>
          <w:tcPr/>
          <w:p>
            <w:pPr>
              <w:pStyle w:val="Compact"/>
              <w:jc w:val="left"/>
            </w:pPr>
            <w:r>
              <w:rPr>
                <w:bCs/>
                <w:b/>
              </w:rPr>
              <w:t xml:space="preserve">K</w:t>
            </w:r>
            <w:r>
              <w:rPr>
                <w:vertAlign w:val="superscript"/>
                <w:bCs/>
                <w:b/>
              </w:rPr>
              <w:t xml:space="preserve">x</w:t>
            </w:r>
            <w:r>
              <w:t xml:space="preserve"> </w:t>
            </w:r>
            <w:r>
              <w:t xml:space="preserve">A(P</w:t>
            </w:r>
            <w:r>
              <w:rPr>
                <w:vertAlign w:val="superscript"/>
              </w:rPr>
              <w:t xml:space="preserve">75</w:t>
            </w:r>
            <w:r>
              <w:t xml:space="preserve"> </w:t>
            </w:r>
            <w:r>
              <w:t xml:space="preserve">ℵB)</w:t>
            </w:r>
          </w:p>
        </w:tc>
      </w:tr>
      <w:tr>
        <w:tc>
          <w:tcPr/>
          <w:p>
            <w:pPr>
              <w:pStyle w:val="Compact"/>
              <w:jc w:val="left"/>
            </w:pPr>
            <w:r>
              <w:t xml:space="preserve">Ewangelia Łukasza 13,28 —</w:t>
            </w:r>
          </w:p>
        </w:tc>
        <w:tc>
          <w:tcPr/>
          <w:p>
            <w:pPr>
              <w:pStyle w:val="Compact"/>
              <w:jc w:val="left"/>
            </w:pPr>
            <w:r>
              <w:t xml:space="preserve">οψεσθε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οψησθε</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AW</w:t>
            </w:r>
          </w:p>
        </w:tc>
      </w:tr>
      <w:tr>
        <w:tc>
          <w:tcPr/>
          <w:p>
            <w:pPr>
              <w:pStyle w:val="Compact"/>
            </w:pPr>
          </w:p>
        </w:tc>
        <w:tc>
          <w:tcPr/>
          <w:p>
            <w:pPr>
              <w:pStyle w:val="Compact"/>
              <w:jc w:val="left"/>
            </w:pPr>
            <w:r>
              <w:t xml:space="preserve">ιδητε</w:t>
            </w:r>
          </w:p>
        </w:tc>
        <w:tc>
          <w:tcPr/>
          <w:p>
            <w:pPr>
              <w:pStyle w:val="Compact"/>
              <w:jc w:val="left"/>
            </w:pPr>
            <w:r>
              <w:t xml:space="preserve">ℵ</w:t>
            </w:r>
          </w:p>
        </w:tc>
      </w:tr>
      <w:tr>
        <w:tc>
          <w:tcPr/>
          <w:p>
            <w:pPr>
              <w:pStyle w:val="Compact"/>
              <w:jc w:val="left"/>
            </w:pPr>
            <w:r>
              <w:t xml:space="preserve">Ewangelia Łukasza 19,23 —</w:t>
            </w:r>
          </w:p>
        </w:tc>
        <w:tc>
          <w:tcPr/>
          <w:p>
            <w:pPr>
              <w:pStyle w:val="Compact"/>
              <w:jc w:val="left"/>
            </w:pPr>
            <w:r>
              <w:t xml:space="preserve">επι την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21,6 —</w:t>
            </w:r>
          </w:p>
        </w:tc>
        <w:tc>
          <w:tcPr/>
          <w:p>
            <w:pPr>
              <w:pStyle w:val="Compact"/>
              <w:jc w:val="left"/>
            </w:pPr>
            <w:r>
              <w:t xml:space="preserve">επι λιθον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λιθω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21,15 —</w:t>
            </w:r>
          </w:p>
        </w:tc>
        <w:tc>
          <w:tcPr/>
          <w:p>
            <w:pPr>
              <w:pStyle w:val="Compact"/>
              <w:jc w:val="left"/>
            </w:pPr>
            <w:r>
              <w:t xml:space="preserve">αντειπειν η αντιστηναι</w:t>
            </w:r>
          </w:p>
        </w:tc>
        <w:tc>
          <w:tcPr/>
          <w:p>
            <w:pPr>
              <w:pStyle w:val="Compact"/>
              <w:jc w:val="left"/>
            </w:pPr>
            <w:r>
              <w:rPr>
                <w:bCs/>
                <w:b/>
              </w:rPr>
              <w:t xml:space="preserve">K</w:t>
            </w:r>
            <w:r>
              <w:rPr>
                <w:vertAlign w:val="superscript"/>
                <w:bCs/>
                <w:b/>
              </w:rPr>
              <w:t xml:space="preserve">r</w:t>
            </w:r>
            <w:r>
              <w:t xml:space="preserve"> </w:t>
            </w:r>
            <w:r>
              <w:t xml:space="preserve">A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αντειπειν ουδε αντιστηναι</w:t>
            </w:r>
          </w:p>
        </w:tc>
        <w:tc>
          <w:tcPr/>
          <w:p>
            <w:pPr>
              <w:pStyle w:val="Compact"/>
              <w:jc w:val="left"/>
            </w:pPr>
            <w:r>
              <w:rPr>
                <w:bCs/>
                <w:b/>
              </w:rPr>
              <w:t xml:space="preserve">K</w:t>
            </w:r>
            <w:r>
              <w:rPr>
                <w:vertAlign w:val="superscript"/>
                <w:bCs/>
                <w:b/>
              </w:rPr>
              <w:t xml:space="preserve">x</w:t>
            </w:r>
            <w:r>
              <w:t xml:space="preserve"> </w:t>
            </w:r>
            <w:r>
              <w:t xml:space="preserve">W</w:t>
            </w:r>
          </w:p>
        </w:tc>
      </w:tr>
      <w:tr>
        <w:tc>
          <w:tcPr/>
          <w:p>
            <w:pPr>
              <w:pStyle w:val="Compact"/>
            </w:pPr>
          </w:p>
        </w:tc>
        <w:tc>
          <w:tcPr/>
          <w:p>
            <w:pPr>
              <w:pStyle w:val="Compact"/>
              <w:jc w:val="left"/>
            </w:pPr>
            <w:r>
              <w:t xml:space="preserve">— — αντιστηναι</w:t>
            </w:r>
          </w:p>
        </w:tc>
        <w:tc>
          <w:tcPr/>
          <w:p>
            <w:pPr>
              <w:pStyle w:val="Compact"/>
              <w:jc w:val="left"/>
            </w:pPr>
            <w:r>
              <w:t xml:space="preserve">D,it,syr</w:t>
            </w:r>
          </w:p>
        </w:tc>
      </w:tr>
      <w:tr>
        <w:tc>
          <w:tcPr/>
          <w:p>
            <w:pPr>
              <w:pStyle w:val="Compact"/>
            </w:pPr>
          </w:p>
        </w:tc>
        <w:tc>
          <w:tcPr/>
          <w:p>
            <w:pPr>
              <w:pStyle w:val="Compact"/>
              <w:jc w:val="left"/>
            </w:pPr>
            <w:r>
              <w:t xml:space="preserve">αντιστηναι η αντειπειν</w:t>
            </w:r>
          </w:p>
        </w:tc>
        <w:tc>
          <w:tcPr/>
          <w:p>
            <w:pPr>
              <w:pStyle w:val="Compact"/>
              <w:jc w:val="left"/>
            </w:pPr>
            <w:r>
              <w:t xml:space="preserve">ℵB,cop</w:t>
            </w:r>
          </w:p>
        </w:tc>
      </w:tr>
      <w:tr>
        <w:tc>
          <w:tcPr/>
          <w:p>
            <w:pPr>
              <w:pStyle w:val="Compact"/>
              <w:jc w:val="left"/>
            </w:pPr>
            <w:r>
              <w:t xml:space="preserve">Ewangelia Łukasza 22,12 —</w:t>
            </w:r>
          </w:p>
        </w:tc>
        <w:tc>
          <w:tcPr/>
          <w:p>
            <w:pPr>
              <w:pStyle w:val="Compact"/>
              <w:jc w:val="left"/>
            </w:pPr>
            <w:r>
              <w:t xml:space="preserve">αναγαιον</w:t>
            </w:r>
          </w:p>
        </w:tc>
        <w:tc>
          <w:tcPr/>
          <w:p>
            <w:pPr>
              <w:pStyle w:val="Compact"/>
              <w:jc w:val="left"/>
            </w:pPr>
            <w:r>
              <w:rPr>
                <w:bCs/>
                <w:b/>
              </w:rPr>
              <w:t xml:space="preserve">K</w:t>
            </w:r>
            <w:r>
              <w:rPr>
                <w:vertAlign w:val="superscript"/>
                <w:bCs/>
                <w:b/>
              </w:rPr>
              <w:t xml:space="preserve">r</w:t>
            </w:r>
            <w:r>
              <w:t xml:space="preserve"> </w:t>
            </w:r>
            <w:r>
              <w:t xml:space="preserve">ℵABD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αναγεον</w:t>
            </w:r>
          </w:p>
        </w:tc>
        <w:tc>
          <w:tcPr/>
          <w:p>
            <w:pPr>
              <w:pStyle w:val="Compact"/>
              <w:jc w:val="left"/>
            </w:pPr>
            <w:r>
              <w:t xml:space="preserve">CW</w:t>
            </w:r>
          </w:p>
        </w:tc>
      </w:tr>
      <w:tr>
        <w:tc>
          <w:tcPr/>
          <w:p>
            <w:pPr>
              <w:pStyle w:val="Compact"/>
            </w:pPr>
          </w:p>
        </w:tc>
        <w:tc>
          <w:tcPr/>
          <w:p>
            <w:pPr>
              <w:pStyle w:val="Compact"/>
              <w:jc w:val="left"/>
            </w:pPr>
            <w:r>
              <w:t xml:space="preserve">ανωγεον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Ewangelia Łukasza 22,66 —</w:t>
            </w:r>
          </w:p>
        </w:tc>
        <w:tc>
          <w:tcPr/>
          <w:p>
            <w:pPr>
              <w:pStyle w:val="Compact"/>
              <w:jc w:val="left"/>
            </w:pPr>
            <w:r>
              <w:t xml:space="preserve">απηγαγον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ανηγαγον</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23,51 —</w:t>
            </w:r>
          </w:p>
        </w:tc>
        <w:tc>
          <w:tcPr/>
          <w:p>
            <w:pPr>
              <w:pStyle w:val="Compact"/>
              <w:jc w:val="left"/>
            </w:pPr>
            <w:r>
              <w:t xml:space="preserve">ος —</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ℵBCD,lat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ος και</w:t>
            </w:r>
          </w:p>
        </w:tc>
        <w:tc>
          <w:tcPr/>
          <w:p>
            <w:pPr>
              <w:pStyle w:val="Compact"/>
              <w:jc w:val="left"/>
            </w:pPr>
            <w:r>
              <w:rPr>
                <w:bCs/>
                <w:b/>
              </w:rPr>
              <w:t xml:space="preserve">K</w:t>
            </w:r>
            <w:r>
              <w:rPr>
                <w:vertAlign w:val="superscript"/>
                <w:bCs/>
                <w:b/>
              </w:rPr>
              <w:t xml:space="preserve">x</w:t>
            </w:r>
            <w:r>
              <w:t xml:space="preserve"> </w:t>
            </w:r>
            <w:r>
              <w:t xml:space="preserve">AW</w:t>
            </w:r>
          </w:p>
        </w:tc>
      </w:tr>
    </w:tbl>
    <w:p>
      <w:pPr>
        <w:pStyle w:val="BodyText"/>
      </w:pPr>
      <w:r>
        <w:t xml:space="preserve">Istnieje jeszcze wiele przykładów, w których</w:t>
      </w:r>
      <w:r>
        <w:t xml:space="preserve"> </w:t>
      </w:r>
      <w:r>
        <w:rPr>
          <w:bCs/>
          <w:b/>
        </w:rPr>
        <w:t xml:space="preserve">K</w:t>
      </w:r>
      <w:r>
        <w:rPr>
          <w:vertAlign w:val="superscript"/>
          <w:bCs/>
          <w:b/>
        </w:rPr>
        <w:t xml:space="preserve">r</w:t>
      </w:r>
      <w:r>
        <w:t xml:space="preserve"> </w:t>
      </w:r>
      <w:r>
        <w:t xml:space="preserve">występuje samotnie przeciwko całemu światu, co wykazuje jego niezależność, lecz „znużyłem się w czynieniu dobra” i uznałem, że podałem wystarczająco wiele, aby dowieść swojej tezy. Zauważ, że N-A</w:t>
      </w:r>
      <w:r>
        <w:rPr>
          <w:vertAlign w:val="superscript"/>
        </w:rPr>
        <w:t xml:space="preserve">27</w:t>
      </w:r>
      <w:r>
        <w:t xml:space="preserve"> </w:t>
      </w:r>
      <w:r>
        <w:t xml:space="preserve">wspomina tylko jedną trzecią tych przykładów z Ewangelii Łukasza — być pogardzanym oznacza być ignorowanym. Te dodatkowe dowody potwierdzają,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z tym że teraz oba trzeba datować co najmniej na III wiek.</w:t>
      </w:r>
    </w:p>
    <w:p>
      <w:pPr>
        <w:pStyle w:val="BodyText"/>
      </w:pPr>
      <w:r>
        <w:t xml:space="preserve">Można zauważyć, że podałem przykłady z Ewangelii (Łukasza, Jana), Dziejów Apostolskich, Pawła (List do Rzymian, 2 List do Koryntian) i Listów Ogólnych (List Jakuba, 1 List Piotra, 2 List Piotra, 3 List Jana), ze szczególnym uwzględnieniem Ewangelii Łukasza, Dziejów Apostolskich i Listu Jakuba.</w:t>
      </w:r>
      <w:r>
        <w:rPr>
          <w:rStyle w:val="FootnoteReference"/>
        </w:rPr>
        <w:footnoteReference w:id="222"/>
      </w:r>
      <w:r>
        <w:t xml:space="preserve"> </w:t>
      </w:r>
      <w:r>
        <w:t xml:space="preserve">W całym Nowym Testamencie</w:t>
      </w:r>
      <w:r>
        <w:t xml:space="preserve"> </w:t>
      </w:r>
      <w:r>
        <w:rPr>
          <w:bCs/>
          <w:b/>
        </w:rPr>
        <w:t xml:space="preserve">K</w:t>
      </w:r>
      <w:r>
        <w:rPr>
          <w:vertAlign w:val="superscript"/>
          <w:bCs/>
          <w:b/>
        </w:rPr>
        <w:t xml:space="preserve">r</w:t>
      </w:r>
      <w:r>
        <w:t xml:space="preserve"> </w:t>
      </w:r>
      <w:r>
        <w:t xml:space="preserve">jest niezależny i starożytny. Skoro sięga III wieku, jest równie stary jak każdy inny typ tekstu. Dlatego</w:t>
      </w:r>
      <w:r>
        <w:t xml:space="preserve"> </w:t>
      </w:r>
      <w:r>
        <w:rPr>
          <w:bCs/>
          <w:b/>
        </w:rPr>
        <w:t xml:space="preserve">należy go traktować z szacunkiem, na jaki zasługuje!!</w:t>
      </w:r>
    </w:p>
    <w:p>
      <w:pPr>
        <w:pStyle w:val="BodyText"/>
      </w:pPr>
      <w:r>
        <w:t xml:space="preserve">Dwukrotnie cytowałem Maurice’a Robinsona i wykazałem, że dowody potwierdzają jego twierdzenia.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sięgają początku ery pergaminowej. Wysuwa on jednak jeszcze śmielsze twierdzenie:</w:t>
      </w:r>
    </w:p>
    <w:p>
      <w:pPr>
        <w:pStyle w:val="BlockText"/>
      </w:pPr>
      <w:r>
        <w:t xml:space="preserve">Ani kodeksy majuskułowe, ani minuskułowe nie wykazują żadnych oznak, aby jakakolwiek znana linia wywodziła się z równoległej znanej linii. Około dziesięciu linii przekazu będących „typami tekstu” pozostaje niezależnych i z konieczności musi sięgać punktu na długo przed ich odrębną stabilizacją — punktu, który wydaje się tkwić (jak sugerowali Colwell i Scrivener) głęboko w II wieku.</w:t>
      </w:r>
      <w:r>
        <w:rPr>
          <w:rStyle w:val="FootnoteReference"/>
        </w:rPr>
        <w:footnoteReference w:id="223"/>
      </w:r>
    </w:p>
    <w:p>
      <w:pPr>
        <w:pStyle w:val="FirstParagraph"/>
      </w:pPr>
      <w:r>
        <w:t xml:space="preserve">No, no, no, zbliżamy się całkiem mocno do Autografów! Obiektywne dowody z II wieku są nieco trudne do zdobycia. Mimo to przytoczone wyżej przykłady z Dziejów Apostolskich 21,8, Dziejów Apostolskich 23,20, Listu do Rzymian 5,1, Ewangelii Łukasza 9,56, Ewangelii Łukasza 12,22 i Ewangelii Łukasza 23,51 mogą umieszczać</w:t>
      </w:r>
      <w:r>
        <w:t xml:space="preserve">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 II wieku. Celem tej części nie jest jednak obrona tej tezy. Na razie zadowalam się naleganiem, że</w:t>
      </w:r>
      <w:r>
        <w:t xml:space="preserve"> </w:t>
      </w:r>
      <w:r>
        <w:rPr>
          <w:bCs/>
          <w:b/>
        </w:rPr>
        <w:t xml:space="preserve">K</w:t>
      </w:r>
      <w:r>
        <w:rPr>
          <w:vertAlign w:val="superscript"/>
          <w:bCs/>
          <w:b/>
        </w:rPr>
        <w:t xml:space="preserve">r</w:t>
      </w:r>
      <w:r>
        <w:t xml:space="preserve"> </w:t>
      </w:r>
      <w:r>
        <w:t xml:space="preserve">musi sięgać III wieku, a zatem musi zostać zrehabilitowany w praktyce krytyki tekstu Nowego Testamentu.</w:t>
      </w:r>
    </w:p>
    <w:p>
      <w:pPr>
        <w:pStyle w:val="BodyText"/>
      </w:pPr>
      <w:r>
        <w:t xml:space="preserve">Podsumowując, twierdzę, że wykazałem, iż</w:t>
      </w:r>
      <w:r>
        <w:t xml:space="preserve"> </w:t>
      </w:r>
      <w:r>
        <w:rPr>
          <w:bCs/>
          <w:b/>
        </w:rPr>
        <w:t xml:space="preserve">K</w:t>
      </w:r>
      <w:r>
        <w:rPr>
          <w:vertAlign w:val="superscript"/>
          <w:bCs/>
          <w:b/>
        </w:rPr>
        <w:t xml:space="preserve">r</w:t>
      </w:r>
      <w:r>
        <w:t xml:space="preserve"> </w:t>
      </w:r>
      <w:r>
        <w:t xml:space="preserve">jest niezależny i starożytny, sięgający (co najmniej) III wieku. Istnieje jednak głęboko zakorzeniona pogarda/antypatia wobec tego symbolu,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w:t>
      </w:r>
    </w:p>
    <w:p>
      <w:pPr>
        <w:pStyle w:val="BodyText"/>
      </w:pPr>
      <w:r>
        <w:t xml:space="preserve">Skrytykowawszy datowanie</w:t>
      </w:r>
      <w:r>
        <w:t xml:space="preserve"> </w:t>
      </w:r>
      <w:r>
        <w:rPr>
          <w:bCs/>
          <w:b/>
        </w:rPr>
        <w:t xml:space="preserve">K</w:t>
      </w:r>
      <w:r>
        <w:rPr>
          <w:vertAlign w:val="superscript"/>
          <w:bCs/>
          <w:b/>
        </w:rPr>
        <w:t xml:space="preserve">r</w:t>
      </w:r>
      <w:r>
        <w:t xml:space="preserve"> </w:t>
      </w:r>
      <w:r>
        <w:t xml:space="preserve">przez von Sodena, pytam teraz: co doprowadziło go do tego wniosku i dlaczego jego wniosek został niemal powszechnie zaakceptowany przez środowisko akademickie? Odpowiadam: liczba manuskryptów typu</w:t>
      </w:r>
      <w:r>
        <w:t xml:space="preserve"> </w:t>
      </w:r>
      <w:r>
        <w:rPr>
          <w:bCs/>
          <w:b/>
        </w:rPr>
        <w:t xml:space="preserve">K</w:t>
      </w:r>
      <w:r>
        <w:rPr>
          <w:vertAlign w:val="superscript"/>
          <w:bCs/>
          <w:b/>
        </w:rPr>
        <w:t xml:space="preserve">r</w:t>
      </w:r>
      <w:r>
        <w:t xml:space="preserve"> </w:t>
      </w:r>
      <w:r>
        <w:t xml:space="preserve">po raz pierwszy staje się zauważalna właśnie w XII wieku, chociaż istnieje pewna ich liczba z XI wieku. Liczba ta rośnie w XIII wieku, a jeszcze bardziej w XIV, zwracając na siebie uwagę. Ci, którzy przyjęli już doktrynę Horta o późnym tekście „syryjskim”, nie widzieliby powodu, by kwestionować twierdzenie von Sodena, ani nie mieliby skłonności czy motywacji, aby „marnować” czas na jego sprawdzanie. Jeśli sam von Soden przyjął doktrynę Horta, dowody go zaślepiły.</w:t>
      </w:r>
    </w:p>
    <w:p>
      <w:pPr>
        <w:pStyle w:val="BodyText"/>
      </w:pPr>
      <w:r>
        <w:t xml:space="preserve">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bookmarkEnd w:id="224"/>
    <w:bookmarkStart w:id="236" w:name="o-wzorcu-i-zależności"/>
    <w:p>
      <w:pPr>
        <w:pStyle w:val="Heading2"/>
      </w:pPr>
      <w:r>
        <w:t xml:space="preserve">O „wzorcu” i „zależności”</w:t>
      </w:r>
    </w:p>
    <w:p>
      <w:pPr>
        <w:pStyle w:val="FirstParagraph"/>
      </w:pPr>
      <w:r>
        <w:t xml:space="preserve">Gdy 100% znanych manuskryptów jest zgodnych, wzorzec i zależność między nimi są całkowite lub zupełne. Ponieważ</w:t>
      </w:r>
      <w:r>
        <w:t xml:space="preserve"> </w:t>
      </w:r>
      <w:r>
        <w:rPr>
          <w:bCs/>
          <w:b/>
        </w:rPr>
        <w:t xml:space="preserve">WSZYSTKIE</w:t>
      </w:r>
      <w:r>
        <w:t xml:space="preserve"> </w:t>
      </w:r>
      <w:r>
        <w:t xml:space="preserve">manuskrypty otrzymały wspólny wpływ od Oryginału, szczególnej uwagi wymagają rozbieżności.</w:t>
      </w:r>
    </w:p>
    <w:p>
      <w:pPr>
        <w:pStyle w:val="BodyText"/>
      </w:pPr>
      <w:r>
        <w:t xml:space="preserve">Gdy 100% znanych manuskryptów jest zgodnych, nie może istnieć żadna rozsądna wątpliwość co do oryginalnych sformułowań. Prawdopodobnie dotyczy to co najmniej 50% słów w Nowym Testamencie. W przypadku wielu dalszych słów nie zgadza się tylko jeden manuskrypt — nazywamy to odczytem „singularnym”. Zgadzam się z E.C. Colwellem, gdy oświadczył, że wszystkie odczyty singularne należy rygorystycznie wykluczyć z rozważań,</w:t>
      </w:r>
      <w:r>
        <w:rPr>
          <w:rStyle w:val="FootnoteReference"/>
        </w:rPr>
        <w:footnoteReference w:id="225"/>
      </w:r>
      <w:r>
        <w:t xml:space="preserve"> </w:t>
      </w:r>
      <w:r>
        <w:t xml:space="preserve">nawet jeśli dany odczyt nie jest oczywistym błędem. Po prostu nierozsądne jest wyobrażanie sobie, że jeden manuskrypt może mieć rację przeciwko 1700 manuskryptom w Ewangeliach albo przeciwko 700 u Pawła. Gdy wszystkie linie przekazu są zgodne, muszą odzwierciedlać Oryginał. Jeśli manuskrypt zawierający wariant singularny należy do linii przekazu, wariant ten nie może być poprawny (jest wewnętrzny dla tej linii).</w:t>
      </w:r>
    </w:p>
    <w:p>
      <w:pPr>
        <w:pStyle w:val="BodyText"/>
      </w:pPr>
      <w:r>
        <w:t xml:space="preserve">Manuskrypty, które są indywidualnie tak odmienne, że nie można ich pogrupować, nie należą do żadnej linii przekazu. Żaden zawarty w nich odczyt singularny nie może być poprawny. Liczba manuskryptów zawierających Nowy Testament jest tak ogromna, że każdy odmienny manuskrypt był po prostu czyjąś prywatną własnością, jest bez znaczenia dla historii przekazywania Tekstu.</w:t>
      </w:r>
    </w:p>
    <w:p>
      <w:pPr>
        <w:pStyle w:val="BodyText"/>
      </w:pPr>
      <w:r>
        <w:t xml:space="preserve">Gdy dwa lub więcej manuskryptów zgadza się w rozbieżności, należy zadać co najmniej trzy pytania: 1) Czy powstały w tym samym miejscu? 2) Czy jest to łatwy błąd przepisywania, który różni kopiści mogli popełnić niezależnie? 3) Czy należą do tej samej linii przekazu? Gdy dwa lub więcej manuskryptów ma wspólną pewną liczbę wariantów, prawdopodobnie istnieje jakaś zależność — dzielą pewnego rodzaju wspólny wpływ. Zakres takiego wpływu wymaga zbadania.</w:t>
      </w:r>
    </w:p>
    <w:p>
      <w:pPr>
        <w:pStyle w:val="BodyText"/>
      </w:pPr>
      <w:r>
        <w:t xml:space="preserve">Colwell uważał, że aby dwa manuskrypty zostały zaliczone do przedstawicieli tej samej rodziny, powinny zgadzać się w co najmniej 70% miejsc, w których występują różnice</w:t>
      </w:r>
      <w:r>
        <w:rPr>
          <w:rStyle w:val="FootnoteReference"/>
        </w:rPr>
        <w:footnoteReference w:id="226"/>
      </w:r>
      <w:r>
        <w:t xml:space="preserve"> </w:t>
      </w:r>
      <w:r>
        <w:t xml:space="preserve">(ja wymagałbym 80%). Ponieważ kodeksy Alef i B zgadzają się w mniej niż 70% przypadków, nie osiągają progu Colwella. Mimo to nie można zaprzeczyć, że te dwa manuskrypty doznały wspólnego skażenia, do którego w różnym stopniu dołączyły A, C, D i W. To wspólne skażenie musiało mieć jakieś źródło, gdzie? W dyscyplinie krytyki tekstu Nowego Testamentu to wspólne skażenie nazywa się „aleksandryjskim” typem tekstu. Ponieważ Aleksandria znajduje się w Egipcie, ten typ tekstu nazywany jest także „egipskim”.</w:t>
      </w:r>
    </w:p>
    <w:p>
      <w:pPr>
        <w:pStyle w:val="BodyText"/>
      </w:pPr>
      <w:r>
        <w:t xml:space="preserve">Każdy z sześciu wspomnianych wyżej kodeksów ma odrębny konglomerat wariantów, każdy z nich znacznie różni się od wszystkich pozostałych. Ponieważ każdy z nich nie ma ani rodziców, ani dzieci (o których byśmy wiedzieli), są indywidualnymi wytworami, sfabrykowanymi kopiami. Nie jesteśmy w stanie wiedzieć, co motywowało każdego z kopistów, którzy sporządzili te sfabrykowane kopie. Nasza niewiedza w tej kwestii nie zmienia jednak natury tych sfabrykowanych kopii.</w:t>
      </w:r>
    </w:p>
    <w:p>
      <w:pPr>
        <w:pStyle w:val="BodyText"/>
      </w:pPr>
      <w:r>
        <w:t xml:space="preserve">Po tym, jak rozpowszechniłem wcześniejszą wersję tego artykułu, dr Michael C. Loehrer przesłał mi kilka przemyśleń na temat powstawania „typu tekstu” bez archetypu:</w:t>
      </w:r>
    </w:p>
    <w:p>
      <w:pPr>
        <w:pStyle w:val="BlockText"/>
      </w:pPr>
      <w:r>
        <w:t xml:space="preserve">Chociaż nie możemy</w:t>
      </w:r>
      <w:r>
        <w:t xml:space="preserve"> </w:t>
      </w:r>
      <w:r>
        <w:rPr>
          <w:iCs/>
          <w:i/>
        </w:rPr>
        <w:t xml:space="preserve">wiedzieć</w:t>
      </w:r>
      <w:r>
        <w:t xml:space="preserve">, co motywowało kopistów do wprowadzania sfabrykowanych wariantów do tekstu, możemy wnioskować o ich motywacji na podstawie tego, gdzie żyli i w co wierzyli. Żyli w Egipcie i wyznawali wierzenia gnostyckie w świecie grecko-rzymskim. W ich świecie mieszanie wierzeń stanowiło przejaw wzajemnego szacunku i gotowości do wspierania pokoju, jednego z ich najwyższych ideałów. Żydzi i chrześcijanie wierzyli, że takie mieszanie rozcieńcza lub narusza prawdę absolutną. Egipscy gnostycy próbowali ulepszyć niedoskonały tekst. Żydzi i chrześcijanie wierzyli, że zaczynają od doskonałego tekstu. W konsekwencji Żydzi i chrześcijanie dążyli do sporządzania kopii wiernych swojemu egzemplarzowi. Egipscy gnostycy dążyli do ulepszenia swojego egzemplarza. Do powyższych wniosków prowadziło kilka linii rozumowania:</w:t>
      </w:r>
    </w:p>
    <w:p>
      <w:pPr>
        <w:numPr>
          <w:ilvl w:val="0"/>
          <w:numId w:val="1010"/>
        </w:numPr>
        <w:pStyle w:val="BlockText"/>
      </w:pPr>
      <w:r>
        <w:t xml:space="preserve">W Imperium Rzymskim nie istniały prawa autorskie, dlatego gdy tylko tekst został udostępniony publicznie, stawał się podatny na swobodne zmiany — każdy mógł go zmienić.</w:t>
      </w:r>
    </w:p>
    <w:p>
      <w:pPr>
        <w:numPr>
          <w:ilvl w:val="0"/>
          <w:numId w:val="1010"/>
        </w:numPr>
        <w:pStyle w:val="BlockText"/>
      </w:pPr>
      <w:r>
        <w:t xml:space="preserve">Gnostyccy kopiści wprowadzali celowe zmiany, ponieważ wierzyli, że ulepszają niedoskonały tekst (zakładali, że wszystkie teksty są niedoskonałe, ponieważ mają ludzkie pochodzenie).</w:t>
      </w:r>
    </w:p>
    <w:p>
      <w:pPr>
        <w:numPr>
          <w:ilvl w:val="0"/>
          <w:numId w:val="1010"/>
        </w:numPr>
        <w:pStyle w:val="BlockText"/>
      </w:pPr>
      <w:r>
        <w:t xml:space="preserve">Nie wierzyli, że boskie autorstwo i bezbłędność są możliwe w świecie materialnym (doskonałość istniała wyłącznie w świecie niematerialnym).</w:t>
      </w:r>
    </w:p>
    <w:p>
      <w:pPr>
        <w:numPr>
          <w:ilvl w:val="0"/>
          <w:numId w:val="1010"/>
        </w:numPr>
        <w:pStyle w:val="BlockText"/>
      </w:pPr>
      <w:r>
        <w:t xml:space="preserve">Wierzyli, że posiadają szczególną wiedzę, a zatem mają obowiązek podejmować próby ulepszania.</w:t>
      </w:r>
    </w:p>
    <w:p>
      <w:pPr>
        <w:numPr>
          <w:ilvl w:val="0"/>
          <w:numId w:val="1010"/>
        </w:numPr>
        <w:pStyle w:val="BlockText"/>
      </w:pPr>
      <w:r>
        <w:t xml:space="preserve">Wierzyli, że przewyższają (pod względem naukowym i religijnym) zwykłych ludzi, którzy przekazali im gorsze kopie.</w:t>
      </w:r>
    </w:p>
    <w:p>
      <w:pPr>
        <w:pStyle w:val="BlockText"/>
      </w:pPr>
      <w:r>
        <w:t xml:space="preserve">W ten sposób egipscy gnostycy, mający światopogląd zupełnie inny niż Żydzi i chrześcijanie, którzy wytworzyli oryginalny tekst, stworzyli luźny egipski typ tekstu bez archetypu.</w:t>
      </w:r>
    </w:p>
    <w:p>
      <w:pPr>
        <w:pStyle w:val="FirstParagraph"/>
      </w:pPr>
      <w:r>
        <w:t xml:space="preserve">(Powiedziałbym, że jego uwagi zasługują na rozważenie).</w:t>
      </w:r>
    </w:p>
    <w:p>
      <w:pPr>
        <w:pStyle w:val="BodyText"/>
      </w:pPr>
      <w:r>
        <w:t xml:space="preserve">Przed laty Colwell wykazał, że nie można zdefiniować archetypalnej formy tak zwanego „aleksandryjskiego” typu tekstu na podstawie głosowania należących do niego manuskryptów.</w:t>
      </w:r>
      <w:r>
        <w:rPr>
          <w:rStyle w:val="FootnoteReference"/>
        </w:rPr>
        <w:footnoteReference w:id="227"/>
      </w:r>
      <w:r>
        <w:t xml:space="preserve"> </w:t>
      </w:r>
      <w:r>
        <w:rPr>
          <w:bCs/>
          <w:b/>
        </w:rPr>
        <w:t xml:space="preserve">Typ tekstu bez archetypu jest fikcją.</w:t>
      </w:r>
      <w:r>
        <w:t xml:space="preserve"> </w:t>
      </w:r>
      <w:r>
        <w:t xml:space="preserve">Mimo to wspólne skażenie przypisywane Aleksandrii nie jest fikcją. Przed śmiercią Kurt Aland, ten wielki obrońca tekstu „egipskiego”, napisał, że w 200 roku n.e. obecność i wpływy gnostyków w Egipcie były tak wszechobecne, iż manuskryptom pochodzącym z Egiptu nie można było ufać!</w:t>
      </w:r>
      <w:r>
        <w:rPr>
          <w:rStyle w:val="FootnoteReference"/>
        </w:rPr>
        <w:footnoteReference w:id="228"/>
      </w:r>
      <w:r>
        <w:t xml:space="preserve"> </w:t>
      </w:r>
      <w:r>
        <w:t xml:space="preserve">Napisał również, że w tamtym czasie używanie greki w Egipcie zanikało.</w:t>
      </w:r>
      <w:r>
        <w:rPr>
          <w:rStyle w:val="FootnoteReference"/>
        </w:rPr>
        <w:footnoteReference w:id="229"/>
      </w:r>
      <w:r>
        <w:t xml:space="preserve"> </w:t>
      </w:r>
      <w:r>
        <w:t xml:space="preserve">(Na jakiej więc podstawie twierdził, że tekst „egipski” jest najlepszy?)</w:t>
      </w:r>
    </w:p>
    <w:p>
      <w:pPr>
        <w:pStyle w:val="BodyText"/>
      </w:pPr>
      <w:r>
        <w:t xml:space="preserve">Na podstawie dostępnych nam obiektywnych dowodów wydaje mi się, że wytwarzanie manuskryptów w Aleksandrii i jej okolicach nigdy nie było niczym więcej niż stojącym wirem na skraju wielkiej rzeki przekazu Nowego Testamentu. Zachowane manuskrypty, o których przypuszcza się, że tam powstały, są tak odmienne, iż nie kwalifikują się jako linia przekazu. Skoro znamy nazwy co najmniej jedenastu gnostyckich „denominacji” istniejących w Egipcie w 200 roku n.e., z pewnością nie brakowało wśród nich sfabrykowanych kopii. Wielki wiek sfabrykowanej kopii nie zmienia faktu, że jest ona sfabrykowaną kopią!</w:t>
      </w:r>
      <w:r>
        <w:t xml:space="preserve"> </w:t>
      </w:r>
      <w:r>
        <w:rPr>
          <w:bCs/>
          <w:b/>
        </w:rPr>
        <w:t xml:space="preserve">Sfabrykowana kopia jest bez znaczenia dla historii przekazywania Tekstu.</w:t>
      </w:r>
    </w:p>
    <w:p>
      <w:pPr>
        <w:pStyle w:val="BodyText"/>
      </w:pPr>
      <w:r>
        <w:t xml:space="preserve">Frederik Wisse skolacjonował i porównał 1386 manuskryptów w rozdziałach 1, 10 i 20 Ewangelii Łukasza (trzy pełne rozdziały), zredukował je do 37 grup (rodzin) oraz 89 „odmieńców” (manuskryptów tak indywidualnie odmiennych, że nie można ich pogrupować).</w:t>
      </w:r>
      <w:r>
        <w:rPr>
          <w:rStyle w:val="FootnoteReference"/>
        </w:rPr>
        <w:footnoteReference w:id="230"/>
      </w:r>
      <w:r>
        <w:t xml:space="preserve"> </w:t>
      </w:r>
      <w:r>
        <w:t xml:space="preserve">Tak się składa, że 36 z 37 mieści się w szerokiej bizantyjskiej rzece przekazu. W obrębie tych 36 znalazł 70 podgrup, uważał więc, że na podstawie profili może zdefiniować te relacje. Trzydziesta siódma grupa to „aleksandryjska”, do której przypisał dokładnie dziesięć manuskryptów dla tych trzech rozdziałów — 10 z 1386, dokładnie tyle, ile można by oczekiwać po stojącym wirze. Wisse posługiwał się wzorcem i zależnością.</w:t>
      </w:r>
    </w:p>
    <w:p>
      <w:pPr>
        <w:pStyle w:val="BodyText"/>
      </w:pPr>
      <w:r>
        <w:t xml:space="preserve">Herman C. Hoskier skolacjonował około 220 manuskryptów Objawienia Jana i na podstawie ich pokrewieństwa przypisał je do dziewięciu rodzin lub grup.</w:t>
      </w:r>
      <w:r>
        <w:rPr>
          <w:rStyle w:val="FootnoteReference"/>
        </w:rPr>
        <w:footnoteReference w:id="231"/>
      </w:r>
      <w:r>
        <w:t xml:space="preserve"> </w:t>
      </w:r>
      <w:r>
        <w:t xml:space="preserve">Na potrzeby poniższego omówienia przypiszę im litery od</w:t>
      </w:r>
      <w:r>
        <w:t xml:space="preserve"> </w:t>
      </w:r>
      <w:r>
        <w:rPr>
          <w:bCs/>
          <w:b/>
        </w:rPr>
        <w:t xml:space="preserve">a</w:t>
      </w:r>
      <w:r>
        <w:t xml:space="preserve"> </w:t>
      </w:r>
      <w:r>
        <w:t xml:space="preserve">do</w:t>
      </w:r>
      <w:r>
        <w:t xml:space="preserve"> </w:t>
      </w:r>
      <w:r>
        <w:rPr>
          <w:bCs/>
          <w:b/>
        </w:rPr>
        <w:t xml:space="preserve">i</w:t>
      </w:r>
      <w:r>
        <w:t xml:space="preserve">. Aparat krytyczny mojego greckiego Tekstu (Rodziny 35) Objawienia Jana, oparty na kolacjonowaniach Hoskiera, uwzględnia około 954 zestawów wariantów. Dokonałem pobieżnego zliczenia wszystkich wewnętrznych podziałów w dziewięciu rodzinach podanych w moim aparacie krytycznym (dla mojego obecnego celu precyzja nie jest konieczna). Wymieniam teraz rodziny w kolejności malejącej według liczby podziałów:</w:t>
      </w:r>
    </w:p>
    <w:p>
      <w:pPr>
        <w:pStyle w:val="BodyText"/>
      </w:pPr>
      <w:r>
        <w:rPr>
          <w:bCs/>
          <w:b/>
          <w:u w:val="single"/>
        </w:rPr>
        <w:t xml:space="preserve">e</w:t>
      </w:r>
      <w:r>
        <w:t xml:space="preserve"> </w:t>
      </w:r>
      <w:r>
        <w:t xml:space="preserve">— 495 </w:t>
      </w:r>
      <w:r>
        <w:rPr>
          <w:bCs/>
          <w:b/>
          <w:u w:val="single"/>
        </w:rPr>
        <w:t xml:space="preserve">i</w:t>
      </w:r>
      <w:r>
        <w:t xml:space="preserve"> </w:t>
      </w:r>
      <w:r>
        <w:t xml:space="preserve">— 424 </w:t>
      </w:r>
      <w:r>
        <w:rPr>
          <w:bCs/>
          <w:b/>
          <w:u w:val="single"/>
        </w:rPr>
        <w:t xml:space="preserve">h</w:t>
      </w:r>
      <w:r>
        <w:t xml:space="preserve"> </w:t>
      </w:r>
      <w:r>
        <w:t xml:space="preserve">— 412 </w:t>
      </w:r>
      <w:r>
        <w:rPr>
          <w:bCs/>
          <w:b/>
          <w:u w:val="single"/>
        </w:rPr>
        <w:t xml:space="preserve">a</w:t>
      </w:r>
      <w:r>
        <w:t xml:space="preserve"> </w:t>
      </w:r>
      <w:r>
        <w:t xml:space="preserve">— 268 </w:t>
      </w:r>
      <w:r>
        <w:rPr>
          <w:bCs/>
          <w:b/>
          <w:u w:val="single"/>
        </w:rPr>
        <w:t xml:space="preserve">g</w:t>
      </w:r>
      <w:r>
        <w:t xml:space="preserve"> </w:t>
      </w:r>
      <w:r>
        <w:t xml:space="preserve">— 191 </w:t>
      </w:r>
      <w:r>
        <w:rPr>
          <w:bCs/>
          <w:b/>
          <w:u w:val="single"/>
        </w:rPr>
        <w:t xml:space="preserve">d</w:t>
      </w:r>
      <w:r>
        <w:t xml:space="preserve"> </w:t>
      </w:r>
      <w:r>
        <w:t xml:space="preserve">— 163 </w:t>
      </w:r>
      <w:r>
        <w:rPr>
          <w:bCs/>
          <w:b/>
          <w:u w:val="single"/>
        </w:rPr>
        <w:t xml:space="preserve">b</w:t>
      </w:r>
      <w:r>
        <w:t xml:space="preserve"> </w:t>
      </w:r>
      <w:r>
        <w:t xml:space="preserve">— 135 </w:t>
      </w:r>
      <w:r>
        <w:rPr>
          <w:bCs/>
          <w:b/>
          <w:u w:val="single"/>
        </w:rPr>
        <w:t xml:space="preserve">f</w:t>
      </w:r>
      <w:r>
        <w:t xml:space="preserve"> </w:t>
      </w:r>
      <w:r>
        <w:t xml:space="preserve">— 104 </w:t>
      </w:r>
      <w:r>
        <w:rPr>
          <w:bCs/>
          <w:b/>
          <w:u w:val="single"/>
        </w:rPr>
        <w:t xml:space="preserve">c</w:t>
      </w:r>
      <w:r>
        <w:t xml:space="preserve"> </w:t>
      </w:r>
      <w:r>
        <w:t xml:space="preserve">— 20</w:t>
      </w:r>
    </w:p>
    <w:p>
      <w:pPr>
        <w:pStyle w:val="BodyText"/>
      </w:pPr>
      <w:r>
        <w:t xml:space="preserve">Łącznie jest ich 2212, co daje średnio 2,3 na zestaw wariantów! Co dziwne, pomimo całego tego zamieszania każda z grup ma wystarczająco wiele własnych cech, by umożliwić jej identyfikację. W pierwszych trzech podział występuje mniej więcej w połowie przypadków, najwyraźniej dokonywano wielu porównań i mieszań. Grupa</w:t>
      </w:r>
      <w:r>
        <w:t xml:space="preserve"> </w:t>
      </w:r>
      <w:r>
        <w:rPr>
          <w:bCs/>
          <w:b/>
          <w:u w:val="single"/>
        </w:rPr>
        <w:t xml:space="preserve">a</w:t>
      </w:r>
      <w:r>
        <w:t xml:space="preserve"> </w:t>
      </w:r>
      <w:r>
        <w:t xml:space="preserve">jest zdecydowanie największa, a Hoskier zidentyfikował w niej pięć podgrup, więc wysoka liczba nie powinna nas dziwić. Liczba dotycząca ostatniej grupy,</w:t>
      </w:r>
      <w:r>
        <w:t xml:space="preserve"> </w:t>
      </w:r>
      <w:r>
        <w:rPr>
          <w:bCs/>
          <w:b/>
          <w:u w:val="single"/>
        </w:rPr>
        <w:t xml:space="preserve">c</w:t>
      </w:r>
      <w:r>
        <w:t xml:space="preserve">, jest niezwykle mała w porównaniu z pozostałymi. Tak się składa, że</w:t>
      </w:r>
      <w:r>
        <w:t xml:space="preserve"> </w:t>
      </w:r>
      <w:r>
        <w:rPr>
          <w:bCs/>
          <w:b/>
          <w:u w:val="single"/>
        </w:rPr>
        <w:t xml:space="preserve">c</w:t>
      </w:r>
      <w:r>
        <w:t xml:space="preserve"> </w:t>
      </w:r>
      <w:r>
        <w:t xml:space="preserve">odpowiada mojej Rodzinie 35 i być może jest drugą co do wielkości grupą. Chcę zbadać pytanie: co wzorzec i zależność mówią nam o przedstawionych wyżej dowodach?</w:t>
      </w:r>
    </w:p>
    <w:p>
      <w:pPr>
        <w:pStyle w:val="BodyText"/>
      </w:pPr>
      <w:r>
        <w:t xml:space="preserve">Najpierw jednak chcę przeanalizować podziały w Rodzinie 35. Istnieje jedenaście liczb zapisanych słownie albo przedstawionych za pomocą odpowiednich liter, ponieważ są to dwa sposoby powiedzenia tego samego, nie stanowią wariantów i ich nie policzyłem. Dziewięć to alternatywne pisownie tego samego słowa, policzyłem je, ale nie są właściwymi wariantami (w ośmiu z nich różnica dotyczy jednej litery, a w pozostałym dyftongu). Pozostaje jedenaście właściwych wariantów, z których pięć dotyczy jednej litery, a trzy dyftongu, tylko jeden dotyczy więcej niż dwóch liter. Krótko mówiąc, Rodzina 35 jest bardzo stabilna (wewnętrznie spójna), znacznie bardziej niż którakolwiek z pozostałych grup. Właściwe warianty dotyczą zaledwie dziewiętnastu liter w całej księdze Objawienia Jana — zdumiewające!</w:t>
      </w:r>
    </w:p>
    <w:p>
      <w:pPr>
        <w:pStyle w:val="BodyText"/>
      </w:pPr>
      <w:r>
        <w:t xml:space="preserve">Co wzorzec i zależność mówią nam o przedstawionych wyżej dowodach? Zaczynam od następujących postulatów:</w:t>
      </w:r>
    </w:p>
    <w:p>
      <w:pPr>
        <w:numPr>
          <w:ilvl w:val="0"/>
          <w:numId w:val="1011"/>
        </w:numPr>
      </w:pPr>
      <w:r>
        <w:t xml:space="preserve">Gdy 100% znanych manuskryptów jest zgodnych, wzorzec i zależność między nimi są całkowite.</w:t>
      </w:r>
    </w:p>
    <w:p>
      <w:pPr>
        <w:numPr>
          <w:ilvl w:val="0"/>
          <w:numId w:val="1011"/>
        </w:numPr>
      </w:pPr>
      <w:r>
        <w:t xml:space="preserve">Wszystkie manuskrypty otrzymały wspólny wpływ od Oryginału.</w:t>
      </w:r>
    </w:p>
    <w:p>
      <w:pPr>
        <w:numPr>
          <w:ilvl w:val="0"/>
          <w:numId w:val="1011"/>
        </w:numPr>
      </w:pPr>
      <w:r>
        <w:t xml:space="preserve">Wszystkie odczyty singularne należy rygorystycznie wykluczyć z rozważań.</w:t>
      </w:r>
    </w:p>
    <w:p>
      <w:pPr>
        <w:numPr>
          <w:ilvl w:val="0"/>
          <w:numId w:val="1011"/>
        </w:numPr>
      </w:pPr>
      <w:r>
        <w:t xml:space="preserve">Każdy manuskrypt idiosynkratyczny był po prostu czyjąś prywatną własnością, sfabrykowaną kopią, jest bez znaczenia dla historii przekazywania Tekstu.</w:t>
      </w:r>
    </w:p>
    <w:p>
      <w:pPr>
        <w:numPr>
          <w:ilvl w:val="0"/>
          <w:numId w:val="1011"/>
        </w:numPr>
      </w:pPr>
      <w:r>
        <w:t xml:space="preserve">Fragmenty nie zawierają wystarczającej ilości tekstu, aby można je było sklasyfikować, i podobnie jak manuskrypty idiosynkratyczne są bez znaczenia dla historii przekazywania Tekstu.</w:t>
      </w:r>
      <w:r>
        <w:rPr>
          <w:rStyle w:val="FootnoteReference"/>
        </w:rPr>
        <w:footnoteReference w:id="232"/>
      </w:r>
    </w:p>
    <w:p>
      <w:pPr>
        <w:pStyle w:val="FirstParagraph"/>
      </w:pPr>
      <w:r>
        <w:t xml:space="preserve">Ponieważ wszystkie zachowane manuskrypty z pierwszych pięciu wieków (w Objawieniu Jana) są albo fragmentami, albo manuskryptami idiosynkratycznymi, ograniczę swoją analizę do linii przekazu.</w:t>
      </w:r>
    </w:p>
    <w:p>
      <w:pPr>
        <w:pStyle w:val="BodyText"/>
      </w:pPr>
      <w:r>
        <w:t xml:space="preserve">Na początek Hoskier posłużył się wzorcem i zależnością, aby zidentyfikować swoich dziewięć grup. Oczywiście jednak nie mogą one wszystkie reprezentować Oryginału, poza miejscami, w których wszystkie są zgodne. Czy mamy dziewięć niezależnych grup, czy też niektóre grupy można pogrupować? Przejrzałem swój aparat krytyczny i wypisałem wszystkie różne kombinacje między dziewięcioma grupami wraz z liczbą wystąpień każdej kombinacji (kombinacja dwóch lub więcej grup). Znalazłem</w:t>
      </w:r>
      <w:r>
        <w:t xml:space="preserve"> </w:t>
      </w:r>
      <w:r>
        <w:rPr>
          <w:bCs/>
          <w:b/>
        </w:rPr>
        <w:t xml:space="preserve">238</w:t>
      </w:r>
      <w:r>
        <w:t xml:space="preserve"> </w:t>
      </w:r>
      <w:r>
        <w:t xml:space="preserve">różnych kombinacji!! Liczyłem wyłącznie pełne grupy (bez podziałów), z tym wyjątkiem, że za pełną grupę uznawałem 2/3 lub więcej. Ze względu na nadmierną ilość zamieszania statystyki, które podaję, mogą być tylko przybliżone, ale są wystarczająco dobre, aby pozwolić na uzasadnione wnioski. Jednak 96 kombinacji występuje tylko raz, a 42 tylko dwa razy, wykluczyłem je zatem z poniższego zestawienia. Nadal pozostaje sto!</w:t>
      </w:r>
    </w:p>
    <w:p>
      <w:pPr>
        <w:pStyle w:val="BodyText"/>
      </w:pPr>
      <w:r>
        <w:t xml:space="preserve">Z przyjemnością zauważam, że niedawne wydanie</w:t>
      </w:r>
      <w:r>
        <w:t xml:space="preserve"> </w:t>
      </w:r>
      <w:r>
        <w:rPr>
          <w:iCs/>
          <w:i/>
        </w:rPr>
        <w:t xml:space="preserve">Text und Textwert</w:t>
      </w:r>
      <w:r>
        <w:t xml:space="preserve"> </w:t>
      </w:r>
      <w:r>
        <w:t xml:space="preserve">dla Objawienia Jana (2017) uznaje swój tekst kompluteński za niezależną linię przekazu, obok tak zwanych tekstów Koine i Andreasa. Ich kompluteński to moja Rodzina 35, odpowiada poniższej grupie</w:t>
      </w:r>
      <w:r>
        <w:t xml:space="preserve"> </w:t>
      </w:r>
      <w:r>
        <w:rPr>
          <w:bCs/>
          <w:b/>
          <w:u w:val="single"/>
        </w:rPr>
        <w:t xml:space="preserve">c</w:t>
      </w:r>
      <w:r>
        <w:t xml:space="preserve">. Ich Koine odpowiada poniższym grupom</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Ich Andreas odpowiada poniższym grupom</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 to znaczy według mojej oceny. Jak widać poniżej, występuje tu wiele „rozwiązłości”, poszczególne grupy przemieszczają się, jedne bardziej niż inne. Najtrudniejszym przypadkiem jest</w:t>
      </w:r>
      <w:r>
        <w:t xml:space="preserve"> </w:t>
      </w:r>
      <w:r>
        <w:rPr>
          <w:bCs/>
          <w:b/>
          <w:u w:val="single"/>
        </w:rPr>
        <w:t xml:space="preserve">h</w:t>
      </w:r>
      <w:r>
        <w:t xml:space="preserve">, który przyłącza się do Koine niemal tak często jak do Andreasa.</w:t>
      </w:r>
    </w:p>
    <w:p>
      <w:pPr>
        <w:pStyle w:val="BodyText"/>
      </w:pPr>
      <w:r>
        <w:t xml:space="preserve">Na podstawie mojej analizy Hoskiera grupy mają następującą „wielkość”:</w:t>
      </w:r>
      <w:r>
        <w:t xml:space="preserve"> </w:t>
      </w:r>
      <w:r>
        <w:rPr>
          <w:bCs/>
          <w:b/>
          <w:u w:val="single"/>
        </w:rPr>
        <w:t xml:space="preserve">a</w:t>
      </w:r>
      <w:r>
        <w:t xml:space="preserve"> </w:t>
      </w:r>
      <w:r>
        <w:t xml:space="preserve">jest reprezentowana przez 65 manuskryptów,</w:t>
      </w:r>
      <w:r>
        <w:t xml:space="preserve"> </w:t>
      </w:r>
      <w:r>
        <w:rPr>
          <w:bCs/>
          <w:b/>
          <w:u w:val="single"/>
        </w:rPr>
        <w:t xml:space="preserve">b</w:t>
      </w:r>
      <w:r>
        <w:t xml:space="preserve"> </w:t>
      </w:r>
      <w:r>
        <w:t xml:space="preserve">przez 10,</w:t>
      </w:r>
      <w:r>
        <w:t xml:space="preserve"> </w:t>
      </w:r>
      <w:r>
        <w:rPr>
          <w:bCs/>
          <w:b/>
          <w:u w:val="single"/>
        </w:rPr>
        <w:t xml:space="preserve">c</w:t>
      </w:r>
      <w:r>
        <w:t xml:space="preserve"> </w:t>
      </w:r>
      <w:r>
        <w:t xml:space="preserve">przez 33,</w:t>
      </w:r>
      <w:r>
        <w:rPr>
          <w:rStyle w:val="FootnoteReference"/>
        </w:rPr>
        <w:footnoteReference w:id="233"/>
      </w:r>
      <w:r>
        <w:t xml:space="preserve"> </w:t>
      </w:r>
      <w:r>
        <w:rPr>
          <w:bCs/>
          <w:b/>
          <w:u w:val="single"/>
        </w:rPr>
        <w:t xml:space="preserve">d</w:t>
      </w:r>
      <w:r>
        <w:t xml:space="preserve"> </w:t>
      </w:r>
      <w:r>
        <w:t xml:space="preserve">przez 15,</w:t>
      </w:r>
      <w:r>
        <w:t xml:space="preserve"> </w:t>
      </w:r>
      <w:r>
        <w:rPr>
          <w:bCs/>
          <w:b/>
          <w:u w:val="single"/>
        </w:rPr>
        <w:t xml:space="preserve">e</w:t>
      </w:r>
      <w:r>
        <w:t xml:space="preserve"> </w:t>
      </w:r>
      <w:r>
        <w:t xml:space="preserve">przez 31,</w:t>
      </w:r>
      <w:r>
        <w:t xml:space="preserve"> </w:t>
      </w:r>
      <w:r>
        <w:rPr>
          <w:bCs/>
          <w:b/>
          <w:u w:val="single"/>
        </w:rPr>
        <w:t xml:space="preserve">f</w:t>
      </w:r>
      <w:r>
        <w:t xml:space="preserve"> </w:t>
      </w:r>
      <w:r>
        <w:t xml:space="preserve">przez 11,</w:t>
      </w:r>
      <w:r>
        <w:t xml:space="preserve"> </w:t>
      </w:r>
      <w:r>
        <w:rPr>
          <w:bCs/>
          <w:b/>
          <w:u w:val="single"/>
        </w:rPr>
        <w:t xml:space="preserve">g</w:t>
      </w:r>
      <w:r>
        <w:t xml:space="preserve"> </w:t>
      </w:r>
      <w:r>
        <w:t xml:space="preserve">przez 9,</w:t>
      </w:r>
      <w:r>
        <w:t xml:space="preserve"> </w:t>
      </w:r>
      <w:r>
        <w:rPr>
          <w:bCs/>
          <w:b/>
          <w:u w:val="single"/>
        </w:rPr>
        <w:t xml:space="preserve">h</w:t>
      </w:r>
      <w:r>
        <w:t xml:space="preserve"> </w:t>
      </w:r>
      <w:r>
        <w:t xml:space="preserve">przez 13,</w:t>
      </w:r>
      <w:r>
        <w:t xml:space="preserve"> </w:t>
      </w:r>
      <w:r>
        <w:rPr>
          <w:bCs/>
          <w:b/>
          <w:u w:val="single"/>
        </w:rPr>
        <w:t xml:space="preserve">i</w:t>
      </w:r>
      <w:r>
        <w:t xml:space="preserve"> </w:t>
      </w:r>
      <w:r>
        <w:t xml:space="preserve">przez 11. (Sama</w:t>
      </w:r>
      <w:r>
        <w:t xml:space="preserve"> </w:t>
      </w:r>
      <w:r>
        <w:rPr>
          <w:bCs/>
          <w:b/>
          <w:u w:val="single"/>
        </w:rPr>
        <w:t xml:space="preserve">a</w:t>
      </w:r>
      <w:r>
        <w:t xml:space="preserve"> </w:t>
      </w:r>
      <w:r>
        <w:t xml:space="preserve">jest większa niż połączone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rPr>
          <w:bCs/>
          <w:b/>
          <w:u w:val="single"/>
        </w:rPr>
        <w:t xml:space="preserve">d</w:t>
      </w:r>
      <w:r>
        <w:t xml:space="preserve"> </w:t>
      </w:r>
      <w:r>
        <w:t xml:space="preserve">jest mniejsza niż</w:t>
      </w:r>
      <w:r>
        <w:t xml:space="preserve"> </w:t>
      </w:r>
      <w:r>
        <w:rPr>
          <w:bCs/>
          <w:b/>
          <w:u w:val="single"/>
        </w:rPr>
        <w:t xml:space="preserve">e</w:t>
      </w:r>
      <w:r>
        <w:t xml:space="preserve">, ale</w:t>
      </w:r>
      <w:r>
        <w:t xml:space="preserve"> </w:t>
      </w:r>
      <w:r>
        <w:rPr>
          <w:bCs/>
          <w:b/>
          <w:u w:val="single"/>
        </w:rPr>
        <w:t xml:space="preserve">e</w:t>
      </w:r>
      <w:r>
        <w:t xml:space="preserve"> </w:t>
      </w:r>
      <w:r>
        <w:t xml:space="preserve">jest zdecydowanie najbardziej rozdrobnioną grupą).</w:t>
      </w:r>
      <w:r>
        <w:rPr>
          <w:rStyle w:val="FootnoteReference"/>
        </w:rPr>
        <w:footnoteReference w:id="234"/>
      </w:r>
      <w:r>
        <w:t xml:space="preserve"> </w:t>
      </w:r>
      <w:r>
        <w:t xml:space="preserve">Ponieważ uważam</w:t>
      </w:r>
      <w:r>
        <w:t xml:space="preserve"> </w:t>
      </w:r>
      <w:r>
        <w:rPr>
          <w:bCs/>
          <w:b/>
          <w:u w:val="single"/>
        </w:rPr>
        <w:t xml:space="preserve">c</w:t>
      </w:r>
      <w:r>
        <w:t xml:space="preserve"> </w:t>
      </w:r>
      <w:r>
        <w:t xml:space="preserve">za wspólny mianownik, umieszczam ją jako pierwszą,</w:t>
      </w:r>
      <w:r>
        <w:t xml:space="preserve"> </w:t>
      </w:r>
      <w:r>
        <w:rPr>
          <w:bCs/>
          <w:b/>
          <w:u w:val="single"/>
        </w:rPr>
        <w:t xml:space="preserve">a</w:t>
      </w:r>
      <w:r>
        <w:t xml:space="preserve"> </w:t>
      </w:r>
      <w:r>
        <w:t xml:space="preserve">przewodzi Koine, a</w:t>
      </w:r>
      <w:r>
        <w:t xml:space="preserve"> </w:t>
      </w:r>
      <w:r>
        <w:rPr>
          <w:bCs/>
          <w:b/>
          <w:u w:val="single"/>
        </w:rPr>
        <w:t xml:space="preserve">d</w:t>
      </w:r>
      <w:r>
        <w:t xml:space="preserve"> </w:t>
      </w:r>
      <w:r>
        <w:t xml:space="preserve">Andreasowi. Wymienione są tylko kombinacje, każda grupa występuje również samodzielnie.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ca—10</w:t>
            </w:r>
          </w:p>
        </w:tc>
        <w:tc>
          <w:tcPr/>
          <w:p>
            <w:pPr>
              <w:pStyle w:val="Compact"/>
              <w:jc w:val="left"/>
            </w:pPr>
            <w:r>
              <w:t xml:space="preserve">cbdeg—5</w:t>
            </w:r>
          </w:p>
        </w:tc>
        <w:tc>
          <w:tcPr/>
          <w:p>
            <w:pPr>
              <w:pStyle w:val="Compact"/>
              <w:jc w:val="left"/>
            </w:pPr>
            <w:r>
              <w:t xml:space="preserve">ab—3</w:t>
            </w:r>
          </w:p>
        </w:tc>
        <w:tc>
          <w:tcPr/>
          <w:p>
            <w:pPr>
              <w:pStyle w:val="Compact"/>
              <w:jc w:val="left"/>
            </w:pPr>
            <w:r>
              <w:t xml:space="preserve">bd—9</w:t>
            </w:r>
          </w:p>
        </w:tc>
      </w:tr>
      <w:tr>
        <w:tc>
          <w:tcPr/>
          <w:p>
            <w:pPr>
              <w:pStyle w:val="Compact"/>
              <w:jc w:val="left"/>
            </w:pPr>
            <w:r>
              <w:t xml:space="preserve">cabdfgi—15</w:t>
            </w:r>
          </w:p>
        </w:tc>
        <w:tc>
          <w:tcPr/>
          <w:p>
            <w:pPr>
              <w:pStyle w:val="Compact"/>
              <w:jc w:val="left"/>
            </w:pPr>
            <w:r>
              <w:t xml:space="preserve">cbdegh—11</w:t>
            </w:r>
          </w:p>
        </w:tc>
        <w:tc>
          <w:tcPr/>
          <w:p>
            <w:pPr>
              <w:pStyle w:val="Compact"/>
              <w:jc w:val="left"/>
            </w:pPr>
            <w:r>
              <w:t xml:space="preserve">abdefghi—11</w:t>
            </w:r>
          </w:p>
        </w:tc>
        <w:tc>
          <w:tcPr/>
          <w:p>
            <w:pPr>
              <w:pStyle w:val="Compact"/>
              <w:jc w:val="left"/>
            </w:pPr>
            <w:r>
              <w:t xml:space="preserve">bde—12</w:t>
            </w:r>
          </w:p>
        </w:tc>
      </w:tr>
      <w:tr>
        <w:tc>
          <w:tcPr/>
          <w:p>
            <w:pPr>
              <w:pStyle w:val="Compact"/>
              <w:jc w:val="left"/>
            </w:pPr>
            <w:r>
              <w:t xml:space="preserve">cabdfi—3</w:t>
            </w:r>
          </w:p>
        </w:tc>
        <w:tc>
          <w:tcPr/>
          <w:p>
            <w:pPr>
              <w:pStyle w:val="Compact"/>
              <w:jc w:val="left"/>
            </w:pPr>
            <w:r>
              <w:t xml:space="preserve">cbdeh—6</w:t>
            </w:r>
          </w:p>
        </w:tc>
        <w:tc>
          <w:tcPr/>
          <w:p>
            <w:pPr>
              <w:pStyle w:val="Compact"/>
              <w:jc w:val="left"/>
            </w:pPr>
            <w:r>
              <w:t xml:space="preserve">abdfghi—10</w:t>
            </w:r>
          </w:p>
        </w:tc>
        <w:tc>
          <w:tcPr/>
          <w:p>
            <w:pPr>
              <w:pStyle w:val="Compact"/>
              <w:jc w:val="left"/>
            </w:pPr>
            <w:r>
              <w:t xml:space="preserve">bdeh—12</w:t>
            </w:r>
          </w:p>
        </w:tc>
      </w:tr>
      <w:tr>
        <w:tc>
          <w:tcPr/>
          <w:p>
            <w:pPr>
              <w:pStyle w:val="Compact"/>
              <w:jc w:val="left"/>
            </w:pPr>
            <w:r>
              <w:t xml:space="preserve">cabefgi—4</w:t>
            </w:r>
          </w:p>
        </w:tc>
        <w:tc>
          <w:tcPr/>
          <w:p>
            <w:pPr>
              <w:pStyle w:val="Compact"/>
              <w:jc w:val="left"/>
            </w:pPr>
            <w:r>
              <w:t xml:space="preserve">cbdfhi—3</w:t>
            </w:r>
          </w:p>
        </w:tc>
        <w:tc>
          <w:tcPr/>
          <w:p>
            <w:pPr>
              <w:pStyle w:val="Compact"/>
              <w:jc w:val="left"/>
            </w:pPr>
            <w:r>
              <w:t xml:space="preserve">abdfgi—4</w:t>
            </w:r>
          </w:p>
        </w:tc>
        <w:tc>
          <w:tcPr/>
          <w:p>
            <w:pPr>
              <w:pStyle w:val="Compact"/>
              <w:jc w:val="left"/>
            </w:pPr>
            <w:r>
              <w:t xml:space="preserve">bdf—4</w:t>
            </w:r>
          </w:p>
        </w:tc>
      </w:tr>
      <w:tr>
        <w:tc>
          <w:tcPr/>
          <w:p>
            <w:pPr>
              <w:pStyle w:val="Compact"/>
              <w:jc w:val="left"/>
            </w:pPr>
            <w:r>
              <w:t xml:space="preserve">cabf—5</w:t>
            </w:r>
          </w:p>
        </w:tc>
        <w:tc>
          <w:tcPr/>
          <w:p>
            <w:pPr>
              <w:pStyle w:val="Compact"/>
              <w:jc w:val="left"/>
            </w:pPr>
            <w:r>
              <w:t xml:space="preserve">cbefghi—3</w:t>
            </w:r>
          </w:p>
        </w:tc>
        <w:tc>
          <w:tcPr/>
          <w:p>
            <w:pPr>
              <w:pStyle w:val="Compact"/>
              <w:jc w:val="left"/>
            </w:pPr>
            <w:r>
              <w:t xml:space="preserve">abdfh—3</w:t>
            </w:r>
          </w:p>
        </w:tc>
        <w:tc>
          <w:tcPr/>
          <w:p>
            <w:pPr>
              <w:pStyle w:val="Compact"/>
              <w:jc w:val="left"/>
            </w:pPr>
            <w:r>
              <w:t xml:space="preserve">bdh—3</w:t>
            </w:r>
          </w:p>
        </w:tc>
      </w:tr>
      <w:tr>
        <w:tc>
          <w:tcPr/>
          <w:p>
            <w:pPr>
              <w:pStyle w:val="Compact"/>
              <w:jc w:val="left"/>
            </w:pPr>
            <w:r>
              <w:t xml:space="preserve">cabfg—8</w:t>
            </w:r>
          </w:p>
        </w:tc>
        <w:tc>
          <w:tcPr/>
          <w:p>
            <w:pPr>
              <w:pStyle w:val="Compact"/>
              <w:jc w:val="left"/>
            </w:pPr>
            <w:r>
              <w:t xml:space="preserve">cbegh—4</w:t>
            </w:r>
          </w:p>
        </w:tc>
        <w:tc>
          <w:tcPr/>
          <w:p>
            <w:pPr>
              <w:pStyle w:val="Compact"/>
              <w:jc w:val="left"/>
            </w:pPr>
            <w:r>
              <w:t xml:space="preserve">abefghi—4</w:t>
            </w:r>
          </w:p>
        </w:tc>
        <w:tc>
          <w:tcPr/>
          <w:p>
            <w:pPr>
              <w:pStyle w:val="Compact"/>
              <w:jc w:val="left"/>
            </w:pPr>
            <w:r>
              <w:t xml:space="preserve">be—7</w:t>
            </w:r>
          </w:p>
        </w:tc>
      </w:tr>
      <w:tr>
        <w:tc>
          <w:tcPr/>
          <w:p>
            <w:pPr>
              <w:pStyle w:val="Compact"/>
              <w:jc w:val="left"/>
            </w:pPr>
            <w:r>
              <w:t xml:space="preserve">cabfghi—28</w:t>
            </w:r>
          </w:p>
        </w:tc>
        <w:tc>
          <w:tcPr/>
          <w:p>
            <w:pPr>
              <w:pStyle w:val="Compact"/>
              <w:jc w:val="left"/>
            </w:pPr>
            <w:r>
              <w:t xml:space="preserve">cd—22</w:t>
            </w:r>
          </w:p>
        </w:tc>
        <w:tc>
          <w:tcPr/>
          <w:p>
            <w:pPr>
              <w:pStyle w:val="Compact"/>
              <w:jc w:val="left"/>
            </w:pPr>
            <w:r>
              <w:t xml:space="preserve">abefhi—3</w:t>
            </w:r>
          </w:p>
        </w:tc>
        <w:tc>
          <w:tcPr/>
          <w:p>
            <w:pPr>
              <w:pStyle w:val="Compact"/>
              <w:jc w:val="left"/>
            </w:pPr>
            <w:r>
              <w:t xml:space="preserve">beh—4</w:t>
            </w:r>
          </w:p>
        </w:tc>
      </w:tr>
      <w:tr>
        <w:tc>
          <w:tcPr/>
          <w:p>
            <w:pPr>
              <w:pStyle w:val="Compact"/>
              <w:jc w:val="left"/>
            </w:pPr>
            <w:r>
              <w:t xml:space="preserve">cabfgi—47</w:t>
            </w:r>
          </w:p>
        </w:tc>
        <w:tc>
          <w:tcPr/>
          <w:p>
            <w:pPr>
              <w:pStyle w:val="Compact"/>
              <w:jc w:val="left"/>
            </w:pPr>
            <w:r>
              <w:t xml:space="preserve">cde—49</w:t>
            </w:r>
          </w:p>
        </w:tc>
        <w:tc>
          <w:tcPr/>
          <w:p>
            <w:pPr>
              <w:pStyle w:val="Compact"/>
              <w:jc w:val="left"/>
            </w:pPr>
            <w:r>
              <w:t xml:space="preserve">abf—23</w:t>
            </w:r>
          </w:p>
        </w:tc>
        <w:tc>
          <w:tcPr/>
          <w:p>
            <w:pPr>
              <w:pStyle w:val="Compact"/>
              <w:jc w:val="left"/>
            </w:pPr>
            <w:r>
              <w:t xml:space="preserve">bf—4</w:t>
            </w:r>
          </w:p>
        </w:tc>
      </w:tr>
      <w:tr>
        <w:tc>
          <w:tcPr/>
          <w:p>
            <w:pPr>
              <w:pStyle w:val="Compact"/>
              <w:jc w:val="left"/>
            </w:pPr>
            <w:r>
              <w:t xml:space="preserve">cabfhi—7</w:t>
            </w:r>
          </w:p>
        </w:tc>
        <w:tc>
          <w:tcPr/>
          <w:p>
            <w:pPr>
              <w:pStyle w:val="Compact"/>
              <w:jc w:val="left"/>
            </w:pPr>
            <w:r>
              <w:t xml:space="preserve">cdef—13</w:t>
            </w:r>
          </w:p>
        </w:tc>
        <w:tc>
          <w:tcPr/>
          <w:p>
            <w:pPr>
              <w:pStyle w:val="Compact"/>
              <w:jc w:val="left"/>
            </w:pPr>
            <w:r>
              <w:t xml:space="preserve">abfg—15</w:t>
            </w:r>
          </w:p>
        </w:tc>
        <w:tc>
          <w:tcPr/>
          <w:p>
            <w:pPr>
              <w:pStyle w:val="Compact"/>
              <w:jc w:val="left"/>
            </w:pPr>
            <w:r>
              <w:t xml:space="preserve">bg—3</w:t>
            </w:r>
          </w:p>
        </w:tc>
      </w:tr>
      <w:tr>
        <w:tc>
          <w:tcPr/>
          <w:p>
            <w:pPr>
              <w:pStyle w:val="Compact"/>
              <w:jc w:val="left"/>
            </w:pPr>
            <w:r>
              <w:t xml:space="preserve">cabfi—13</w:t>
            </w:r>
          </w:p>
        </w:tc>
        <w:tc>
          <w:tcPr/>
          <w:p>
            <w:pPr>
              <w:pStyle w:val="Compact"/>
              <w:jc w:val="left"/>
            </w:pPr>
            <w:r>
              <w:t xml:space="preserve">cdefghi—3</w:t>
            </w:r>
          </w:p>
        </w:tc>
        <w:tc>
          <w:tcPr/>
          <w:p>
            <w:pPr>
              <w:pStyle w:val="Compact"/>
              <w:jc w:val="left"/>
            </w:pPr>
            <w:r>
              <w:t xml:space="preserve">abfgh—3</w:t>
            </w:r>
          </w:p>
        </w:tc>
        <w:tc>
          <w:tcPr/>
          <w:p>
            <w:pPr>
              <w:pStyle w:val="Compact"/>
              <w:jc w:val="left"/>
            </w:pPr>
            <w:r>
              <w:t xml:space="preserve">bh—5</w:t>
            </w:r>
          </w:p>
        </w:tc>
      </w:tr>
      <w:tr>
        <w:tc>
          <w:tcPr/>
          <w:p>
            <w:pPr>
              <w:pStyle w:val="Compact"/>
              <w:jc w:val="left"/>
            </w:pPr>
            <w:r>
              <w:t xml:space="preserve">cabghi—3</w:t>
            </w:r>
          </w:p>
        </w:tc>
        <w:tc>
          <w:tcPr/>
          <w:p>
            <w:pPr>
              <w:pStyle w:val="Compact"/>
              <w:jc w:val="left"/>
            </w:pPr>
            <w:r>
              <w:t xml:space="preserve">cdefhi—3</w:t>
            </w:r>
          </w:p>
        </w:tc>
        <w:tc>
          <w:tcPr/>
          <w:p>
            <w:pPr>
              <w:pStyle w:val="Compact"/>
              <w:jc w:val="left"/>
            </w:pPr>
            <w:r>
              <w:t xml:space="preserve">abfghi—20</w:t>
            </w:r>
          </w:p>
        </w:tc>
        <w:tc>
          <w:tcPr/>
          <w:p>
            <w:pPr>
              <w:pStyle w:val="Compact"/>
            </w:pPr>
          </w:p>
        </w:tc>
      </w:tr>
      <w:tr>
        <w:tc>
          <w:tcPr/>
          <w:p>
            <w:pPr>
              <w:pStyle w:val="Compact"/>
              <w:jc w:val="left"/>
            </w:pPr>
            <w:r>
              <w:t xml:space="preserve">cadfghi—4</w:t>
            </w:r>
          </w:p>
        </w:tc>
        <w:tc>
          <w:tcPr/>
          <w:p>
            <w:pPr>
              <w:pStyle w:val="Compact"/>
              <w:jc w:val="left"/>
            </w:pPr>
            <w:r>
              <w:t xml:space="preserve">cdeg—11</w:t>
            </w:r>
          </w:p>
        </w:tc>
        <w:tc>
          <w:tcPr/>
          <w:p>
            <w:pPr>
              <w:pStyle w:val="Compact"/>
              <w:jc w:val="left"/>
            </w:pPr>
            <w:r>
              <w:t xml:space="preserve">abfgi—33</w:t>
            </w:r>
          </w:p>
        </w:tc>
        <w:tc>
          <w:tcPr/>
          <w:p>
            <w:pPr>
              <w:pStyle w:val="Compact"/>
              <w:jc w:val="left"/>
            </w:pPr>
            <w:r>
              <w:t xml:space="preserve">de—52</w:t>
            </w:r>
          </w:p>
        </w:tc>
      </w:tr>
      <w:tr>
        <w:tc>
          <w:tcPr/>
          <w:p>
            <w:pPr>
              <w:pStyle w:val="Compact"/>
              <w:jc w:val="left"/>
            </w:pPr>
            <w:r>
              <w:t xml:space="preserve">cadfgi—5</w:t>
            </w:r>
          </w:p>
        </w:tc>
        <w:tc>
          <w:tcPr/>
          <w:p>
            <w:pPr>
              <w:pStyle w:val="Compact"/>
              <w:jc w:val="left"/>
            </w:pPr>
            <w:r>
              <w:t xml:space="preserve">cdegh—14</w:t>
            </w:r>
          </w:p>
        </w:tc>
        <w:tc>
          <w:tcPr/>
          <w:p>
            <w:pPr>
              <w:pStyle w:val="Compact"/>
              <w:jc w:val="left"/>
            </w:pPr>
            <w:r>
              <w:t xml:space="preserve">abfh—4</w:t>
            </w:r>
          </w:p>
        </w:tc>
        <w:tc>
          <w:tcPr/>
          <w:p>
            <w:pPr>
              <w:pStyle w:val="Compact"/>
              <w:jc w:val="left"/>
            </w:pPr>
            <w:r>
              <w:t xml:space="preserve">def—8</w:t>
            </w:r>
          </w:p>
        </w:tc>
      </w:tr>
      <w:tr>
        <w:tc>
          <w:tcPr/>
          <w:p>
            <w:pPr>
              <w:pStyle w:val="Compact"/>
              <w:jc w:val="left"/>
            </w:pPr>
            <w:r>
              <w:t xml:space="preserve">caf—9</w:t>
            </w:r>
          </w:p>
        </w:tc>
        <w:tc>
          <w:tcPr/>
          <w:p>
            <w:pPr>
              <w:pStyle w:val="Compact"/>
              <w:jc w:val="left"/>
            </w:pPr>
            <w:r>
              <w:t xml:space="preserve">cdeghi—4</w:t>
            </w:r>
          </w:p>
        </w:tc>
        <w:tc>
          <w:tcPr/>
          <w:p>
            <w:pPr>
              <w:pStyle w:val="Compact"/>
              <w:jc w:val="left"/>
            </w:pPr>
            <w:r>
              <w:t xml:space="preserve">abfhi—8</w:t>
            </w:r>
          </w:p>
        </w:tc>
        <w:tc>
          <w:tcPr/>
          <w:p>
            <w:pPr>
              <w:pStyle w:val="Compact"/>
              <w:jc w:val="left"/>
            </w:pPr>
            <w:r>
              <w:t xml:space="preserve">deg—5</w:t>
            </w:r>
          </w:p>
        </w:tc>
      </w:tr>
      <w:tr>
        <w:tc>
          <w:tcPr/>
          <w:p>
            <w:pPr>
              <w:pStyle w:val="Compact"/>
              <w:jc w:val="left"/>
            </w:pPr>
            <w:r>
              <w:t xml:space="preserve">cafg—6</w:t>
            </w:r>
          </w:p>
        </w:tc>
        <w:tc>
          <w:tcPr/>
          <w:p>
            <w:pPr>
              <w:pStyle w:val="Compact"/>
              <w:jc w:val="left"/>
            </w:pPr>
            <w:r>
              <w:t xml:space="preserve">cdeh—32</w:t>
            </w:r>
          </w:p>
        </w:tc>
        <w:tc>
          <w:tcPr/>
          <w:p>
            <w:pPr>
              <w:pStyle w:val="Compact"/>
              <w:jc w:val="left"/>
            </w:pPr>
            <w:r>
              <w:t xml:space="preserve">abfi—17</w:t>
            </w:r>
          </w:p>
        </w:tc>
        <w:tc>
          <w:tcPr/>
          <w:p>
            <w:pPr>
              <w:pStyle w:val="Compact"/>
              <w:jc w:val="left"/>
            </w:pPr>
            <w:r>
              <w:t xml:space="preserve">degh—8</w:t>
            </w:r>
          </w:p>
        </w:tc>
      </w:tr>
      <w:tr>
        <w:tc>
          <w:tcPr/>
          <w:p>
            <w:pPr>
              <w:pStyle w:val="Compact"/>
              <w:jc w:val="left"/>
            </w:pPr>
            <w:r>
              <w:t xml:space="preserve">cafgh—5</w:t>
            </w:r>
          </w:p>
        </w:tc>
        <w:tc>
          <w:tcPr/>
          <w:p>
            <w:pPr>
              <w:pStyle w:val="Compact"/>
              <w:jc w:val="left"/>
            </w:pPr>
            <w:r>
              <w:t xml:space="preserve">cdehi—7</w:t>
            </w:r>
          </w:p>
        </w:tc>
        <w:tc>
          <w:tcPr/>
          <w:p>
            <w:pPr>
              <w:pStyle w:val="Compact"/>
              <w:jc w:val="left"/>
            </w:pPr>
            <w:r>
              <w:t xml:space="preserve">abgh—3</w:t>
            </w:r>
          </w:p>
        </w:tc>
        <w:tc>
          <w:tcPr/>
          <w:p>
            <w:pPr>
              <w:pStyle w:val="Compact"/>
              <w:jc w:val="left"/>
            </w:pPr>
            <w:r>
              <w:t xml:space="preserve">deh—25</w:t>
            </w:r>
          </w:p>
        </w:tc>
      </w:tr>
      <w:tr>
        <w:tc>
          <w:tcPr/>
          <w:p>
            <w:pPr>
              <w:pStyle w:val="Compact"/>
              <w:jc w:val="left"/>
            </w:pPr>
            <w:r>
              <w:t xml:space="preserve">cafgi—24</w:t>
            </w:r>
          </w:p>
        </w:tc>
        <w:tc>
          <w:tcPr/>
          <w:p>
            <w:pPr>
              <w:pStyle w:val="Compact"/>
              <w:jc w:val="left"/>
            </w:pPr>
            <w:r>
              <w:t xml:space="preserve">cdg—3</w:t>
            </w:r>
          </w:p>
        </w:tc>
        <w:tc>
          <w:tcPr/>
          <w:p>
            <w:pPr>
              <w:pStyle w:val="Compact"/>
              <w:jc w:val="left"/>
            </w:pPr>
            <w:r>
              <w:t xml:space="preserve">af—19</w:t>
            </w:r>
          </w:p>
        </w:tc>
        <w:tc>
          <w:tcPr/>
          <w:p>
            <w:pPr>
              <w:pStyle w:val="Compact"/>
              <w:jc w:val="left"/>
            </w:pPr>
            <w:r>
              <w:t xml:space="preserve">dei—3</w:t>
            </w:r>
          </w:p>
        </w:tc>
      </w:tr>
      <w:tr>
        <w:tc>
          <w:tcPr/>
          <w:p>
            <w:pPr>
              <w:pStyle w:val="Compact"/>
              <w:jc w:val="left"/>
            </w:pPr>
            <w:r>
              <w:t xml:space="preserve">cafhi—3</w:t>
            </w:r>
          </w:p>
        </w:tc>
        <w:tc>
          <w:tcPr/>
          <w:p>
            <w:pPr>
              <w:pStyle w:val="Compact"/>
              <w:jc w:val="left"/>
            </w:pPr>
            <w:r>
              <w:t xml:space="preserve">cdh—7</w:t>
            </w:r>
          </w:p>
        </w:tc>
        <w:tc>
          <w:tcPr/>
          <w:p>
            <w:pPr>
              <w:pStyle w:val="Compact"/>
              <w:jc w:val="left"/>
            </w:pPr>
            <w:r>
              <w:t xml:space="preserve">afg—15</w:t>
            </w:r>
          </w:p>
        </w:tc>
        <w:tc>
          <w:tcPr/>
          <w:p>
            <w:pPr>
              <w:pStyle w:val="Compact"/>
              <w:jc w:val="left"/>
            </w:pPr>
            <w:r>
              <w:t xml:space="preserve">df—6</w:t>
            </w:r>
          </w:p>
        </w:tc>
      </w:tr>
      <w:tr>
        <w:tc>
          <w:tcPr/>
          <w:p>
            <w:pPr>
              <w:pStyle w:val="Compact"/>
              <w:jc w:val="left"/>
            </w:pPr>
            <w:r>
              <w:t xml:space="preserve">cafi—5</w:t>
            </w:r>
          </w:p>
        </w:tc>
        <w:tc>
          <w:tcPr/>
          <w:p>
            <w:pPr>
              <w:pStyle w:val="Compact"/>
              <w:jc w:val="left"/>
            </w:pPr>
            <w:r>
              <w:t xml:space="preserve">ce—10</w:t>
            </w:r>
          </w:p>
        </w:tc>
        <w:tc>
          <w:tcPr/>
          <w:p>
            <w:pPr>
              <w:pStyle w:val="Compact"/>
              <w:jc w:val="left"/>
            </w:pPr>
            <w:r>
              <w:t xml:space="preserve">afghi—9</w:t>
            </w:r>
          </w:p>
        </w:tc>
        <w:tc>
          <w:tcPr/>
          <w:p>
            <w:pPr>
              <w:pStyle w:val="Compact"/>
              <w:jc w:val="left"/>
            </w:pPr>
            <w:r>
              <w:t xml:space="preserve">dg—3</w:t>
            </w:r>
          </w:p>
        </w:tc>
      </w:tr>
      <w:tr>
        <w:tc>
          <w:tcPr/>
          <w:p>
            <w:pPr>
              <w:pStyle w:val="Compact"/>
              <w:jc w:val="left"/>
            </w:pPr>
            <w:r>
              <w:t xml:space="preserve">cag—4</w:t>
            </w:r>
          </w:p>
        </w:tc>
        <w:tc>
          <w:tcPr/>
          <w:p>
            <w:pPr>
              <w:pStyle w:val="Compact"/>
              <w:jc w:val="left"/>
            </w:pPr>
            <w:r>
              <w:t xml:space="preserve">cef—4</w:t>
            </w:r>
          </w:p>
        </w:tc>
        <w:tc>
          <w:tcPr/>
          <w:p>
            <w:pPr>
              <w:pStyle w:val="Compact"/>
              <w:jc w:val="left"/>
            </w:pPr>
            <w:r>
              <w:t xml:space="preserve">afgi—7</w:t>
            </w:r>
          </w:p>
        </w:tc>
        <w:tc>
          <w:tcPr/>
          <w:p>
            <w:pPr>
              <w:pStyle w:val="Compact"/>
              <w:jc w:val="left"/>
            </w:pPr>
            <w:r>
              <w:t xml:space="preserve">dh—19</w:t>
            </w:r>
          </w:p>
        </w:tc>
      </w:tr>
      <w:tr>
        <w:tc>
          <w:tcPr/>
          <w:p>
            <w:pPr>
              <w:pStyle w:val="Compact"/>
              <w:jc w:val="left"/>
            </w:pPr>
            <w:r>
              <w:t xml:space="preserve">caghi—6</w:t>
            </w:r>
          </w:p>
        </w:tc>
        <w:tc>
          <w:tcPr/>
          <w:p>
            <w:pPr>
              <w:pStyle w:val="Compact"/>
              <w:jc w:val="left"/>
            </w:pPr>
            <w:r>
              <w:t xml:space="preserve">ceg—3</w:t>
            </w:r>
          </w:p>
        </w:tc>
        <w:tc>
          <w:tcPr/>
          <w:p>
            <w:pPr>
              <w:pStyle w:val="Compact"/>
              <w:jc w:val="left"/>
            </w:pPr>
            <w:r>
              <w:t xml:space="preserve">afh—5</w:t>
            </w:r>
          </w:p>
        </w:tc>
        <w:tc>
          <w:tcPr/>
          <w:p>
            <w:pPr>
              <w:pStyle w:val="Compact"/>
            </w:pPr>
          </w:p>
        </w:tc>
      </w:tr>
      <w:tr>
        <w:tc>
          <w:tcPr/>
          <w:p>
            <w:pPr>
              <w:pStyle w:val="Compact"/>
              <w:jc w:val="left"/>
            </w:pPr>
            <w:r>
              <w:t xml:space="preserve">cb—5</w:t>
            </w:r>
          </w:p>
        </w:tc>
        <w:tc>
          <w:tcPr/>
          <w:p>
            <w:pPr>
              <w:pStyle w:val="Compact"/>
              <w:jc w:val="left"/>
            </w:pPr>
            <w:r>
              <w:t xml:space="preserve">ceh—5</w:t>
            </w:r>
          </w:p>
        </w:tc>
        <w:tc>
          <w:tcPr/>
          <w:p>
            <w:pPr>
              <w:pStyle w:val="Compact"/>
              <w:jc w:val="left"/>
            </w:pPr>
            <w:r>
              <w:t xml:space="preserve">afhi—3</w:t>
            </w:r>
          </w:p>
        </w:tc>
        <w:tc>
          <w:tcPr/>
          <w:p>
            <w:pPr>
              <w:pStyle w:val="Compact"/>
              <w:jc w:val="left"/>
            </w:pPr>
            <w:r>
              <w:t xml:space="preserve">eg—5</w:t>
            </w:r>
          </w:p>
        </w:tc>
      </w:tr>
      <w:tr>
        <w:tc>
          <w:tcPr/>
          <w:p>
            <w:pPr>
              <w:pStyle w:val="Compact"/>
              <w:jc w:val="left"/>
            </w:pPr>
            <w:r>
              <w:t xml:space="preserve">cbd—4</w:t>
            </w:r>
          </w:p>
        </w:tc>
        <w:tc>
          <w:tcPr/>
          <w:p>
            <w:pPr>
              <w:pStyle w:val="Compact"/>
              <w:jc w:val="left"/>
            </w:pPr>
            <w:r>
              <w:t xml:space="preserve">cf—4</w:t>
            </w:r>
          </w:p>
        </w:tc>
        <w:tc>
          <w:tcPr/>
          <w:p>
            <w:pPr>
              <w:pStyle w:val="Compact"/>
              <w:jc w:val="left"/>
            </w:pPr>
            <w:r>
              <w:t xml:space="preserve">afi—14</w:t>
            </w:r>
          </w:p>
        </w:tc>
        <w:tc>
          <w:tcPr/>
          <w:p>
            <w:pPr>
              <w:pStyle w:val="Compact"/>
              <w:jc w:val="left"/>
            </w:pPr>
            <w:r>
              <w:t xml:space="preserve">egh—3</w:t>
            </w:r>
          </w:p>
        </w:tc>
      </w:tr>
      <w:tr>
        <w:tc>
          <w:tcPr/>
          <w:p>
            <w:pPr>
              <w:pStyle w:val="Compact"/>
              <w:jc w:val="left"/>
            </w:pPr>
            <w:r>
              <w:t xml:space="preserve">cbde—15</w:t>
            </w:r>
          </w:p>
        </w:tc>
        <w:tc>
          <w:tcPr/>
          <w:p>
            <w:pPr>
              <w:pStyle w:val="Compact"/>
              <w:jc w:val="left"/>
            </w:pPr>
            <w:r>
              <w:t xml:space="preserve">cg—5</w:t>
            </w:r>
          </w:p>
        </w:tc>
        <w:tc>
          <w:tcPr/>
          <w:p>
            <w:pPr>
              <w:pStyle w:val="Compact"/>
              <w:jc w:val="left"/>
            </w:pPr>
            <w:r>
              <w:t xml:space="preserve">ag—19</w:t>
            </w:r>
          </w:p>
        </w:tc>
        <w:tc>
          <w:tcPr/>
          <w:p>
            <w:pPr>
              <w:pStyle w:val="Compact"/>
              <w:jc w:val="left"/>
            </w:pPr>
            <w:r>
              <w:t xml:space="preserve">eh—11</w:t>
            </w:r>
          </w:p>
        </w:tc>
      </w:tr>
      <w:tr>
        <w:tc>
          <w:tcPr/>
          <w:p>
            <w:pPr>
              <w:pStyle w:val="Compact"/>
              <w:jc w:val="left"/>
            </w:pPr>
            <w:r>
              <w:t xml:space="preserve">cbdefghi—3</w:t>
            </w:r>
          </w:p>
        </w:tc>
        <w:tc>
          <w:tcPr/>
          <w:p>
            <w:pPr>
              <w:pStyle w:val="Compact"/>
              <w:jc w:val="left"/>
            </w:pPr>
            <w:r>
              <w:t xml:space="preserve">ch—3</w:t>
            </w:r>
          </w:p>
        </w:tc>
        <w:tc>
          <w:tcPr/>
          <w:p>
            <w:pPr>
              <w:pStyle w:val="Compact"/>
              <w:jc w:val="left"/>
            </w:pPr>
            <w:r>
              <w:t xml:space="preserve">agh—5</w:t>
            </w:r>
          </w:p>
        </w:tc>
        <w:tc>
          <w:tcPr/>
          <w:p>
            <w:pPr>
              <w:pStyle w:val="Compact"/>
            </w:pPr>
          </w:p>
        </w:tc>
      </w:tr>
      <w:tr>
        <w:tc>
          <w:tcPr/>
          <w:p>
            <w:pPr>
              <w:pStyle w:val="Compact"/>
              <w:jc w:val="left"/>
            </w:pPr>
            <w:r>
              <w:t xml:space="preserve">cbdefhi—6</w:t>
            </w:r>
          </w:p>
        </w:tc>
        <w:tc>
          <w:tcPr/>
          <w:p>
            <w:pPr>
              <w:pStyle w:val="Compact"/>
            </w:pPr>
          </w:p>
        </w:tc>
        <w:tc>
          <w:tcPr/>
          <w:p>
            <w:pPr>
              <w:pStyle w:val="Compact"/>
              <w:jc w:val="left"/>
            </w:pPr>
            <w:r>
              <w:t xml:space="preserve">agi—3</w:t>
            </w:r>
          </w:p>
        </w:tc>
        <w:tc>
          <w:tcPr/>
          <w:p>
            <w:pPr>
              <w:pStyle w:val="Compact"/>
              <w:jc w:val="left"/>
            </w:pPr>
            <w:r>
              <w:t xml:space="preserve">gh—4</w:t>
            </w:r>
          </w:p>
        </w:tc>
      </w:tr>
    </w:tbl>
    <w:p>
      <w:pPr>
        <w:pStyle w:val="BodyText"/>
      </w:pPr>
      <w:r>
        <w:t xml:space="preserve">Proszę pamiętać, że nie wymieniłem kolejnych 138 kombinacji, które występują tylko raz lub dwa razy. Ilość „mieszania” jest oszałamiająca. Pomimo tego wszystkiego od co najmniej 80 lat w tej dyscyplinie standardowo podaje się następującą kaczkę dziennikarską: grupa kompluteńska jest kompozytem opartym na grupach Koine i Andreasa. Jak jednak ta koncepcja ma się do przedstawionych wyżej dowodów?</w:t>
      </w:r>
      <w:r>
        <w:t xml:space="preserve"> </w:t>
      </w:r>
      <w:r>
        <w:rPr>
          <w:bCs/>
          <w:b/>
          <w:u w:val="single"/>
        </w:rPr>
        <w:t xml:space="preserve">c</w:t>
      </w:r>
      <w:r>
        <w:t xml:space="preserve"> </w:t>
      </w:r>
      <w:r>
        <w:t xml:space="preserve">występuje w co najmniej 129 kombinacjach z innymi grupami, zupełnie niezależnie od przypadków, w których występuje sama. Niemal nigdy jednak nie jest całkowicie sama, zgadza się z nią garstka niespokrewnionych manuskryptów, lecz lista tych manuskryptów jest zawsze inna (gdyby lista była taka sama, manuskrypty te stanowiłyby część rodziny). Niewiarygodny zakres niespokrewnionych powiązań pozwala na dwa wnioski: 1) manuskrypty reprezentujące grupę można zidentyfikować i wyodrębnić, co daje nam empirycznie zdefiniowaną rodzinę, 2) ta empirycznie zdefiniowana rodzina</w:t>
      </w:r>
      <w:r>
        <w:t xml:space="preserve"> </w:t>
      </w:r>
      <w:r>
        <w:rPr>
          <w:bCs/>
          <w:b/>
        </w:rPr>
        <w:t xml:space="preserve">musi być niezależna</w:t>
      </w:r>
      <w:r>
        <w:t xml:space="preserve"> </w:t>
      </w:r>
      <w:r>
        <w:t xml:space="preserve">od wszystkich innych linii przekazu.</w:t>
      </w:r>
    </w:p>
    <w:p>
      <w:pPr>
        <w:pStyle w:val="BodyText"/>
      </w:pPr>
      <w:r>
        <w:t xml:space="preserve">Co zatem wzorzec i zależność mówią nam o dowodach? Działają na dwóch poziomach: wewnątrz grupy i między grupami. Wewnątrz grupy określają poziom spójności lub wewnętrznej koherencji wykazywanej przez tę grupę. Tak więc spośród dziewięciu grup w Objawieniu Jana</w:t>
      </w:r>
      <w:r>
        <w:t xml:space="preserve"> </w:t>
      </w:r>
      <w:r>
        <w:rPr>
          <w:bCs/>
          <w:b/>
          <w:u w:val="single"/>
        </w:rPr>
        <w:t xml:space="preserve">e</w:t>
      </w:r>
      <w:r>
        <w:t xml:space="preserve">,</w:t>
      </w:r>
      <w:r>
        <w:t xml:space="preserve"> </w:t>
      </w:r>
      <w:r>
        <w:rPr>
          <w:bCs/>
          <w:b/>
          <w:u w:val="single"/>
        </w:rPr>
        <w:t xml:space="preserve">i</w:t>
      </w:r>
      <w:r>
        <w:t xml:space="preserve"> </w:t>
      </w:r>
      <w:r>
        <w:t xml:space="preserve">i</w:t>
      </w:r>
      <w:r>
        <w:t xml:space="preserve"> </w:t>
      </w:r>
      <w:r>
        <w:rPr>
          <w:bCs/>
          <w:b/>
          <w:u w:val="single"/>
        </w:rPr>
        <w:t xml:space="preserve">h</w:t>
      </w:r>
      <w:r>
        <w:t xml:space="preserve"> </w:t>
      </w:r>
      <w:r>
        <w:t xml:space="preserve">wykazują największe wewnętrzne pomieszanie, co zmniejsza ich wiarygodność jako linii przekazu.</w:t>
      </w:r>
      <w:r>
        <w:t xml:space="preserve"> </w:t>
      </w:r>
      <w:r>
        <w:rPr>
          <w:bCs/>
          <w:b/>
          <w:u w:val="single"/>
        </w:rPr>
        <w:t xml:space="preserve">a</w:t>
      </w:r>
      <w:r>
        <w:t xml:space="preserve"> </w:t>
      </w:r>
      <w:r>
        <w:t xml:space="preserve">jest duża, ale ma pięć podgrup, bez podgrup jej liczba spada z 65 do 18 — pięć podgrup wraz z dalszym wewnętrznym pomieszaniem umniejsza jej wiarygodności jako linii przekazu. W przeciwieństwie do pozostałych</w:t>
      </w:r>
      <w:r>
        <w:t xml:space="preserve"> </w:t>
      </w:r>
      <w:r>
        <w:rPr>
          <w:bCs/>
          <w:b/>
          <w:u w:val="single"/>
        </w:rPr>
        <w:t xml:space="preserve">c</w:t>
      </w:r>
      <w:r>
        <w:t xml:space="preserve"> </w:t>
      </w:r>
      <w:r>
        <w:t xml:space="preserve">jest niezwykle stabilna, wewnętrznie konsekwentna lub spójna — wewnętrzny wzorzec i zależność są silne, co zwiększa wiarygodność tej grupy jako linii przekazu.</w:t>
      </w:r>
    </w:p>
    <w:p>
      <w:pPr>
        <w:pStyle w:val="BodyText"/>
      </w:pPr>
      <w:r>
        <w:t xml:space="preserve">A jak jest między grupami? To stosunkowo wysoki poziom wzorca i zależności pozwala nam pogrupować</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t xml:space="preserve">i powiedzieć, że razem tworzą typ tekstu (nazwijmy go „Koine”). To samo dotyczy</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(nazwijmy go „Andreas”). W przeciwieństwie do tych ośmiu</w:t>
      </w:r>
      <w:r>
        <w:t xml:space="preserve"> </w:t>
      </w:r>
      <w:r>
        <w:rPr>
          <w:bCs/>
          <w:b/>
          <w:u w:val="single"/>
        </w:rPr>
        <w:t xml:space="preserve">c</w:t>
      </w:r>
      <w:r>
        <w:t xml:space="preserve"> </w:t>
      </w:r>
      <w:r>
        <w:t xml:space="preserve">jest niezależna od nich wszystkich, na co wskazuje brak wzorca i zależności.</w:t>
      </w:r>
      <w:r>
        <w:t xml:space="preserve"> </w:t>
      </w:r>
      <w:r>
        <w:rPr>
          <w:bCs/>
          <w:b/>
          <w:u w:val="single"/>
        </w:rPr>
        <w:t xml:space="preserve">c</w:t>
      </w:r>
      <w:r>
        <w:t xml:space="preserve"> </w:t>
      </w:r>
      <w:r>
        <w:t xml:space="preserve">i „Koine” zgadzają się przeciwko „Andreasowi” ponad 100 razy, a</w:t>
      </w:r>
      <w:r>
        <w:t xml:space="preserve"> </w:t>
      </w:r>
      <w:r>
        <w:rPr>
          <w:bCs/>
          <w:b/>
          <w:u w:val="single"/>
        </w:rPr>
        <w:t xml:space="preserve">c</w:t>
      </w:r>
      <w:r>
        <w:t xml:space="preserve"> </w:t>
      </w:r>
      <w:r>
        <w:t xml:space="preserve">i „Andreas” również zgadzają się przeciwko „Koine” ponad 100 razy. Pełny skład „Koine” i „Andreasa” zgadza się przeciwko</w:t>
      </w:r>
      <w:r>
        <w:t xml:space="preserve"> </w:t>
      </w:r>
      <w:r>
        <w:rPr>
          <w:bCs/>
          <w:b/>
          <w:u w:val="single"/>
        </w:rPr>
        <w:t xml:space="preserve">c</w:t>
      </w:r>
      <w:r>
        <w:t xml:space="preserve"> </w:t>
      </w:r>
      <w:r>
        <w:t xml:space="preserve">jedenaście razy. Twierdzę, że najrozsądniejszym wyjaśnieniem stojących przed nami dowodów jest to, że</w:t>
      </w:r>
      <w:r>
        <w:t xml:space="preserve"> </w:t>
      </w:r>
      <w:r>
        <w:rPr>
          <w:bCs/>
          <w:b/>
          <w:u w:val="single"/>
        </w:rPr>
        <w:t xml:space="preserve">c</w:t>
      </w:r>
      <w:r>
        <w:t xml:space="preserve"> </w:t>
      </w:r>
      <w:r>
        <w:t xml:space="preserve">stanowi wspólny mianownik, jest rdzeniem przekazu, od którego wszyscy pozostali odeszli w różnym czasie i na różne sposoby.</w:t>
      </w:r>
    </w:p>
    <w:p>
      <w:pPr>
        <w:pStyle w:val="BodyText"/>
      </w:pPr>
      <w:r>
        <w:t xml:space="preserve">Co zatem mówią nam wzorzec i zależność? Pozwalają zidentyfikować grupy lub rodziny manuskryptów. Określają także poziom wewnętrznej spójności każdej grupy. Brak wzorca i zależności pozwala zidentyfikować niezależne linie przekazu. Wszystkie manuskrypty otrzymały wspólny wpływ od Oryginału, ale najwyraźniej niezależne linie przekazu nie mogą w jednakowym stopniu reprezentować Oryginału. Co zatem robimy, gdy stajemy w obliczu kilku takich linii? Albo, biorąc konkretny przypadek, jak możemy dokonać wyboru między „Koine”, „Andreasem” i „kompluteńskim” w Objawieniu Jana? Jeśli pójdziemy za dwoma przeciwko jednemu, uzyskamy tekst „większościowy” — według przybliżonego szacunku będzie on w co najmniej 90% kompluteński (ten rzadko występuje sam).</w:t>
      </w:r>
      <w:r>
        <w:rPr>
          <w:rStyle w:val="FootnoteReference"/>
        </w:rPr>
        <w:footnoteReference w:id="235"/>
      </w:r>
      <w:r>
        <w:t xml:space="preserve"> </w:t>
      </w:r>
      <w:r>
        <w:t xml:space="preserve">(Z mojego punktu widzenia byłby to bardzo dobry Tekst!)</w:t>
      </w:r>
    </w:p>
    <w:p>
      <w:pPr>
        <w:pStyle w:val="BodyText"/>
      </w:pPr>
      <w:r>
        <w:t xml:space="preserve">W całej księdze nie ma ani jednego wyraźnego trójstronnego podziału, a tylko jeden można uznać za dość bliski takiemu podziałowi (w 15,4). Co mówi nam brak trójstronnych podziałów? Mówi nam, że te trzy grupy nie są jednakowo niezależne. Mówi nam, że tekst kompluteński jest najbardziej niezależny z całej trójki — niezależny w odniesieniu do pozostałych dwóch! Skoro wszystkie trzy zależą od Oryginału, czy możemy ustalić, która z nich jest najbardziej zależna, a zatem najbliższa Oryginałowi? Jeśli dowody wskazują na tekst kompluteński jako wspólny mianownik, to pozostałe dwie grupy są od niego przynajmniej częściowo zależne, oznaczałoby to, że tekst kompluteński znajduje się między nimi a Oryginałem, a zatem jest najbliższy Oryginałowi.</w:t>
      </w:r>
    </w:p>
    <w:p>
      <w:pPr>
        <w:pStyle w:val="BodyText"/>
      </w:pPr>
      <w:r>
        <w:t xml:space="preserve">A co z nielicznymi miejscami, w których Koine i Andreas zgadzają się przeciwko tekstowi kompluteńskiemu, czy obeszły go i wróciły bezpośrednio do Oryginału? (Jak mogłoby to być możliwe?) Czy „wybierały według uznania”, konsultując egzemplarz inny niż kompluteński? Taki egzemplarz byłby węzłem znajdującym się ponad Koine i Andreasem, ponieważ oba następnie poszły własnymi drogami. (Przypuszczam, że to byłoby przynajmniej możliwe). Co jednak, jeśli tekst kompluteński poprawnie reprezentuje Oryginał? Wtedy stemma mogłoby wyglądać następująco:</w:t>
      </w:r>
    </w:p>
    <w:p>
      <w:pPr>
        <w:pStyle w:val="SourceCode"/>
      </w:pPr>
      <w:r>
        <w:rPr>
          <w:rStyle w:val="VerbatimChar"/>
        </w:rPr>
        <w:t xml:space="preserve">      O</w:t>
      </w:r>
      <w:r>
        <w:br/>
      </w:r>
      <w:r>
        <w:rPr>
          <w:rStyle w:val="VerbatimChar"/>
        </w:rPr>
        <w:t xml:space="preserve">      │</w:t>
      </w:r>
      <w:r>
        <w:br/>
      </w:r>
      <w:r>
        <w:rPr>
          <w:rStyle w:val="VerbatimChar"/>
        </w:rPr>
        <w:t xml:space="preserve">□ makro-C</w:t>
      </w:r>
      <w:r>
        <w:br/>
      </w:r>
      <w:r>
        <w:rPr>
          <w:rStyle w:val="VerbatimChar"/>
        </w:rPr>
        <w:t xml:space="preserve">├── c</w:t>
      </w:r>
      <w:r>
        <w:br/>
      </w:r>
      <w:r>
        <w:rPr>
          <w:rStyle w:val="VerbatimChar"/>
        </w:rPr>
        <w:t xml:space="preserve">└── ○ a, d</w:t>
      </w:r>
      <w:r>
        <w:br/>
      </w:r>
      <w:r>
        <w:rPr>
          <w:rStyle w:val="VerbatimChar"/>
        </w:rPr>
        <w:t xml:space="preserve">    ├── a</w:t>
      </w:r>
      <w:r>
        <w:br/>
      </w:r>
      <w:r>
        <w:rPr>
          <w:rStyle w:val="VerbatimChar"/>
        </w:rPr>
        <w:t xml:space="preserve">    └── d</w:t>
      </w:r>
    </w:p>
    <w:p>
      <w:pPr>
        <w:pStyle w:val="FirstParagraph"/>
      </w:pPr>
      <w:r>
        <w:t xml:space="preserve">Przypuszczam, że ostateczny wybór będzie zależał od czynników wykraczających poza wzorzec i zależność. Potrzebujemy jednak wzorca i zależności, aby zbliżyć się do ostatecznego wyboru.</w:t>
      </w:r>
    </w:p>
    <w:bookmarkEnd w:id="236"/>
    <w:bookmarkStart w:id="240" w:name="X8a5da6891cdce0262847cd4554d66dc99238c29"/>
    <w:p>
      <w:pPr>
        <w:pStyle w:val="Heading2"/>
      </w:pPr>
      <w:r>
        <w:t xml:space="preserve">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FirstParagraph"/>
      </w:pPr>
      <w:r>
        <w:t xml:space="preserve">Przyjmuję, że Klaus Wachtel w swojej książce</w:t>
      </w:r>
      <w:r>
        <w:t xml:space="preserve"> </w:t>
      </w:r>
      <w:r>
        <w:rPr>
          <w:iCs/>
          <w:i/>
        </w:rPr>
        <w:t xml:space="preserve">Der Byzantinische Text der Katholischen Briefe</w:t>
      </w:r>
      <w:r>
        <w:t xml:space="preserve"> </w:t>
      </w:r>
      <w:r>
        <w:t xml:space="preserve">(</w:t>
      </w:r>
      <w:r>
        <w:rPr>
          <w:iCs/>
          <w:i/>
        </w:rPr>
        <w:t xml:space="preserve">The Byzantine Text of the Catholic Letters</w:t>
      </w:r>
      <w:r>
        <w:t xml:space="preserve">) uznaje, iż bizantyjski</w:t>
      </w:r>
      <w:r>
        <w:t xml:space="preserve"> </w:t>
      </w:r>
      <w:r>
        <w:rPr>
          <w:u w:val="single"/>
        </w:rPr>
        <w:t xml:space="preserve">tekst</w:t>
      </w:r>
      <w:r>
        <w:t xml:space="preserve"> </w:t>
      </w:r>
      <w:r>
        <w:t xml:space="preserve">jest wczesny (chociaż na podstawie względów wewnętrznych często opowiada się przeciwko niemu), żegnając się tym samym z powszechną kaczką dziennikarską, jakoby tekst bizantyjski był późny. Uważam, że przedstawione poniżej dowody wykazują to samo w odniesieniu do</w:t>
      </w:r>
      <w:r>
        <w:t xml:space="preserve"> </w:t>
      </w:r>
      <w:r>
        <w:rPr>
          <w:u w:val="single"/>
        </w:rPr>
        <w:t xml:space="preserve">tekstu</w:t>
      </w:r>
      <w:r>
        <w:t xml:space="preserve"> </w:t>
      </w:r>
      <w:r>
        <w:rPr>
          <w:bCs/>
          <w:b/>
        </w:rPr>
        <w:t xml:space="preserve">f</w:t>
      </w:r>
      <w:r>
        <w:rPr>
          <w:vertAlign w:val="superscript"/>
          <w:bCs/>
          <w:b/>
        </w:rPr>
        <w:t xml:space="preserve">35</w:t>
      </w:r>
      <w:r>
        <w:t xml:space="preserve">.</w:t>
      </w:r>
    </w:p>
    <w:p>
      <w:pPr>
        <w:pStyle w:val="BodyText"/>
      </w:pPr>
      <w:r>
        <w:t xml:space="preserve">Przystępuję do zestawienia wyników wczesnych uncjałów (z V wieku i wcześniejszych), tak jak pojawiają się w aparacie krytycznym mojego greckiego tekstu siedmiu Listów Ogólnych, uzupełnionym jednak na podstawie serii</w:t>
      </w:r>
      <w:r>
        <w:t xml:space="preserve"> </w:t>
      </w:r>
      <w:r>
        <w:rPr>
          <w:iCs/>
          <w:i/>
        </w:rPr>
        <w:t xml:space="preserve">Editio Critica Maior</w:t>
      </w:r>
      <w:r>
        <w:t xml:space="preserve">.</w:t>
      </w:r>
      <w:r>
        <w:rPr>
          <w:rStyle w:val="FootnoteReference"/>
        </w:rPr>
        <w:footnoteReference w:id="237"/>
      </w:r>
      <w:r>
        <w:t xml:space="preserve"> </w:t>
      </w:r>
      <w:r>
        <w:t xml:space="preserve">Za punkt odniesienia przyjmuję</w:t>
      </w:r>
      <w:r>
        <w:t xml:space="preserve"> </w:t>
      </w:r>
      <w:r>
        <w:rPr>
          <w:bCs/>
          <w:b/>
        </w:rPr>
        <w:t xml:space="preserve">f</w:t>
      </w:r>
      <w:r>
        <w:rPr>
          <w:vertAlign w:val="superscript"/>
          <w:bCs/>
          <w:b/>
        </w:rPr>
        <w:t xml:space="preserve">35</w:t>
      </w:r>
      <w:r>
        <w:t xml:space="preserve">, ale uwzględniam tylko te zestawy wariantów, w których przynajmniej jeden z zachowanych wczesnych uncjałów (zachowanych w danym miejscu) występuje przeciwko</w:t>
      </w:r>
      <w:r>
        <w:t xml:space="preserve"> </w:t>
      </w:r>
      <w:r>
        <w:rPr>
          <w:bCs/>
          <w:b/>
        </w:rPr>
        <w:t xml:space="preserve">f</w:t>
      </w:r>
      <w:r>
        <w:rPr>
          <w:vertAlign w:val="superscript"/>
          <w:bCs/>
          <w:b/>
        </w:rPr>
        <w:t xml:space="preserve">35</w:t>
      </w:r>
      <w:r>
        <w:t xml:space="preserve"> </w:t>
      </w:r>
      <w:r>
        <w:t xml:space="preserve">(jest to konieczne, ponieważ większość słów ma jednomyślne poświadczenie).</w:t>
      </w:r>
    </w:p>
    <w:p>
      <w:pPr>
        <w:pStyle w:val="BodyText"/>
      </w:pPr>
      <w:r>
        <w:t xml:space="preserve">W moim aparacie krytycznym pojawia się trzynaście wczesnych uncjałów: P</w:t>
      </w:r>
      <w:r>
        <w:rPr>
          <w:vertAlign w:val="superscript"/>
        </w:rPr>
        <w:t xml:space="preserve">20,23,72,78,81,100</w:t>
      </w:r>
      <w:r>
        <w:t xml:space="preserve">, ℵ, A, B, C, 048, 0173, 0232. Jedynie P</w:t>
      </w:r>
      <w:r>
        <w:rPr>
          <w:vertAlign w:val="superscript"/>
        </w:rPr>
        <w:t xml:space="preserve">72</w:t>
      </w:r>
      <w:r>
        <w:t xml:space="preserve">, ℵ, A, B, C nie są fragmentami (048 składa się z różnych fragmentów, występujących tu i ówdzie). W kodeksie C brakuje zasadniczo rozdziałów 4 i 5 Listu Jakuba, 1 Listu Piotra i 1 Listu Jana (co ciekawe, tych samych dwóch rozdziałów we wszystkich trzech księgach), a także całego 2 Listu Jana. Oczywiście P</w:t>
      </w:r>
      <w:r>
        <w:rPr>
          <w:vertAlign w:val="superscript"/>
        </w:rPr>
        <w:t xml:space="preserve">72</w:t>
      </w:r>
      <w:r>
        <w:t xml:space="preserve"> </w:t>
      </w:r>
      <w:r>
        <w:t xml:space="preserve">zawiera tylko 1 i 2 List Piotra oraz List Judy. 0173 jest jedynym z nich, który nigdy nie staje po stronie</w:t>
      </w:r>
      <w:r>
        <w:t xml:space="preserve"> </w:t>
      </w:r>
      <w:r>
        <w:rPr>
          <w:bCs/>
          <w:b/>
        </w:rPr>
        <w:t xml:space="preserve">f</w:t>
      </w:r>
      <w:r>
        <w:rPr>
          <w:vertAlign w:val="superscript"/>
          <w:bCs/>
          <w:b/>
        </w:rPr>
        <w:t xml:space="preserve">35</w:t>
      </w:r>
      <w:r>
        <w:t xml:space="preserve">. Spośród 795 zestawów wariantów</w:t>
      </w:r>
      <w:r>
        <w:t xml:space="preserve"> </w:t>
      </w:r>
      <w:r>
        <w:rPr>
          <w:bCs/>
          <w:b/>
        </w:rPr>
        <w:t xml:space="preserve">f</w:t>
      </w:r>
      <w:r>
        <w:rPr>
          <w:vertAlign w:val="superscript"/>
          <w:bCs/>
          <w:b/>
        </w:rPr>
        <w:t xml:space="preserve">35</w:t>
      </w:r>
      <w:r>
        <w:t xml:space="preserve"> </w:t>
      </w:r>
      <w:r>
        <w:t xml:space="preserve">otrzymuje wyraźne wczesne poświadczenie w 77,9% przypadków (619 ÷ 795).</w:t>
      </w:r>
    </w:p>
    <w:p>
      <w:pPr>
        <w:pStyle w:val="BodyText"/>
      </w:pPr>
      <w:r>
        <w:t xml:space="preserve">Zanim wyciągnę wnioski, przedstawiam dowody (w zestawieniu ujęto wyłącznie kombinacje mające co najmniej jedno wystąpienie). Nawiasem mówiąc, ponieważ nie mam ani sekretarza, ani korektora, nie gwarantuję całkowitej dokładności, jednak pojedyncze przeoczenie tu czy tam nie zmieni ogólnego obrazu ani nie unieważni moich wniosków.</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rPr>
                <w:bCs/>
                <w:b/>
              </w:rPr>
              <w:t xml:space="preserve">f</w:t>
            </w:r>
            <w:r>
              <w:rPr>
                <w:vertAlign w:val="superscript"/>
                <w:bCs/>
                <w:b/>
              </w:rPr>
              <w:t xml:space="preserve">35</w:t>
            </w:r>
            <w:r>
              <w:t xml:space="preserve"> </w:t>
            </w:r>
            <w:r>
              <w:t xml:space="preserve">sam</w:t>
            </w:r>
          </w:p>
        </w:tc>
        <w:tc>
          <w:tcPr/>
          <w:p>
            <w:pPr>
              <w:pStyle w:val="Compact"/>
              <w:jc w:val="right"/>
            </w:pPr>
            <w:r>
              <w:t xml:space="preserve">53</w:t>
            </w:r>
          </w:p>
        </w:tc>
        <w:tc>
          <w:tcPr/>
          <w:p>
            <w:pPr>
              <w:pStyle w:val="Compact"/>
              <w:jc w:val="right"/>
            </w:pPr>
            <w:r>
              <w:t xml:space="preserve">45</w:t>
            </w:r>
          </w:p>
        </w:tc>
        <w:tc>
          <w:tcPr/>
          <w:p>
            <w:pPr>
              <w:pStyle w:val="Compact"/>
              <w:jc w:val="right"/>
            </w:pPr>
            <w:r>
              <w:t xml:space="preserve">17</w:t>
            </w:r>
          </w:p>
        </w:tc>
        <w:tc>
          <w:tcPr/>
          <w:p>
            <w:pPr>
              <w:pStyle w:val="Compact"/>
              <w:jc w:val="right"/>
            </w:pPr>
            <w:r>
              <w:t xml:space="preserve">31</w:t>
            </w:r>
          </w:p>
        </w:tc>
        <w:tc>
          <w:tcPr/>
          <w:p>
            <w:pPr>
              <w:pStyle w:val="Compact"/>
              <w:jc w:val="right"/>
            </w:pPr>
            <w:r>
              <w:t xml:space="preserve">17</w:t>
            </w:r>
          </w:p>
        </w:tc>
        <w:tc>
          <w:tcPr/>
          <w:p>
            <w:pPr>
              <w:pStyle w:val="Compact"/>
              <w:jc w:val="right"/>
            </w:pPr>
            <w:r>
              <w:t xml:space="preserve">13</w:t>
            </w:r>
          </w:p>
        </w:tc>
        <w:tc>
          <w:tcPr/>
          <w:p>
            <w:pPr>
              <w:pStyle w:val="Compact"/>
              <w:jc w:val="right"/>
            </w:pPr>
            <w:r>
              <w:rPr>
                <w:bCs/>
                <w:b/>
              </w:rPr>
              <w:t xml:space="preserve">176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pPr>
          </w:p>
        </w:tc>
        <w:tc>
          <w:tcPr/>
          <w:p>
            <w:pPr>
              <w:pStyle w:val="Compact"/>
              <w:jc w:val="right"/>
            </w:pPr>
            <w:r>
              <w:t xml:space="preserve">7</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jc w:val="right"/>
            </w:pPr>
            <w:r>
              <w:t xml:space="preserve">9</w:t>
            </w:r>
          </w:p>
        </w:tc>
        <w:tc>
          <w:tcPr/>
          <w:p>
            <w:pPr>
              <w:pStyle w:val="Compact"/>
              <w:jc w:val="right"/>
            </w:pPr>
            <w:r>
              <w:t xml:space="preserve">7</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w:t>
            </w:r>
          </w:p>
        </w:tc>
        <w:tc>
          <w:tcPr/>
          <w:p>
            <w:pPr>
              <w:pStyle w:val="Compact"/>
              <w:jc w:val="right"/>
            </w:pPr>
            <w:r>
              <w:rPr>
                <w:bCs/>
                <w:b/>
              </w:rPr>
              <w:t xml:space="preserve">40</w:t>
            </w: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10</w:t>
            </w:r>
          </w:p>
        </w:tc>
        <w:tc>
          <w:tcPr/>
          <w:p>
            <w:pPr>
              <w:pStyle w:val="Compact"/>
              <w:jc w:val="right"/>
            </w:pPr>
            <w:r>
              <w:t xml:space="preserve">8</w:t>
            </w:r>
          </w:p>
        </w:tc>
        <w:tc>
          <w:tcPr/>
          <w:p>
            <w:pPr>
              <w:pStyle w:val="Compact"/>
              <w:jc w:val="right"/>
            </w:pPr>
            <w:r>
              <w:t xml:space="preserve">2</w:t>
            </w:r>
          </w:p>
        </w:tc>
        <w:tc>
          <w:tcPr/>
          <w:p>
            <w:pPr>
              <w:pStyle w:val="Compact"/>
              <w:jc w:val="right"/>
            </w:pPr>
            <w:r>
              <w:t xml:space="preserve">6</w:t>
            </w:r>
          </w:p>
        </w:tc>
        <w:tc>
          <w:tcPr/>
          <w:p>
            <w:pPr>
              <w:pStyle w:val="Compact"/>
            </w:pPr>
          </w:p>
        </w:tc>
        <w:tc>
          <w:tcPr/>
          <w:p>
            <w:pPr>
              <w:pStyle w:val="Compact"/>
              <w:jc w:val="right"/>
            </w:pPr>
            <w:r>
              <w:t xml:space="preserve">1</w:t>
            </w:r>
          </w:p>
        </w:tc>
        <w:tc>
          <w:tcPr/>
          <w:p>
            <w:pPr>
              <w:pStyle w:val="Compact"/>
              <w:jc w:val="right"/>
            </w:pPr>
            <w:r>
              <w:rPr>
                <w:bCs/>
                <w:b/>
              </w:rPr>
              <w:t xml:space="preserve">27</w:t>
            </w: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right"/>
            </w:pPr>
            <w:r>
              <w:t xml:space="preserve">7</w:t>
            </w:r>
          </w:p>
        </w:tc>
        <w:tc>
          <w:tcPr/>
          <w:p>
            <w:pPr>
              <w:pStyle w:val="Compact"/>
              <w:jc w:val="right"/>
            </w:pPr>
            <w:r>
              <w:t xml:space="preserve">3</w:t>
            </w:r>
          </w:p>
        </w:tc>
        <w:tc>
          <w:tcPr/>
          <w:p>
            <w:pPr>
              <w:pStyle w:val="Compact"/>
            </w:pPr>
          </w:p>
        </w:tc>
        <w:tc>
          <w:tcPr/>
          <w:p>
            <w:pPr>
              <w:pStyle w:val="Compact"/>
              <w:jc w:val="right"/>
            </w:pPr>
            <w:r>
              <w:rPr>
                <w:bCs/>
                <w:b/>
              </w:rPr>
              <w:t xml:space="preserve">16</w:t>
            </w: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jc w:val="right"/>
            </w:pPr>
            <w:r>
              <w:t xml:space="preserve">8</w:t>
            </w:r>
          </w:p>
        </w:tc>
        <w:tc>
          <w:tcPr/>
          <w:p>
            <w:pPr>
              <w:pStyle w:val="Compact"/>
              <w:jc w:val="right"/>
            </w:pPr>
            <w:r>
              <w:t xml:space="preserve">3</w:t>
            </w:r>
          </w:p>
        </w:tc>
        <w:tc>
          <w:tcPr/>
          <w:p>
            <w:pPr>
              <w:pStyle w:val="Compact"/>
              <w:jc w:val="right"/>
            </w:pPr>
            <w:r>
              <w:t xml:space="preserve">4</w:t>
            </w:r>
          </w:p>
        </w:tc>
        <w:tc>
          <w:tcPr/>
          <w:p>
            <w:pPr>
              <w:pStyle w:val="Compact"/>
              <w:jc w:val="right"/>
            </w:pPr>
            <w:r>
              <w:t xml:space="preserve">1</w:t>
            </w:r>
          </w:p>
        </w:tc>
        <w:tc>
          <w:tcPr/>
          <w:p>
            <w:pPr>
              <w:pStyle w:val="Compact"/>
              <w:jc w:val="right"/>
            </w:pPr>
            <w:r>
              <w:t xml:space="preserve">1</w:t>
            </w:r>
          </w:p>
        </w:tc>
        <w:tc>
          <w:tcPr/>
          <w:p>
            <w:pPr>
              <w:pStyle w:val="Compact"/>
              <w:jc w:val="right"/>
            </w:pPr>
            <w:r>
              <w:rPr>
                <w:bCs/>
                <w:b/>
              </w:rPr>
              <w:t xml:space="preserve">22</w:t>
            </w: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12</w:t>
            </w:r>
          </w:p>
        </w:tc>
        <w:tc>
          <w:tcPr/>
          <w:p>
            <w:pPr>
              <w:pStyle w:val="Compact"/>
              <w:jc w:val="right"/>
            </w:pPr>
            <w:r>
              <w:t xml:space="preserve">3</w:t>
            </w: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jc w:val="right"/>
            </w:pPr>
            <w:r>
              <w:t xml:space="preserve">1</w:t>
            </w:r>
          </w:p>
        </w:tc>
        <w:tc>
          <w:tcPr/>
          <w:p>
            <w:pPr>
              <w:pStyle w:val="Compact"/>
              <w:jc w:val="right"/>
            </w:pPr>
            <w:r>
              <w:rPr>
                <w:bCs/>
                <w:b/>
              </w:rPr>
              <w:t xml:space="preserve">32</w:t>
            </w: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10</w:t>
            </w:r>
          </w:p>
        </w:tc>
        <w:tc>
          <w:tcPr/>
          <w:p>
            <w:pPr>
              <w:pStyle w:val="Compact"/>
              <w:jc w:val="right"/>
            </w:pPr>
            <w:r>
              <w:t xml:space="preserve">5</w:t>
            </w:r>
          </w:p>
        </w:tc>
        <w:tc>
          <w:tcPr/>
          <w:p>
            <w:pPr>
              <w:pStyle w:val="Compact"/>
            </w:pPr>
          </w:p>
        </w:tc>
        <w:tc>
          <w:tcPr/>
          <w:p>
            <w:pPr>
              <w:pStyle w:val="Compact"/>
              <w:jc w:val="right"/>
            </w:pPr>
            <w:r>
              <w:t xml:space="preserve">22</w:t>
            </w:r>
          </w:p>
        </w:tc>
        <w:tc>
          <w:tcPr/>
          <w:p>
            <w:pPr>
              <w:pStyle w:val="Compact"/>
              <w:jc w:val="right"/>
            </w:pPr>
            <w:r>
              <w:t xml:space="preserve">2</w:t>
            </w:r>
          </w:p>
        </w:tc>
        <w:tc>
          <w:tcPr/>
          <w:p>
            <w:pPr>
              <w:pStyle w:val="Compact"/>
            </w:pPr>
          </w:p>
        </w:tc>
        <w:tc>
          <w:tcPr/>
          <w:p>
            <w:pPr>
              <w:pStyle w:val="Compact"/>
              <w:jc w:val="right"/>
            </w:pPr>
            <w:r>
              <w:rPr>
                <w:bCs/>
                <w:b/>
              </w:rPr>
              <w:t xml:space="preserve">39</w:t>
            </w: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5</w:t>
            </w:r>
          </w:p>
        </w:tc>
        <w:tc>
          <w:tcPr/>
          <w:p>
            <w:pPr>
              <w:pStyle w:val="Compact"/>
            </w:pPr>
          </w:p>
        </w:tc>
        <w:tc>
          <w:tcPr/>
          <w:p>
            <w:pPr>
              <w:pStyle w:val="Compact"/>
              <w:jc w:val="right"/>
            </w:pPr>
            <w:r>
              <w:t xml:space="preserve">2</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12</w:t>
            </w:r>
          </w:p>
        </w:tc>
        <w:tc>
          <w:tcPr/>
          <w:p>
            <w:pPr>
              <w:pStyle w:val="Compact"/>
            </w:pPr>
          </w:p>
        </w:tc>
        <w:tc>
          <w:tcPr/>
          <w:p>
            <w:pPr>
              <w:pStyle w:val="Compact"/>
              <w:jc w:val="right"/>
            </w:pPr>
            <w:r>
              <w:t xml:space="preserve">2</w:t>
            </w:r>
          </w:p>
        </w:tc>
        <w:tc>
          <w:tcPr/>
          <w:p>
            <w:pPr>
              <w:pStyle w:val="Compact"/>
              <w:jc w:val="right"/>
            </w:pPr>
            <w:r>
              <w:rPr>
                <w:bCs/>
                <w:b/>
              </w:rPr>
              <w:t xml:space="preserve">21</w:t>
            </w: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B048</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pPr>
          </w:p>
        </w:tc>
        <w:tc>
          <w:tcPr/>
          <w:p>
            <w:pPr>
              <w:pStyle w:val="Compact"/>
              <w:jc w:val="righ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pPr>
          </w:p>
        </w:tc>
        <w:tc>
          <w:tcPr/>
          <w:p>
            <w:pPr>
              <w:pStyle w:val="Compact"/>
              <w:jc w:val="right"/>
            </w:pPr>
            <w:r>
              <w:t xml:space="preserve">4</w:t>
            </w: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5</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pPr>
          </w:p>
        </w:tc>
        <w:tc>
          <w:tcPr/>
          <w:p>
            <w:pPr>
              <w:pStyle w:val="Compact"/>
              <w:jc w:val="right"/>
            </w:pPr>
            <w:r>
              <w:t xml:space="preserve">12</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pPr>
          </w:p>
        </w:tc>
        <w:tc>
          <w:tcPr/>
          <w:p>
            <w:pPr>
              <w:pStyle w:val="Compact"/>
              <w:jc w:val="right"/>
            </w:pPr>
            <w:r>
              <w:t xml:space="preserve">1</w:t>
            </w:r>
          </w:p>
        </w:tc>
        <w:tc>
          <w:tcPr/>
          <w:p>
            <w:pPr>
              <w:pStyle w:val="Compact"/>
              <w:jc w:val="right"/>
            </w:pPr>
            <w:r>
              <w:t xml:space="preserve">13</w:t>
            </w:r>
          </w:p>
        </w:tc>
        <w:tc>
          <w:tcPr/>
          <w:p>
            <w:pPr>
              <w:pStyle w:val="Compact"/>
            </w:pPr>
          </w:p>
        </w:tc>
        <w:tc>
          <w:tcPr/>
          <w:p>
            <w:pPr>
              <w:pStyle w:val="Compact"/>
            </w:pPr>
          </w:p>
        </w:tc>
        <w:tc>
          <w:tcPr/>
          <w:p>
            <w:pPr>
              <w:pStyle w:val="Compact"/>
            </w:pPr>
          </w:p>
        </w:tc>
        <w:tc>
          <w:tcPr/>
          <w:p>
            <w:pPr>
              <w:pStyle w:val="Compact"/>
              <w:jc w:val="right"/>
            </w:pPr>
            <w:r>
              <w:rPr>
                <w:bCs/>
                <w:b/>
              </w:rPr>
              <w:t xml:space="preserve">14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8</w:t>
            </w:r>
          </w:p>
        </w:tc>
        <w:tc>
          <w:tcPr/>
          <w:p>
            <w:pPr>
              <w:pStyle w:val="Compact"/>
              <w:jc w:val="right"/>
            </w:pPr>
            <w:r>
              <w:t xml:space="preserve">4</w:t>
            </w:r>
          </w:p>
        </w:tc>
        <w:tc>
          <w:tcPr/>
          <w:p>
            <w:pPr>
              <w:pStyle w:val="Compact"/>
              <w:jc w:val="right"/>
            </w:pPr>
            <w:r>
              <w:t xml:space="preserve">1</w:t>
            </w:r>
          </w:p>
        </w:tc>
        <w:tc>
          <w:tcPr/>
          <w:p>
            <w:pPr>
              <w:pStyle w:val="Compact"/>
              <w:jc w:val="right"/>
            </w:pPr>
            <w:r>
              <w:t xml:space="preserve">11</w:t>
            </w:r>
          </w:p>
        </w:tc>
        <w:tc>
          <w:tcPr/>
          <w:p>
            <w:pPr>
              <w:pStyle w:val="Compact"/>
            </w:pPr>
          </w:p>
        </w:tc>
        <w:tc>
          <w:tcPr/>
          <w:p>
            <w:pPr>
              <w:pStyle w:val="Compact"/>
              <w:jc w:val="right"/>
            </w:pPr>
            <w:r>
              <w:t xml:space="preserve">2</w:t>
            </w:r>
          </w:p>
        </w:tc>
        <w:tc>
          <w:tcPr/>
          <w:p>
            <w:pPr>
              <w:pStyle w:val="Compact"/>
              <w:jc w:val="right"/>
            </w:pPr>
            <w:r>
              <w:rPr>
                <w:bCs/>
                <w:b/>
              </w:rPr>
              <w:t xml:space="preserve">26</w:t>
            </w: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pP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17</w:t>
            </w:r>
          </w:p>
        </w:tc>
        <w:tc>
          <w:tcPr/>
          <w:p>
            <w:pPr>
              <w:pStyle w:val="Compact"/>
              <w:jc w:val="right"/>
            </w:pPr>
            <w:r>
              <w:t xml:space="preserve">1</w:t>
            </w:r>
          </w:p>
        </w:tc>
        <w:tc>
          <w:tcPr/>
          <w:p>
            <w:pPr>
              <w:pStyle w:val="Compact"/>
              <w:jc w:val="right"/>
            </w:pPr>
            <w:r>
              <w:t xml:space="preserve">2</w:t>
            </w:r>
          </w:p>
        </w:tc>
        <w:tc>
          <w:tcPr/>
          <w:p>
            <w:pPr>
              <w:pStyle w:val="Compact"/>
              <w:jc w:val="right"/>
            </w:pPr>
            <w:r>
              <w:t xml:space="preserve">17</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ℵB048</w:t>
            </w: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8</w:t>
            </w:r>
          </w:p>
        </w:tc>
        <w:tc>
          <w:tcPr/>
          <w:p>
            <w:pPr>
              <w:pStyle w:val="Compact"/>
              <w:jc w:val="right"/>
            </w:pPr>
            <w:r>
              <w:t xml:space="preserve">5</w:t>
            </w:r>
          </w:p>
        </w:tc>
        <w:tc>
          <w:tcPr/>
          <w:p>
            <w:pPr>
              <w:pStyle w:val="Compact"/>
              <w:jc w:val="right"/>
            </w:pPr>
            <w:r>
              <w:t xml:space="preserve">2</w:t>
            </w:r>
          </w:p>
        </w:tc>
        <w:tc>
          <w:tcPr/>
          <w:p>
            <w:pPr>
              <w:pStyle w:val="Compact"/>
              <w:jc w:val="right"/>
            </w:pPr>
            <w:r>
              <w:t xml:space="preserve">15</w:t>
            </w:r>
          </w:p>
        </w:tc>
        <w:tc>
          <w:tcPr/>
          <w:p>
            <w:pPr>
              <w:pStyle w:val="Compact"/>
              <w:jc w:val="right"/>
            </w:pPr>
            <w:r>
              <w:t xml:space="preserve">3</w:t>
            </w:r>
          </w:p>
        </w:tc>
        <w:tc>
          <w:tcPr/>
          <w:p>
            <w:pPr>
              <w:pStyle w:val="Compact"/>
              <w:jc w:val="right"/>
            </w:pPr>
            <w:r>
              <w:t xml:space="preserve">2</w:t>
            </w:r>
          </w:p>
        </w:tc>
        <w:tc>
          <w:tcPr/>
          <w:p>
            <w:pPr>
              <w:pStyle w:val="Compact"/>
              <w:jc w:val="right"/>
            </w:pPr>
            <w:r>
              <w:rPr>
                <w:bCs/>
                <w:b/>
              </w:rPr>
              <w:t xml:space="preserve">35</w:t>
            </w:r>
          </w:p>
        </w:tc>
      </w:tr>
      <w:tr>
        <w:tc>
          <w:tcPr/>
          <w:p>
            <w:pPr>
              <w:pStyle w:val="Compact"/>
              <w:jc w:val="left"/>
            </w:pPr>
            <w:r>
              <w:rPr>
                <w:bCs/>
                <w:b/>
              </w:rPr>
              <w:t xml:space="preserve">f</w:t>
            </w:r>
            <w:r>
              <w:rPr>
                <w:vertAlign w:val="superscript"/>
                <w:bCs/>
                <w:b/>
              </w:rPr>
              <w:t xml:space="preserve">35</w:t>
            </w:r>
            <w:r>
              <w:t xml:space="preserve"> </w:t>
            </w:r>
            <w:r>
              <w:t xml:space="preserve">AB048</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jc w:val="right"/>
            </w:pPr>
            <w:r>
              <w:rPr>
                <w:bCs/>
                <w:b/>
              </w:rPr>
              <w:t xml:space="preserve">7</w:t>
            </w:r>
          </w:p>
        </w:tc>
      </w:tr>
      <w:tr>
        <w:tc>
          <w:tcPr/>
          <w:p>
            <w:pPr>
              <w:pStyle w:val="Compact"/>
              <w:jc w:val="left"/>
            </w:pPr>
            <w:r>
              <w:rPr>
                <w:bCs/>
                <w:b/>
              </w:rPr>
              <w:t xml:space="preserve">f</w:t>
            </w:r>
            <w:r>
              <w:rPr>
                <w:vertAlign w:val="superscript"/>
                <w:bCs/>
                <w:b/>
              </w:rPr>
              <w:t xml:space="preserve">35</w:t>
            </w:r>
            <w:r>
              <w:t xml:space="preserve"> </w:t>
            </w:r>
            <w:r>
              <w:t xml:space="preserve">AB0232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23</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pPr>
          </w:p>
        </w:tc>
        <w:tc>
          <w:tcPr/>
          <w:p>
            <w:pPr>
              <w:pStyle w:val="Compact"/>
              <w:jc w:val="right"/>
            </w:pPr>
            <w:r>
              <w:t xml:space="preserve">9</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4</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pP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pPr>
          </w:p>
        </w:tc>
        <w:tc>
          <w:tcPr/>
          <w:p>
            <w:pPr>
              <w:pStyle w:val="Compact"/>
              <w:jc w:val="right"/>
            </w:pPr>
            <w:r>
              <w:t xml:space="preserve">8</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5</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ℵBC</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1</w:t>
            </w:r>
          </w:p>
        </w:tc>
        <w:tc>
          <w:tcPr/>
          <w:p>
            <w:pPr>
              <w:pStyle w:val="Compact"/>
              <w:jc w:val="right"/>
            </w:pPr>
            <w:r>
              <w:t xml:space="preserve">11</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7</w:t>
            </w:r>
          </w:p>
        </w:tc>
        <w:tc>
          <w:tcPr/>
          <w:p>
            <w:pPr>
              <w:pStyle w:val="Compact"/>
              <w:jc w:val="right"/>
            </w:pPr>
            <w:r>
              <w:rPr>
                <w:bCs/>
                <w:b/>
              </w:rPr>
              <w:t xml:space="preserve">25</w:t>
            </w:r>
          </w:p>
        </w:tc>
      </w:tr>
      <w:tr>
        <w:tc>
          <w:tcPr/>
          <w:p>
            <w:pPr>
              <w:pStyle w:val="Compact"/>
              <w:jc w:val="left"/>
            </w:pPr>
            <w:r>
              <w:rPr>
                <w:bCs/>
                <w:b/>
              </w:rPr>
              <w:t xml:space="preserve">f</w:t>
            </w:r>
            <w:r>
              <w:rPr>
                <w:vertAlign w:val="superscript"/>
                <w:bCs/>
                <w:b/>
              </w:rPr>
              <w:t xml:space="preserve">35</w:t>
            </w:r>
            <w:r>
              <w:t xml:space="preserve"> </w:t>
            </w:r>
            <w:r>
              <w:t xml:space="preserve">ℵAC048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ℵBC048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AB048,0232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 </w:t>
            </w:r>
            <w:r>
              <w:t xml:space="preserve">ℵAB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72,81</w:t>
            </w:r>
            <w:r>
              <w:t xml:space="preserve"> </w:t>
            </w:r>
            <w:r>
              <w:t xml:space="preserve">ℵBC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jc w:val="right"/>
            </w:pPr>
            <w:r>
              <w:t xml:space="preserve">6</w:t>
            </w:r>
          </w:p>
        </w:tc>
        <w:tc>
          <w:tcPr/>
          <w:p>
            <w:pPr>
              <w:pStyle w:val="Compact"/>
            </w:pP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ℵAC048</w:t>
            </w: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ABC048</w:t>
            </w:r>
          </w:p>
        </w:tc>
        <w:tc>
          <w:tcPr/>
          <w:p>
            <w:pPr>
              <w:pStyle w:val="Compact"/>
            </w:pP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78</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ℵABC048</w:t>
            </w:r>
          </w:p>
        </w:tc>
        <w:tc>
          <w:tcPr/>
          <w:p>
            <w:pPr>
              <w:pStyle w:val="Compact"/>
            </w:pPr>
          </w:p>
        </w:tc>
        <w:tc>
          <w:tcPr/>
          <w:p>
            <w:pPr>
              <w:pStyle w:val="Compact"/>
              <w:jc w:val="right"/>
            </w:pPr>
            <w:r>
              <w:t xml:space="preserve">3</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t xml:space="preserve">Łącznie z uncjałem</w:t>
            </w:r>
          </w:p>
        </w:tc>
        <w:tc>
          <w:tcPr/>
          <w:p>
            <w:pPr>
              <w:pStyle w:val="Compact"/>
              <w:jc w:val="right"/>
            </w:pPr>
            <w:r>
              <w:t xml:space="preserve">127</w:t>
            </w:r>
          </w:p>
        </w:tc>
        <w:tc>
          <w:tcPr/>
          <w:p>
            <w:pPr>
              <w:pStyle w:val="Compact"/>
              <w:jc w:val="right"/>
            </w:pPr>
            <w:r>
              <w:t xml:space="preserve">155</w:t>
            </w:r>
          </w:p>
        </w:tc>
        <w:tc>
          <w:tcPr/>
          <w:p>
            <w:pPr>
              <w:pStyle w:val="Compact"/>
              <w:jc w:val="right"/>
            </w:pPr>
            <w:r>
              <w:t xml:space="preserve">95</w:t>
            </w:r>
          </w:p>
        </w:tc>
        <w:tc>
          <w:tcPr/>
          <w:p>
            <w:pPr>
              <w:pStyle w:val="Compact"/>
              <w:jc w:val="right"/>
            </w:pPr>
            <w:r>
              <w:t xml:space="preserve">147</w:t>
            </w:r>
          </w:p>
        </w:tc>
        <w:tc>
          <w:tcPr/>
          <w:p>
            <w:pPr>
              <w:pStyle w:val="Compact"/>
              <w:jc w:val="right"/>
            </w:pPr>
            <w:r>
              <w:t xml:space="preserve">38</w:t>
            </w:r>
          </w:p>
        </w:tc>
        <w:tc>
          <w:tcPr/>
          <w:p>
            <w:pPr>
              <w:pStyle w:val="Compact"/>
              <w:jc w:val="right"/>
            </w:pPr>
            <w:r>
              <w:t xml:space="preserve">48</w:t>
            </w:r>
          </w:p>
        </w:tc>
        <w:tc>
          <w:tcPr/>
          <w:p>
            <w:pPr>
              <w:pStyle w:val="Compact"/>
              <w:jc w:val="right"/>
            </w:pPr>
            <w:r>
              <w:rPr>
                <w:bCs/>
                <w:b/>
              </w:rPr>
              <w:t xml:space="preserve">619</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z udziałem P</w:t>
            </w:r>
            <w:r>
              <w:rPr>
                <w:vertAlign w:val="superscript"/>
              </w:rPr>
              <w:t xml:space="preserve">20</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23</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72</w:t>
            </w:r>
          </w:p>
        </w:tc>
        <w:tc>
          <w:tcPr/>
          <w:p>
            <w:pPr>
              <w:pStyle w:val="Compact"/>
              <w:jc w:val="center"/>
            </w:pPr>
            <w:r>
              <w:t xml:space="preserve">—</w:t>
            </w:r>
          </w:p>
        </w:tc>
        <w:tc>
          <w:tcPr/>
          <w:p>
            <w:pPr>
              <w:pStyle w:val="Compact"/>
              <w:jc w:val="right"/>
            </w:pPr>
            <w:r>
              <w:rPr>
                <w:bCs/>
                <w:b/>
              </w:rPr>
              <w:t xml:space="preserve">153</w:t>
            </w:r>
          </w:p>
        </w:tc>
      </w:tr>
      <w:tr>
        <w:tc>
          <w:tcPr/>
          <w:p>
            <w:pPr>
              <w:pStyle w:val="Compact"/>
              <w:jc w:val="left"/>
            </w:pPr>
            <w:r>
              <w:t xml:space="preserve">z udziałem P</w:t>
            </w:r>
            <w:r>
              <w:rPr>
                <w:vertAlign w:val="superscript"/>
              </w:rPr>
              <w:t xml:space="preserve">78</w:t>
            </w:r>
          </w:p>
        </w:tc>
        <w:tc>
          <w:tcPr/>
          <w:p>
            <w:pPr>
              <w:pStyle w:val="Compact"/>
              <w:jc w:val="center"/>
            </w:pPr>
            <w:r>
              <w:t xml:space="preserve">—</w:t>
            </w:r>
          </w:p>
        </w:tc>
        <w:tc>
          <w:tcPr/>
          <w:p>
            <w:pPr>
              <w:pStyle w:val="Compact"/>
              <w:jc w:val="right"/>
            </w:pPr>
            <w:r>
              <w:rPr>
                <w:bCs/>
                <w:b/>
              </w:rPr>
              <w:t xml:space="preserve">3</w:t>
            </w:r>
          </w:p>
        </w:tc>
      </w:tr>
      <w:tr>
        <w:tc>
          <w:tcPr/>
          <w:p>
            <w:pPr>
              <w:pStyle w:val="Compact"/>
              <w:jc w:val="left"/>
            </w:pPr>
            <w:r>
              <w:t xml:space="preserve">z udziałem P</w:t>
            </w:r>
            <w:r>
              <w:rPr>
                <w:vertAlign w:val="superscript"/>
              </w:rPr>
              <w:t xml:space="preserve">81</w:t>
            </w:r>
          </w:p>
        </w:tc>
        <w:tc>
          <w:tcPr/>
          <w:p>
            <w:pPr>
              <w:pStyle w:val="Compact"/>
              <w:jc w:val="center"/>
            </w:pPr>
            <w:r>
              <w:t xml:space="preserve">—</w:t>
            </w:r>
          </w:p>
        </w:tc>
        <w:tc>
          <w:tcPr/>
          <w:p>
            <w:pPr>
              <w:pStyle w:val="Compact"/>
              <w:jc w:val="right"/>
            </w:pPr>
            <w:r>
              <w:rPr>
                <w:bCs/>
                <w:b/>
              </w:rPr>
              <w:t xml:space="preserve">4</w:t>
            </w:r>
          </w:p>
        </w:tc>
      </w:tr>
      <w:tr>
        <w:tc>
          <w:tcPr/>
          <w:p>
            <w:pPr>
              <w:pStyle w:val="Compact"/>
              <w:jc w:val="left"/>
            </w:pPr>
            <w:r>
              <w:t xml:space="preserve">z udziałem P</w:t>
            </w:r>
            <w:r>
              <w:rPr>
                <w:vertAlign w:val="superscript"/>
              </w:rPr>
              <w:t xml:space="preserve">100</w:t>
            </w:r>
          </w:p>
        </w:tc>
        <w:tc>
          <w:tcPr/>
          <w:p>
            <w:pPr>
              <w:pStyle w:val="Compact"/>
              <w:jc w:val="center"/>
            </w:pPr>
            <w:r>
              <w:t xml:space="preserve">—</w:t>
            </w:r>
          </w:p>
        </w:tc>
        <w:tc>
          <w:tcPr/>
          <w:p>
            <w:pPr>
              <w:pStyle w:val="Compact"/>
              <w:jc w:val="right"/>
            </w:pPr>
            <w:r>
              <w:rPr>
                <w:bCs/>
                <w:b/>
              </w:rPr>
              <w:t xml:space="preserve">12</w:t>
            </w:r>
          </w:p>
        </w:tc>
      </w:tr>
      <w:tr>
        <w:tc>
          <w:tcPr/>
          <w:p>
            <w:pPr>
              <w:pStyle w:val="Compact"/>
              <w:jc w:val="left"/>
            </w:pPr>
            <w:r>
              <w:t xml:space="preserve">z udziałem ℵ</w:t>
            </w:r>
          </w:p>
        </w:tc>
        <w:tc>
          <w:tcPr/>
          <w:p>
            <w:pPr>
              <w:pStyle w:val="Compact"/>
              <w:jc w:val="center"/>
            </w:pPr>
            <w:r>
              <w:t xml:space="preserve">—</w:t>
            </w:r>
          </w:p>
        </w:tc>
        <w:tc>
          <w:tcPr/>
          <w:p>
            <w:pPr>
              <w:pStyle w:val="Compact"/>
              <w:jc w:val="right"/>
            </w:pPr>
            <w:r>
              <w:rPr>
                <w:bCs/>
                <w:b/>
              </w:rPr>
              <w:t xml:space="preserve">356</w:t>
            </w:r>
          </w:p>
        </w:tc>
      </w:tr>
      <w:tr>
        <w:tc>
          <w:tcPr/>
          <w:p>
            <w:pPr>
              <w:pStyle w:val="Compact"/>
              <w:jc w:val="left"/>
            </w:pPr>
            <w:r>
              <w:t xml:space="preserve">z udziałem A</w:t>
            </w:r>
          </w:p>
        </w:tc>
        <w:tc>
          <w:tcPr/>
          <w:p>
            <w:pPr>
              <w:pStyle w:val="Compact"/>
              <w:jc w:val="center"/>
            </w:pPr>
            <w:r>
              <w:t xml:space="preserve">—</w:t>
            </w:r>
          </w:p>
        </w:tc>
        <w:tc>
          <w:tcPr/>
          <w:p>
            <w:pPr>
              <w:pStyle w:val="Compact"/>
              <w:jc w:val="right"/>
            </w:pPr>
            <w:r>
              <w:rPr>
                <w:bCs/>
                <w:b/>
              </w:rPr>
              <w:t xml:space="preserve">356</w:t>
            </w:r>
            <w:r>
              <w:rPr>
                <w:rStyle w:val="FootnoteReference"/>
              </w:rPr>
              <w:footnoteReference w:id="238"/>
            </w:r>
          </w:p>
        </w:tc>
      </w:tr>
      <w:tr>
        <w:tc>
          <w:tcPr/>
          <w:p>
            <w:pPr>
              <w:pStyle w:val="Compact"/>
              <w:jc w:val="left"/>
            </w:pPr>
            <w:r>
              <w:t xml:space="preserve">z udziałem B</w:t>
            </w:r>
          </w:p>
        </w:tc>
        <w:tc>
          <w:tcPr/>
          <w:p>
            <w:pPr>
              <w:pStyle w:val="Compact"/>
              <w:jc w:val="center"/>
            </w:pPr>
            <w:r>
              <w:t xml:space="preserve">—</w:t>
            </w:r>
          </w:p>
        </w:tc>
        <w:tc>
          <w:tcPr/>
          <w:p>
            <w:pPr>
              <w:pStyle w:val="Compact"/>
              <w:jc w:val="right"/>
            </w:pPr>
            <w:r>
              <w:rPr>
                <w:bCs/>
                <w:b/>
              </w:rPr>
              <w:t xml:space="preserve">378</w:t>
            </w:r>
          </w:p>
        </w:tc>
      </w:tr>
      <w:tr>
        <w:tc>
          <w:tcPr/>
          <w:p>
            <w:pPr>
              <w:pStyle w:val="Compact"/>
              <w:jc w:val="left"/>
            </w:pPr>
            <w:r>
              <w:t xml:space="preserve">z udziałem C</w:t>
            </w:r>
          </w:p>
        </w:tc>
        <w:tc>
          <w:tcPr/>
          <w:p>
            <w:pPr>
              <w:pStyle w:val="Compact"/>
              <w:jc w:val="center"/>
            </w:pPr>
            <w:r>
              <w:t xml:space="preserve">—</w:t>
            </w:r>
          </w:p>
        </w:tc>
        <w:tc>
          <w:tcPr/>
          <w:p>
            <w:pPr>
              <w:pStyle w:val="Compact"/>
              <w:jc w:val="right"/>
            </w:pPr>
            <w:r>
              <w:rPr>
                <w:bCs/>
                <w:b/>
              </w:rPr>
              <w:t xml:space="preserve">285</w:t>
            </w:r>
          </w:p>
        </w:tc>
      </w:tr>
      <w:tr>
        <w:tc>
          <w:tcPr/>
          <w:p>
            <w:pPr>
              <w:pStyle w:val="Compact"/>
              <w:jc w:val="left"/>
            </w:pPr>
            <w:r>
              <w:t xml:space="preserve">z udziałem 048</w:t>
            </w:r>
          </w:p>
        </w:tc>
        <w:tc>
          <w:tcPr/>
          <w:p>
            <w:pPr>
              <w:pStyle w:val="Compact"/>
              <w:jc w:val="center"/>
            </w:pPr>
            <w:r>
              <w:t xml:space="preserve">—</w:t>
            </w:r>
          </w:p>
        </w:tc>
        <w:tc>
          <w:tcPr/>
          <w:p>
            <w:pPr>
              <w:pStyle w:val="Compact"/>
              <w:jc w:val="right"/>
            </w:pPr>
            <w:r>
              <w:rPr>
                <w:bCs/>
                <w:b/>
              </w:rPr>
              <w:t xml:space="preserve">62</w:t>
            </w:r>
          </w:p>
        </w:tc>
      </w:tr>
      <w:tr>
        <w:tc>
          <w:tcPr/>
          <w:p>
            <w:pPr>
              <w:pStyle w:val="Compact"/>
              <w:jc w:val="left"/>
            </w:pPr>
            <w:r>
              <w:t xml:space="preserve">z udziałem 0232</w:t>
            </w:r>
          </w:p>
        </w:tc>
        <w:tc>
          <w:tcPr/>
          <w:p>
            <w:pPr>
              <w:pStyle w:val="Compact"/>
              <w:jc w:val="center"/>
            </w:pPr>
            <w:r>
              <w:t xml:space="preserve">—</w:t>
            </w:r>
          </w:p>
        </w:tc>
        <w:tc>
          <w:tcPr/>
          <w:p>
            <w:pPr>
              <w:pStyle w:val="Compact"/>
              <w:jc w:val="right"/>
            </w:pPr>
            <w:r>
              <w:rPr>
                <w:bCs/>
                <w:b/>
              </w:rPr>
              <w:t xml:space="preserve">4</w:t>
            </w:r>
          </w:p>
        </w:tc>
      </w:tr>
    </w:tbl>
    <w:p>
      <w:pPr>
        <w:pStyle w:val="BodyText"/>
      </w:pPr>
      <w:r>
        <w:t xml:space="preserve">Każdy z tych dwunastu uncjałów jest wyraźnie niezależny od wszystkich pozostałych.</w:t>
      </w:r>
      <w:r>
        <w:rPr>
          <w:rStyle w:val="FootnoteReference"/>
        </w:rPr>
        <w:footnoteReference w:id="239"/>
      </w:r>
      <w:r>
        <w:t xml:space="preserve"> </w:t>
      </w:r>
      <w:r>
        <w:t xml:space="preserve">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ody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ody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ody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bookmarkEnd w:id="240"/>
    <w:bookmarkStart w:id="243" w:name="X2a827fc589c949488f2b24c5688bbe169993ad9"/>
    <w:p>
      <w:pPr>
        <w:pStyle w:val="Heading2"/>
      </w:pPr>
      <w:r>
        <w:t xml:space="preserve">Profil Rodziny 35 w Dziejach Apostolskich: starożytny i niezależny</w:t>
      </w:r>
    </w:p>
    <w:p>
      <w:pPr>
        <w:pStyle w:val="FirstParagraph"/>
      </w:pPr>
      <w:r>
        <w:t xml:space="preserve">Do mojego opublikowanego profilu Dziejów Apostolskich dodałem świadków z pierwszych pięciu wieków, tak jak odnotowano ich w aparacie krytycznym mojego greckiego Tekstu. To znaczy, że pokazuję tylko tych, którzy zgadzają się z Rodziną 35, tam gdzie ma to miejsce. Sprawdziłem jednak również dowody przedstawione w</w:t>
      </w:r>
      <w:r>
        <w:t xml:space="preserve"> </w:t>
      </w:r>
      <w:r>
        <w:rPr>
          <w:iCs/>
          <w:i/>
        </w:rPr>
        <w:t xml:space="preserve">Editio Critica Maior</w:t>
      </w:r>
      <w:r>
        <w:t xml:space="preserve"> </w:t>
      </w:r>
      <w:r>
        <w:t xml:space="preserve">dla Dziejów Apostolskich, co skłoniło mnie do wprowadzenia zmian w około 60% poniższej listy zestawów wariantów. Będę więc musiał zrewidować swój opublikowany profil. Nie skolacjonowałem żadnego z tych wczesnych świadków, po prostu przepisałem informacje z innych źródeł. Ewentualny sporadyczny błąd nie zmieni siły mojego argumentu.</w:t>
      </w:r>
    </w:p>
    <w:bookmarkStart w:id="242" w:name="dzieje-apostolskie"/>
    <w:p>
      <w:pPr>
        <w:pStyle w:val="Heading3"/>
      </w:pPr>
      <w:r>
        <w:t xml:space="preserve">Dzieje Apostolskie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 C, D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w:t>
            </w:r>
            <w:r>
              <w:t xml:space="preserve"> </w:t>
            </w:r>
            <w:r>
              <w:rPr>
                <w:bCs/>
                <w:b/>
              </w:rPr>
              <w:t xml:space="preserve">f</w:t>
            </w:r>
            <w:r>
              <w:rPr>
                <w:vertAlign w:val="superscript"/>
                <w:bCs/>
                <w:b/>
              </w:rPr>
              <w:t xml:space="preserve">35</w:t>
            </w:r>
            <w:r>
              <w:t xml:space="preserve"> </w:t>
            </w:r>
            <w:r>
              <w:t xml:space="preserve">[20%]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w:t>
            </w:r>
            <w:r>
              <w:t xml:space="preserve"> </w:t>
            </w:r>
            <w:r>
              <w:rPr>
                <w:bCs/>
                <w:b/>
              </w:rPr>
              <w:t xml:space="preserve">f</w:t>
            </w:r>
            <w:r>
              <w:rPr>
                <w:vertAlign w:val="superscript"/>
                <w:bCs/>
                <w:b/>
              </w:rPr>
              <w:t xml:space="preserve">35</w:t>
            </w:r>
            <w:r>
              <w:t xml:space="preserve"> </w:t>
            </w:r>
            <w:r>
              <w:t xml:space="preserve">[25%]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w:t>
            </w:r>
            <w:r>
              <w:t xml:space="preserve"> </w:t>
            </w:r>
            <w:r>
              <w:rPr>
                <w:bCs/>
                <w:b/>
              </w:rPr>
              <w:t xml:space="preserve">f</w:t>
            </w:r>
            <w:r>
              <w:rPr>
                <w:vertAlign w:val="superscript"/>
                <w:bCs/>
                <w:b/>
              </w:rPr>
              <w:t xml:space="preserve">35</w:t>
            </w:r>
            <w:r>
              <w:t xml:space="preserve"> </w:t>
            </w:r>
            <w:r>
              <w:t xml:space="preserve">[25%]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w:t>
            </w:r>
            <w:r>
              <w:t xml:space="preserve"> </w:t>
            </w:r>
            <w:r>
              <w:rPr>
                <w:bCs/>
                <w:b/>
              </w:rPr>
              <w:t xml:space="preserve">f</w:t>
            </w:r>
            <w:r>
              <w:rPr>
                <w:vertAlign w:val="superscript"/>
                <w:bCs/>
                <w:b/>
              </w:rPr>
              <w:t xml:space="preserve">35</w:t>
            </w:r>
            <w:r>
              <w:t xml:space="preserve"> </w:t>
            </w:r>
            <w:r>
              <w:t xml:space="preserve">ℵ, A, B, C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w:t>
            </w:r>
            <w:r>
              <w:t xml:space="preserve"> </w:t>
            </w:r>
            <w:r>
              <w:rPr>
                <w:bCs/>
                <w:b/>
              </w:rPr>
              <w:t xml:space="preserve">f</w:t>
            </w:r>
            <w:r>
              <w:rPr>
                <w:vertAlign w:val="superscript"/>
                <w:bCs/>
                <w:b/>
              </w:rPr>
              <w:t xml:space="preserve">35</w:t>
            </w:r>
            <w:r>
              <w:t xml:space="preserve"> </w:t>
            </w:r>
            <w:r>
              <w:t xml:space="preserve">[20%]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w:t>
            </w:r>
            <w:r>
              <w:t xml:space="preserve"> </w:t>
            </w:r>
            <w:r>
              <w:rPr>
                <w:bCs/>
                <w:b/>
              </w:rPr>
              <w:t xml:space="preserve">f</w:t>
            </w:r>
            <w:r>
              <w:rPr>
                <w:vertAlign w:val="superscript"/>
                <w:bCs/>
                <w:b/>
              </w:rPr>
              <w:t xml:space="preserve">35</w:t>
            </w:r>
            <w:r>
              <w:t xml:space="preserve"> </w:t>
            </w:r>
            <w:r>
              <w:t xml:space="preserve">[20%]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B,D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w:t>
            </w:r>
            <w:r>
              <w:t xml:space="preserve"> </w:t>
            </w:r>
            <w:r>
              <w:rPr>
                <w:bCs/>
                <w:b/>
              </w:rPr>
              <w:t xml:space="preserve">f</w:t>
            </w:r>
            <w:r>
              <w:rPr>
                <w:vertAlign w:val="superscript"/>
                <w:bCs/>
                <w:b/>
              </w:rPr>
              <w:t xml:space="preserve">35</w:t>
            </w:r>
            <w:r>
              <w:t xml:space="preserve"> </w:t>
            </w:r>
            <w:r>
              <w:t xml:space="preserve">[25%]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A, B, D(0165)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w:t>
            </w:r>
            <w:r>
              <w:t xml:space="preserve"> </w:t>
            </w:r>
            <w:r>
              <w:rPr>
                <w:bCs/>
                <w:b/>
              </w:rPr>
              <w:t xml:space="preserve">f</w:t>
            </w:r>
            <w:r>
              <w:rPr>
                <w:vertAlign w:val="superscript"/>
                <w:bCs/>
                <w:b/>
              </w:rPr>
              <w:t xml:space="preserve">35</w:t>
            </w:r>
            <w:r>
              <w:t xml:space="preserve"> </w:t>
            </w:r>
            <w:r>
              <w:t xml:space="preserve">ℵ, A, B, 0165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w:t>
            </w:r>
            <w:r>
              <w:t xml:space="preserve"> </w:t>
            </w:r>
            <w:r>
              <w:rPr>
                <w:bCs/>
                <w:b/>
              </w:rPr>
              <w:t xml:space="preserve">f</w:t>
            </w:r>
            <w:r>
              <w:rPr>
                <w:vertAlign w:val="superscript"/>
                <w:bCs/>
                <w:b/>
              </w:rPr>
              <w:t xml:space="preserve">35</w:t>
            </w:r>
            <w:r>
              <w:t xml:space="preserve"> </w:t>
            </w:r>
            <w:r>
              <w:t xml:space="preserve">A,0165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w:t>
            </w:r>
            <w:r>
              <w:t xml:space="preserve"> </w:t>
            </w:r>
            <w:r>
              <w:rPr>
                <w:bCs/>
                <w:b/>
              </w:rPr>
              <w:t xml:space="preserve">f</w:t>
            </w:r>
            <w:r>
              <w:rPr>
                <w:vertAlign w:val="superscript"/>
                <w:bCs/>
                <w:b/>
              </w:rPr>
              <w:t xml:space="preserve">35</w:t>
            </w:r>
            <w:r>
              <w:t xml:space="preserve"> </w:t>
            </w:r>
            <w:r>
              <w:t xml:space="preserve">[20%]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w:t>
            </w:r>
            <w:r>
              <w:t xml:space="preserve"> </w:t>
            </w:r>
            <w:r>
              <w:rPr>
                <w:bCs/>
                <w:b/>
              </w:rPr>
              <w:t xml:space="preserve">f</w:t>
            </w:r>
            <w:r>
              <w:rPr>
                <w:vertAlign w:val="superscript"/>
                <w:bCs/>
                <w:b/>
              </w:rPr>
              <w:t xml:space="preserve">35</w:t>
            </w:r>
            <w:r>
              <w:t xml:space="preserve"> </w:t>
            </w:r>
            <w:r>
              <w:t xml:space="preserve">[20%]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w:t>
            </w:r>
            <w:r>
              <w:t xml:space="preserve"> </w:t>
            </w:r>
            <w:r>
              <w:rPr>
                <w:bCs/>
                <w:b/>
              </w:rPr>
              <w:t xml:space="preserve">f</w:t>
            </w:r>
            <w:r>
              <w:rPr>
                <w:vertAlign w:val="superscript"/>
                <w:bCs/>
                <w:b/>
              </w:rPr>
              <w:t xml:space="preserve">35</w:t>
            </w:r>
            <w:r>
              <w:t xml:space="preserve"> </w:t>
            </w:r>
            <w:r>
              <w:t xml:space="preserve">(ℵ)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w:t>
            </w:r>
            <w:r>
              <w:t xml:space="preserve"> </w:t>
            </w:r>
            <w:r>
              <w:rPr>
                <w:bCs/>
                <w:b/>
              </w:rPr>
              <w:t xml:space="preserve">f</w:t>
            </w:r>
            <w:r>
              <w:rPr>
                <w:vertAlign w:val="superscript"/>
                <w:bCs/>
                <w:b/>
              </w:rPr>
              <w:t xml:space="preserve">35</w:t>
            </w:r>
            <w:r>
              <w:t xml:space="preserve"> </w:t>
            </w:r>
            <w:r>
              <w:t xml:space="preserve">P</w:t>
            </w:r>
            <w:r>
              <w:rPr>
                <w:vertAlign w:val="superscript"/>
              </w:rPr>
              <w:t xml:space="preserve">8</w:t>
            </w:r>
            <w:r>
              <w:t xml:space="preserve">(ℵ)A,B,D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w:t>
            </w:r>
            <w:r>
              <w:t xml:space="preserve"> </w:t>
            </w:r>
            <w:r>
              <w:rPr>
                <w:bCs/>
                <w:b/>
              </w:rPr>
              <w:t xml:space="preserve">f</w:t>
            </w:r>
            <w:r>
              <w:rPr>
                <w:vertAlign w:val="superscript"/>
                <w:bCs/>
                <w:b/>
              </w:rPr>
              <w:t xml:space="preserve">35</w:t>
            </w:r>
            <w:r>
              <w:t xml:space="preserve"> </w:t>
            </w:r>
            <w:r>
              <w:t xml:space="preserve">A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w:t>
            </w:r>
            <w:r>
              <w:t xml:space="preserve"> </w:t>
            </w:r>
            <w:r>
              <w:rPr>
                <w:bCs/>
                <w:b/>
              </w:rPr>
              <w:t xml:space="preserve">f</w:t>
            </w:r>
            <w:r>
              <w:rPr>
                <w:vertAlign w:val="superscript"/>
                <w:bCs/>
                <w:b/>
              </w:rPr>
              <w:t xml:space="preserve">35</w:t>
            </w:r>
            <w:r>
              <w:t xml:space="preserve"> </w:t>
            </w:r>
            <w:r>
              <w:t xml:space="preserve">ℵ, A(B)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w:t>
            </w:r>
            <w:r>
              <w:t xml:space="preserve"> </w:t>
            </w:r>
            <w:r>
              <w:rPr>
                <w:bCs/>
                <w:b/>
              </w:rPr>
              <w:t xml:space="preserve">f</w:t>
            </w:r>
            <w:r>
              <w:rPr>
                <w:vertAlign w:val="superscript"/>
                <w:bCs/>
                <w:b/>
              </w:rPr>
              <w:t xml:space="preserve">35</w:t>
            </w:r>
            <w:r>
              <w:t xml:space="preserve"> </w:t>
            </w:r>
            <w:r>
              <w:t xml:space="preserve">B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D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w:t>
            </w:r>
            <w:r>
              <w:t xml:space="preserve"> </w:t>
            </w:r>
            <w:r>
              <w:rPr>
                <w:bCs/>
                <w:b/>
              </w:rPr>
              <w:t xml:space="preserve">f</w:t>
            </w:r>
            <w:r>
              <w:rPr>
                <w:vertAlign w:val="superscript"/>
                <w:bCs/>
                <w:b/>
              </w:rPr>
              <w:t xml:space="preserve">35</w:t>
            </w:r>
            <w:r>
              <w:t xml:space="preserve"> </w:t>
            </w:r>
            <w:r>
              <w:t xml:space="preserve">ℵ, A, B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A, B, C, D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w:t>
            </w:r>
            <w:r>
              <w:t xml:space="preserve"> </w:t>
            </w:r>
            <w:r>
              <w:rPr>
                <w:bCs/>
                <w:b/>
              </w:rPr>
              <w:t xml:space="preserve">f</w:t>
            </w:r>
            <w:r>
              <w:rPr>
                <w:vertAlign w:val="superscript"/>
                <w:bCs/>
                <w:b/>
              </w:rPr>
              <w:t xml:space="preserve">35</w:t>
            </w:r>
            <w:r>
              <w:t xml:space="preserve"> </w:t>
            </w:r>
            <w:r>
              <w:t xml:space="preserve">B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w:t>
            </w:r>
            <w:r>
              <w:t xml:space="preserve"> </w:t>
            </w:r>
            <w:r>
              <w:rPr>
                <w:bCs/>
                <w:b/>
              </w:rPr>
              <w:t xml:space="preserve">f</w:t>
            </w:r>
            <w:r>
              <w:rPr>
                <w:vertAlign w:val="superscript"/>
                <w:bCs/>
                <w:b/>
              </w:rPr>
              <w:t xml:space="preserve">35</w:t>
            </w:r>
            <w:r>
              <w:t xml:space="preserve"> </w:t>
            </w:r>
            <w:r>
              <w:t xml:space="preserve">[18%]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w:t>
            </w:r>
            <w:r>
              <w:t xml:space="preserve"> </w:t>
            </w:r>
            <w:r>
              <w:rPr>
                <w:bCs/>
                <w:b/>
              </w:rPr>
              <w:t xml:space="preserve">f</w:t>
            </w:r>
            <w:r>
              <w:rPr>
                <w:vertAlign w:val="superscript"/>
                <w:bCs/>
                <w:b/>
              </w:rPr>
              <w:t xml:space="preserve">35</w:t>
            </w:r>
            <w:r>
              <w:t xml:space="preserve"> </w:t>
            </w:r>
            <w:r>
              <w:t xml:space="preserve">ℵ, A, B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w:t>
            </w:r>
            <w:r>
              <w:t xml:space="preserve"> </w:t>
            </w:r>
            <w:r>
              <w:rPr>
                <w:bCs/>
                <w:b/>
              </w:rPr>
              <w:t xml:space="preserve">f</w:t>
            </w:r>
            <w:r>
              <w:rPr>
                <w:vertAlign w:val="superscript"/>
                <w:bCs/>
                <w:b/>
              </w:rPr>
              <w:t xml:space="preserve">35</w:t>
            </w:r>
            <w:r>
              <w:t xml:space="preserve"> </w:t>
            </w:r>
            <w:r>
              <w:t xml:space="preserve">B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w:t>
            </w:r>
            <w:r>
              <w:t xml:space="preserve"> </w:t>
            </w:r>
            <w:r>
              <w:rPr>
                <w:bCs/>
                <w:b/>
              </w:rPr>
              <w:t xml:space="preserve">f</w:t>
            </w:r>
            <w:r>
              <w:rPr>
                <w:vertAlign w:val="superscript"/>
                <w:bCs/>
                <w:b/>
              </w:rPr>
              <w:t xml:space="preserve">35</w:t>
            </w:r>
            <w:r>
              <w:t xml:space="preserve"> </w:t>
            </w:r>
            <w:r>
              <w:t xml:space="preserve">ℵ, A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w:t>
            </w:r>
            <w:r>
              <w:t xml:space="preserve"> </w:t>
            </w:r>
            <w:r>
              <w:rPr>
                <w:bCs/>
                <w:b/>
              </w:rPr>
              <w:t xml:space="preserve">f</w:t>
            </w:r>
            <w:r>
              <w:rPr>
                <w:vertAlign w:val="superscript"/>
                <w:bCs/>
                <w:b/>
              </w:rPr>
              <w:t xml:space="preserve">35</w:t>
            </w:r>
            <w:r>
              <w:t xml:space="preserve"> </w:t>
            </w:r>
            <w:r>
              <w:t xml:space="preserve">ℵ, A, B, C, D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D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w:t>
            </w:r>
            <w:r>
              <w:t xml:space="preserve"> </w:t>
            </w:r>
            <w:r>
              <w:rPr>
                <w:bCs/>
                <w:b/>
              </w:rPr>
              <w:t xml:space="preserve">f</w:t>
            </w:r>
            <w:r>
              <w:rPr>
                <w:vertAlign w:val="superscript"/>
                <w:bCs/>
                <w:b/>
              </w:rPr>
              <w:t xml:space="preserve">35</w:t>
            </w:r>
            <w:r>
              <w:t xml:space="preserve"> </w:t>
            </w:r>
            <w:r>
              <w:t xml:space="preserve">[30%]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w:t>
            </w:r>
            <w:r>
              <w:t xml:space="preserve"> </w:t>
            </w:r>
            <w:r>
              <w:rPr>
                <w:bCs/>
                <w:b/>
              </w:rPr>
              <w:t xml:space="preserve">f</w:t>
            </w:r>
            <w:r>
              <w:rPr>
                <w:vertAlign w:val="superscript"/>
                <w:bCs/>
                <w:b/>
              </w:rPr>
              <w:t xml:space="preserve">35</w:t>
            </w:r>
            <w:r>
              <w:t xml:space="preserve"> </w:t>
            </w:r>
            <w:r>
              <w:t xml:space="preserve">ℵ, A, B, C, D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w:t>
            </w:r>
            <w:r>
              <w:t xml:space="preserve"> </w:t>
            </w:r>
            <w:r>
              <w:rPr>
                <w:bCs/>
                <w:b/>
              </w:rPr>
              <w:t xml:space="preserve">f</w:t>
            </w:r>
            <w:r>
              <w:rPr>
                <w:vertAlign w:val="superscript"/>
                <w:bCs/>
                <w:b/>
              </w:rPr>
              <w:t xml:space="preserve">35</w:t>
            </w:r>
            <w:r>
              <w:t xml:space="preserve"> </w:t>
            </w:r>
            <w:r>
              <w:t xml:space="preserve">[22%]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w:t>
            </w:r>
            <w:r>
              <w:t xml:space="preserve"> </w:t>
            </w:r>
            <w:r>
              <w:rPr>
                <w:bCs/>
                <w:b/>
              </w:rPr>
              <w:t xml:space="preserve">f</w:t>
            </w:r>
            <w:r>
              <w:rPr>
                <w:vertAlign w:val="superscript"/>
                <w:bCs/>
                <w:b/>
              </w:rPr>
              <w:t xml:space="preserve">35</w:t>
            </w:r>
            <w:r>
              <w:t xml:space="preserve"> </w:t>
            </w:r>
            <w:r>
              <w:t xml:space="preserve">[18%]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A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w:t>
            </w:r>
            <w:r>
              <w:t xml:space="preserve"> </w:t>
            </w:r>
            <w:r>
              <w:rPr>
                <w:bCs/>
                <w:b/>
              </w:rPr>
              <w:t xml:space="preserve">f</w:t>
            </w:r>
            <w:r>
              <w:rPr>
                <w:vertAlign w:val="superscript"/>
                <w:bCs/>
                <w:b/>
              </w:rPr>
              <w:t xml:space="preserve">35</w:t>
            </w:r>
            <w:r>
              <w:t xml:space="preserve"> </w:t>
            </w:r>
            <w:r>
              <w:t xml:space="preserve">A, B, C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w:t>
            </w:r>
            <w:r>
              <w:t xml:space="preserve"> </w:t>
            </w:r>
            <w:r>
              <w:rPr>
                <w:bCs/>
                <w:b/>
              </w:rPr>
              <w:t xml:space="preserve">f</w:t>
            </w:r>
            <w:r>
              <w:rPr>
                <w:vertAlign w:val="superscript"/>
                <w:bCs/>
                <w:b/>
              </w:rPr>
              <w:t xml:space="preserve">35</w:t>
            </w:r>
            <w:r>
              <w:t xml:space="preserve"> </w:t>
            </w:r>
            <w:r>
              <w:t xml:space="preserve">A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w:t>
            </w:r>
            <w:r>
              <w:t xml:space="preserve"> </w:t>
            </w:r>
            <w:r>
              <w:rPr>
                <w:bCs/>
                <w:b/>
              </w:rPr>
              <w:t xml:space="preserve">f</w:t>
            </w:r>
            <w:r>
              <w:rPr>
                <w:vertAlign w:val="superscript"/>
                <w:bCs/>
                <w:b/>
              </w:rPr>
              <w:t xml:space="preserve">35</w:t>
            </w:r>
            <w:r>
              <w:t xml:space="preserve"> </w:t>
            </w:r>
            <w:r>
              <w:t xml:space="preserve">(A)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w:t>
            </w:r>
            <w:r>
              <w:t xml:space="preserve"> </w:t>
            </w:r>
            <w:r>
              <w:rPr>
                <w:bCs/>
                <w:b/>
              </w:rPr>
              <w:t xml:space="preserve">f</w:t>
            </w:r>
            <w:r>
              <w:rPr>
                <w:vertAlign w:val="superscript"/>
                <w:bCs/>
                <w:b/>
              </w:rPr>
              <w:t xml:space="preserve">35</w:t>
            </w:r>
            <w:r>
              <w:t xml:space="preserve"> </w:t>
            </w:r>
            <w:r>
              <w:t xml:space="preserve">C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w:t>
            </w:r>
            <w:r>
              <w:t xml:space="preserve"> </w:t>
            </w:r>
            <w:r>
              <w:rPr>
                <w:bCs/>
                <w:b/>
              </w:rPr>
              <w:t xml:space="preserve">f</w:t>
            </w:r>
            <w:r>
              <w:rPr>
                <w:vertAlign w:val="superscript"/>
                <w:bCs/>
                <w:b/>
              </w:rPr>
              <w:t xml:space="preserve">35</w:t>
            </w:r>
            <w:r>
              <w:t xml:space="preserve"> </w:t>
            </w:r>
            <w:r>
              <w:t xml:space="preserve">ℵ, A, B, C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w:t>
            </w:r>
            <w:r>
              <w:t xml:space="preserve"> </w:t>
            </w:r>
            <w:r>
              <w:rPr>
                <w:bCs/>
                <w:b/>
              </w:rPr>
              <w:t xml:space="preserve">f</w:t>
            </w:r>
            <w:r>
              <w:rPr>
                <w:vertAlign w:val="superscript"/>
                <w:bCs/>
                <w:b/>
              </w:rPr>
              <w:t xml:space="preserve">35</w:t>
            </w:r>
            <w:r>
              <w:t xml:space="preserve"> </w:t>
            </w:r>
            <w:r>
              <w:t xml:space="preserve">ℵ, A, B, C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C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w:t>
            </w:r>
            <w:r>
              <w:t xml:space="preserve"> </w:t>
            </w:r>
            <w:r>
              <w:rPr>
                <w:bCs/>
                <w:b/>
              </w:rPr>
              <w:t xml:space="preserve">f</w:t>
            </w:r>
            <w:r>
              <w:rPr>
                <w:vertAlign w:val="superscript"/>
                <w:bCs/>
                <w:b/>
              </w:rPr>
              <w:t xml:space="preserve">35</w:t>
            </w:r>
            <w:r>
              <w:t xml:space="preserve"> </w:t>
            </w:r>
            <w:r>
              <w:t xml:space="preserve">ℵ, A, B, C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(C)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w:t>
            </w:r>
            <w:r>
              <w:t xml:space="preserve"> </w:t>
            </w:r>
            <w:r>
              <w:rPr>
                <w:bCs/>
                <w:b/>
              </w:rPr>
              <w:t xml:space="preserve">f</w:t>
            </w:r>
            <w:r>
              <w:rPr>
                <w:vertAlign w:val="superscript"/>
                <w:bCs/>
                <w:b/>
              </w:rPr>
              <w:t xml:space="preserve">35</w:t>
            </w:r>
            <w:r>
              <w:t xml:space="preserve"> </w:t>
            </w:r>
            <w:r>
              <w:t xml:space="preserve">ℵ(A)B(C)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w:t>
            </w:r>
            <w:r>
              <w:t xml:space="preserve"> </w:t>
            </w:r>
            <w:r>
              <w:rPr>
                <w:bCs/>
                <w:b/>
              </w:rPr>
              <w:t xml:space="preserve">f</w:t>
            </w:r>
            <w:r>
              <w:rPr>
                <w:vertAlign w:val="superscript"/>
                <w:bCs/>
                <w:b/>
              </w:rPr>
              <w:t xml:space="preserve">35</w:t>
            </w:r>
            <w:r>
              <w:t xml:space="preserve"> </w:t>
            </w:r>
            <w:r>
              <w:t xml:space="preserve">A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P</w:t>
            </w:r>
            <w:r>
              <w:rPr>
                <w:vertAlign w:val="superscript"/>
              </w:rPr>
              <w:t xml:space="preserve">53</w:t>
            </w:r>
            <w:r>
              <w:t xml:space="preserve">A,C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w:t>
            </w:r>
            <w:r>
              <w:t xml:space="preserve"> </w:t>
            </w:r>
            <w:r>
              <w:rPr>
                <w:bCs/>
                <w:b/>
              </w:rPr>
              <w:t xml:space="preserve">f</w:t>
            </w:r>
            <w:r>
              <w:rPr>
                <w:vertAlign w:val="superscript"/>
                <w:bCs/>
                <w:b/>
              </w:rPr>
              <w:t xml:space="preserve">35</w:t>
            </w:r>
            <w:r>
              <w:t xml:space="preserve"> </w:t>
            </w:r>
            <w:r>
              <w:t xml:space="preserve">A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w:t>
            </w:r>
            <w:r>
              <w:t xml:space="preserve"> </w:t>
            </w:r>
            <w:r>
              <w:rPr>
                <w:bCs/>
                <w:b/>
              </w:rPr>
              <w:t xml:space="preserve">f</w:t>
            </w:r>
            <w:r>
              <w:rPr>
                <w:vertAlign w:val="superscript"/>
                <w:bCs/>
                <w:b/>
              </w:rPr>
              <w:t xml:space="preserve">35</w:t>
            </w:r>
            <w:r>
              <w:t xml:space="preserve"> </w:t>
            </w:r>
            <w:r>
              <w:t xml:space="preserve">ℵ(A)B, C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ℵ,B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w:t>
            </w:r>
            <w:r>
              <w:t xml:space="preserve"> </w:t>
            </w:r>
            <w:r>
              <w:rPr>
                <w:bCs/>
                <w:b/>
              </w:rPr>
              <w:t xml:space="preserve">f</w:t>
            </w:r>
            <w:r>
              <w:rPr>
                <w:vertAlign w:val="superscript"/>
                <w:bCs/>
                <w:b/>
              </w:rPr>
              <w:t xml:space="preserve">35</w:t>
            </w:r>
            <w:r>
              <w:t xml:space="preserve"> </w:t>
            </w:r>
            <w:r>
              <w:t xml:space="preserve">[18%]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w:t>
            </w:r>
            <w:r>
              <w:t xml:space="preserve"> </w:t>
            </w:r>
            <w:r>
              <w:rPr>
                <w:bCs/>
                <w:b/>
              </w:rPr>
              <w:t xml:space="preserve">f</w:t>
            </w:r>
            <w:r>
              <w:rPr>
                <w:vertAlign w:val="superscript"/>
                <w:bCs/>
                <w:b/>
              </w:rPr>
              <w:t xml:space="preserve">35</w:t>
            </w:r>
            <w:r>
              <w:t xml:space="preserve"> </w:t>
            </w:r>
            <w:r>
              <w:t xml:space="preserve">ℵ, A, B, C, D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ℵ, A, B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εισηλθες προς ανδρας ακροβυστιαν εχοντας και συνεφαγες</w:t>
            </w:r>
            <w:r>
              <w:t xml:space="preserve"> </w:t>
            </w:r>
            <w:r>
              <w:rPr>
                <w:bCs/>
                <w:b/>
              </w:rPr>
              <w:t xml:space="preserve">f</w:t>
            </w:r>
            <w:r>
              <w:rPr>
                <w:vertAlign w:val="superscript"/>
                <w:bCs/>
                <w:b/>
              </w:rPr>
              <w:t xml:space="preserve">35</w:t>
            </w:r>
            <w:r>
              <w:t xml:space="preserve"> </w:t>
            </w:r>
            <w:r>
              <w:t xml:space="preserve">ℵ, A, D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w:t>
            </w:r>
            <w:r>
              <w:t xml:space="preserve"> </w:t>
            </w:r>
            <w:r>
              <w:rPr>
                <w:bCs/>
                <w:b/>
              </w:rPr>
              <w:t xml:space="preserve">f</w:t>
            </w:r>
            <w:r>
              <w:rPr>
                <w:vertAlign w:val="superscript"/>
                <w:bCs/>
                <w:b/>
              </w:rPr>
              <w:t xml:space="preserve">35</w:t>
            </w:r>
            <w:r>
              <w:t xml:space="preserve"> </w:t>
            </w:r>
            <w:r>
              <w:t xml:space="preserve">B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w:t>
            </w:r>
            <w:r>
              <w:t xml:space="preserve"> </w:t>
            </w:r>
            <w:r>
              <w:rPr>
                <w:bCs/>
                <w:b/>
              </w:rPr>
              <w:t xml:space="preserve">f</w:t>
            </w:r>
            <w:r>
              <w:rPr>
                <w:vertAlign w:val="superscript"/>
                <w:bCs/>
                <w:b/>
              </w:rPr>
              <w:t xml:space="preserve">35</w:t>
            </w:r>
            <w:r>
              <w:t xml:space="preserve"> </w:t>
            </w:r>
            <w:r>
              <w:t xml:space="preserve">ℵ, A, B, D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ℵ, A, B, D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w:t>
            </w:r>
            <w:r>
              <w:t xml:space="preserve"> </w:t>
            </w:r>
            <w:r>
              <w:rPr>
                <w:bCs/>
                <w:b/>
              </w:rPr>
              <w:t xml:space="preserve">f</w:t>
            </w:r>
            <w:r>
              <w:rPr>
                <w:vertAlign w:val="superscript"/>
                <w:bCs/>
                <w:b/>
              </w:rPr>
              <w:t xml:space="preserve">35</w:t>
            </w:r>
            <w:r>
              <w:t xml:space="preserve"> </w:t>
            </w:r>
            <w:r>
              <w:t xml:space="preserve">ℵ, A, B, D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w:t>
            </w:r>
            <w:r>
              <w:t xml:space="preserve"> </w:t>
            </w:r>
            <w:r>
              <w:rPr>
                <w:bCs/>
                <w:b/>
              </w:rPr>
              <w:t xml:space="preserve">f</w:t>
            </w:r>
            <w:r>
              <w:rPr>
                <w:vertAlign w:val="superscript"/>
                <w:bCs/>
                <w:b/>
              </w:rPr>
              <w:t xml:space="preserve">35</w:t>
            </w:r>
            <w:r>
              <w:t xml:space="preserve"> </w:t>
            </w:r>
            <w:r>
              <w:t xml:space="preserve">ℵ, A, B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D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w:t>
            </w:r>
            <w:r>
              <w:t xml:space="preserve"> </w:t>
            </w:r>
            <w:r>
              <w:rPr>
                <w:bCs/>
                <w:b/>
              </w:rPr>
              <w:t xml:space="preserve">f</w:t>
            </w:r>
            <w:r>
              <w:rPr>
                <w:vertAlign w:val="superscript"/>
                <w:bCs/>
                <w:b/>
              </w:rPr>
              <w:t xml:space="preserve">35</w:t>
            </w:r>
            <w:r>
              <w:t xml:space="preserve"> </w:t>
            </w:r>
            <w:r>
              <w:t xml:space="preserve">D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w:t>
            </w:r>
            <w:r>
              <w:t xml:space="preserve"> </w:t>
            </w:r>
            <w:r>
              <w:rPr>
                <w:bCs/>
                <w:b/>
              </w:rPr>
              <w:t xml:space="preserve">f</w:t>
            </w:r>
            <w:r>
              <w:rPr>
                <w:vertAlign w:val="superscript"/>
                <w:bCs/>
                <w:b/>
              </w:rPr>
              <w:t xml:space="preserve">35</w:t>
            </w:r>
            <w:r>
              <w:t xml:space="preserve"> </w:t>
            </w:r>
            <w:r>
              <w:t xml:space="preserve">ℵ, A, B(D)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w:t>
            </w:r>
            <w:r>
              <w:t xml:space="preserve"> </w:t>
            </w:r>
            <w:r>
              <w:rPr>
                <w:bCs/>
                <w:b/>
              </w:rPr>
              <w:t xml:space="preserve">f</w:t>
            </w:r>
            <w:r>
              <w:rPr>
                <w:vertAlign w:val="superscript"/>
                <w:bCs/>
                <w:b/>
              </w:rPr>
              <w:t xml:space="preserve">35pt</w:t>
            </w:r>
            <w:r>
              <w:t xml:space="preserve"> </w:t>
            </w:r>
            <w:r>
              <w:t xml:space="preserve">(5.1%)+{19.5%} || 1 ιερουσαλημ [60%] || || || || ||</w:t>
            </w:r>
            <w:r>
              <w:rPr>
                <w:rStyle w:val="FootnoteReference"/>
              </w:rPr>
              <w:footnoteReference w:id="241"/>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ℵ, A, B, C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w:t>
            </w:r>
            <w:r>
              <w:t xml:space="preserve"> </w:t>
            </w:r>
            <w:r>
              <w:rPr>
                <w:bCs/>
                <w:b/>
              </w:rPr>
              <w:t xml:space="preserve">f</w:t>
            </w:r>
            <w:r>
              <w:rPr>
                <w:vertAlign w:val="superscript"/>
                <w:bCs/>
                <w:b/>
              </w:rPr>
              <w:t xml:space="preserve">35</w:t>
            </w:r>
            <w:r>
              <w:t xml:space="preserve"> </w:t>
            </w:r>
            <w:r>
              <w:t xml:space="preserve">B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w:t>
            </w:r>
            <w:r>
              <w:t xml:space="preserve"> </w:t>
            </w:r>
            <w:r>
              <w:rPr>
                <w:bCs/>
                <w:b/>
              </w:rPr>
              <w:t xml:space="preserve">f</w:t>
            </w:r>
            <w:r>
              <w:rPr>
                <w:vertAlign w:val="superscript"/>
                <w:bCs/>
                <w:b/>
              </w:rPr>
              <w:t xml:space="preserve">35</w:t>
            </w:r>
            <w:r>
              <w:t xml:space="preserve"> </w:t>
            </w:r>
            <w:r>
              <w:t xml:space="preserve">[20%]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w:t>
            </w:r>
            <w:r>
              <w:t xml:space="preserve"> </w:t>
            </w:r>
            <w:r>
              <w:rPr>
                <w:bCs/>
                <w:b/>
              </w:rPr>
              <w:t xml:space="preserve">f</w:t>
            </w:r>
            <w:r>
              <w:rPr>
                <w:vertAlign w:val="superscript"/>
                <w:bCs/>
                <w:b/>
              </w:rPr>
              <w:t xml:space="preserve">35</w:t>
            </w:r>
            <w:r>
              <w:t xml:space="preserve"> </w:t>
            </w:r>
            <w:r>
              <w:t xml:space="preserve">ℵ, A, B, C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w:t>
            </w:r>
            <w:r>
              <w:t xml:space="preserve"> </w:t>
            </w:r>
            <w:r>
              <w:rPr>
                <w:bCs/>
                <w:b/>
              </w:rPr>
              <w:t xml:space="preserve">f</w:t>
            </w:r>
            <w:r>
              <w:rPr>
                <w:vertAlign w:val="superscript"/>
                <w:bCs/>
                <w:b/>
              </w:rPr>
              <w:t xml:space="preserve">35</w:t>
            </w:r>
            <w:r>
              <w:t xml:space="preserve"> </w:t>
            </w:r>
            <w:r>
              <w:t xml:space="preserve">C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A, B, C, D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w:t>
            </w:r>
            <w:r>
              <w:t xml:space="preserve"> </w:t>
            </w:r>
            <w:r>
              <w:rPr>
                <w:bCs/>
                <w:b/>
              </w:rPr>
              <w:t xml:space="preserve">f</w:t>
            </w:r>
            <w:r>
              <w:rPr>
                <w:vertAlign w:val="superscript"/>
                <w:bCs/>
                <w:b/>
              </w:rPr>
              <w:t xml:space="preserve">35</w:t>
            </w:r>
            <w:r>
              <w:t xml:space="preserve"> </w:t>
            </w:r>
            <w:r>
              <w:t xml:space="preserve">[20%]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w:t>
            </w:r>
            <w:r>
              <w:t xml:space="preserve"> </w:t>
            </w:r>
            <w:r>
              <w:rPr>
                <w:bCs/>
                <w:b/>
              </w:rPr>
              <w:t xml:space="preserve">f</w:t>
            </w:r>
            <w:r>
              <w:rPr>
                <w:vertAlign w:val="superscript"/>
                <w:bCs/>
                <w:b/>
              </w:rPr>
              <w:t xml:space="preserve">35</w:t>
            </w:r>
            <w:r>
              <w:t xml:space="preserve"> </w:t>
            </w:r>
            <w:r>
              <w:t xml:space="preserve">[18%]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w:t>
            </w:r>
            <w:r>
              <w:t xml:space="preserve"> </w:t>
            </w:r>
            <w:r>
              <w:rPr>
                <w:bCs/>
                <w:b/>
              </w:rPr>
              <w:t xml:space="preserve">f</w:t>
            </w:r>
            <w:r>
              <w:rPr>
                <w:vertAlign w:val="superscript"/>
                <w:bCs/>
                <w:b/>
              </w:rPr>
              <w:t xml:space="preserve">35</w:t>
            </w:r>
            <w:r>
              <w:t xml:space="preserve"> </w:t>
            </w:r>
            <w:r>
              <w:t xml:space="preserve">[20%]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w:t>
            </w:r>
            <w:r>
              <w:t xml:space="preserve"> </w:t>
            </w:r>
            <w:r>
              <w:rPr>
                <w:bCs/>
                <w:b/>
              </w:rPr>
              <w:t xml:space="preserve">f</w:t>
            </w:r>
            <w:r>
              <w:rPr>
                <w:vertAlign w:val="superscript"/>
                <w:bCs/>
                <w:b/>
              </w:rPr>
              <w:t xml:space="preserve">35</w:t>
            </w:r>
            <w:r>
              <w:t xml:space="preserve"> </w:t>
            </w:r>
            <w:r>
              <w:t xml:space="preserve">C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w:t>
            </w:r>
            <w:r>
              <w:t xml:space="preserve"> </w:t>
            </w:r>
            <w:r>
              <w:rPr>
                <w:bCs/>
                <w:b/>
              </w:rPr>
              <w:t xml:space="preserve">f</w:t>
            </w:r>
            <w:r>
              <w:rPr>
                <w:vertAlign w:val="superscript"/>
                <w:bCs/>
                <w:b/>
              </w:rPr>
              <w:t xml:space="preserve">35</w:t>
            </w:r>
            <w:r>
              <w:t xml:space="preserve"> </w:t>
            </w:r>
            <w:r>
              <w:t xml:space="preserve">ℵ, A, B, C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D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w:t>
            </w:r>
            <w:r>
              <w:t xml:space="preserve"> </w:t>
            </w:r>
            <w:r>
              <w:rPr>
                <w:bCs/>
                <w:b/>
              </w:rPr>
              <w:t xml:space="preserve">f</w:t>
            </w:r>
            <w:r>
              <w:rPr>
                <w:vertAlign w:val="superscript"/>
                <w:bCs/>
                <w:b/>
              </w:rPr>
              <w:t xml:space="preserve">35</w:t>
            </w:r>
            <w:r>
              <w:t xml:space="preserve"> </w:t>
            </w:r>
            <w:r>
              <w:t xml:space="preserve">A, D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A, B, C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A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w:t>
            </w:r>
            <w:r>
              <w:t xml:space="preserve"> </w:t>
            </w:r>
            <w:r>
              <w:rPr>
                <w:bCs/>
                <w:b/>
              </w:rPr>
              <w:t xml:space="preserve">f</w:t>
            </w:r>
            <w:r>
              <w:rPr>
                <w:vertAlign w:val="superscript"/>
                <w:bCs/>
                <w:b/>
              </w:rPr>
              <w:t xml:space="preserve">35</w:t>
            </w:r>
            <w:r>
              <w:t xml:space="preserve"> </w:t>
            </w:r>
            <w:r>
              <w:t xml:space="preserve">P</w:t>
            </w:r>
            <w:r>
              <w:rPr>
                <w:vertAlign w:val="superscript"/>
              </w:rPr>
              <w:t xml:space="preserve">45v</w:t>
            </w:r>
            <w:r>
              <w:t xml:space="preserve">A,B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A,C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w:t>
            </w:r>
            <w:r>
              <w:t xml:space="preserve"> </w:t>
            </w:r>
            <w:r>
              <w:rPr>
                <w:bCs/>
                <w:b/>
              </w:rPr>
              <w:t xml:space="preserve">f</w:t>
            </w:r>
            <w:r>
              <w:rPr>
                <w:vertAlign w:val="superscript"/>
                <w:bCs/>
                <w:b/>
              </w:rPr>
              <w:t xml:space="preserve">35</w:t>
            </w:r>
            <w:r>
              <w:t xml:space="preserve"> </w:t>
            </w:r>
            <w:r>
              <w:t xml:space="preserve">[20%]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w:t>
            </w:r>
            <w:r>
              <w:t xml:space="preserve"> </w:t>
            </w:r>
            <w:r>
              <w:rPr>
                <w:bCs/>
                <w:b/>
              </w:rPr>
              <w:t xml:space="preserve">f</w:t>
            </w:r>
            <w:r>
              <w:rPr>
                <w:vertAlign w:val="superscript"/>
                <w:bCs/>
                <w:b/>
              </w:rPr>
              <w:t xml:space="preserve">35</w:t>
            </w:r>
            <w:r>
              <w:t xml:space="preserve"> </w:t>
            </w:r>
            <w:r>
              <w:t xml:space="preserve">[18%]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w:t>
            </w:r>
            <w:r>
              <w:t xml:space="preserve"> </w:t>
            </w:r>
            <w:r>
              <w:rPr>
                <w:bCs/>
                <w:b/>
              </w:rPr>
              <w:t xml:space="preserve">f</w:t>
            </w:r>
            <w:r>
              <w:rPr>
                <w:vertAlign w:val="superscript"/>
                <w:bCs/>
                <w:b/>
              </w:rPr>
              <w:t xml:space="preserve">35</w:t>
            </w:r>
            <w:r>
              <w:t xml:space="preserve"> </w:t>
            </w:r>
            <w:r>
              <w:t xml:space="preserve">[20%]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w:t>
            </w:r>
            <w:r>
              <w:t xml:space="preserve"> </w:t>
            </w:r>
            <w:r>
              <w:rPr>
                <w:bCs/>
                <w:b/>
              </w:rPr>
              <w:t xml:space="preserve">f</w:t>
            </w:r>
            <w:r>
              <w:rPr>
                <w:vertAlign w:val="superscript"/>
                <w:bCs/>
                <w:b/>
              </w:rPr>
              <w:t xml:space="preserve">35</w:t>
            </w:r>
            <w:r>
              <w:t xml:space="preserve"> </w:t>
            </w:r>
            <w:r>
              <w:t xml:space="preserve">ℵ, B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w:t>
            </w:r>
            <w:r>
              <w:t xml:space="preserve"> </w:t>
            </w:r>
            <w:r>
              <w:rPr>
                <w:bCs/>
                <w:b/>
              </w:rPr>
              <w:t xml:space="preserve">f</w:t>
            </w:r>
            <w:r>
              <w:rPr>
                <w:vertAlign w:val="superscript"/>
                <w:bCs/>
                <w:b/>
              </w:rPr>
              <w:t xml:space="preserve">35</w:t>
            </w:r>
            <w:r>
              <w:t xml:space="preserve"> </w:t>
            </w:r>
            <w:r>
              <w:t xml:space="preserve">[20%]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w:t>
            </w:r>
            <w:r>
              <w:t xml:space="preserve"> </w:t>
            </w:r>
            <w:r>
              <w:rPr>
                <w:bCs/>
                <w:b/>
              </w:rPr>
              <w:t xml:space="preserve">f</w:t>
            </w:r>
            <w:r>
              <w:rPr>
                <w:vertAlign w:val="superscript"/>
                <w:bCs/>
                <w:b/>
              </w:rPr>
              <w:t xml:space="preserve">35</w:t>
            </w:r>
            <w:r>
              <w:t xml:space="preserve"> </w:t>
            </w:r>
            <w:r>
              <w:t xml:space="preserve">ℵ, A, B, D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w:t>
            </w:r>
            <w:r>
              <w:t xml:space="preserve"> </w:t>
            </w:r>
            <w:r>
              <w:rPr>
                <w:bCs/>
                <w:b/>
              </w:rPr>
              <w:t xml:space="preserve">f</w:t>
            </w:r>
            <w:r>
              <w:rPr>
                <w:vertAlign w:val="superscript"/>
                <w:bCs/>
                <w:b/>
              </w:rPr>
              <w:t xml:space="preserve">35</w:t>
            </w:r>
            <w:r>
              <w:t xml:space="preserve"> </w:t>
            </w:r>
            <w:r>
              <w:t xml:space="preserve">A, B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w:t>
            </w:r>
            <w:r>
              <w:t xml:space="preserve"> </w:t>
            </w:r>
            <w:r>
              <w:rPr>
                <w:bCs/>
                <w:b/>
              </w:rPr>
              <w:t xml:space="preserve">f</w:t>
            </w:r>
            <w:r>
              <w:rPr>
                <w:vertAlign w:val="superscript"/>
                <w:bCs/>
                <w:b/>
              </w:rPr>
              <w:t xml:space="preserve">35</w:t>
            </w:r>
            <w:r>
              <w:t xml:space="preserve"> </w:t>
            </w:r>
            <w:r>
              <w:t xml:space="preserve">[25%]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A(D)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w:t>
            </w:r>
            <w:r>
              <w:t xml:space="preserve"> </w:t>
            </w:r>
            <w:r>
              <w:rPr>
                <w:bCs/>
                <w:b/>
              </w:rPr>
              <w:t xml:space="preserve">f</w:t>
            </w:r>
            <w:r>
              <w:rPr>
                <w:vertAlign w:val="superscript"/>
                <w:bCs/>
                <w:b/>
              </w:rPr>
              <w:t xml:space="preserve">35</w:t>
            </w:r>
            <w:r>
              <w:t xml:space="preserve"> </w:t>
            </w:r>
            <w:r>
              <w:t xml:space="preserve">[25%]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w:t>
            </w:r>
            <w:r>
              <w:t xml:space="preserve"> </w:t>
            </w:r>
            <w:r>
              <w:rPr>
                <w:bCs/>
                <w:b/>
              </w:rPr>
              <w:t xml:space="preserve">f</w:t>
            </w:r>
            <w:r>
              <w:rPr>
                <w:vertAlign w:val="superscript"/>
                <w:bCs/>
                <w:b/>
              </w:rPr>
              <w:t xml:space="preserve">35</w:t>
            </w:r>
            <w:r>
              <w:t xml:space="preserve"> </w:t>
            </w:r>
            <w:r>
              <w:t xml:space="preserve">[20%]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w:t>
            </w:r>
            <w:r>
              <w:t xml:space="preserve"> </w:t>
            </w:r>
            <w:r>
              <w:rPr>
                <w:bCs/>
                <w:b/>
              </w:rPr>
              <w:t xml:space="preserve">f</w:t>
            </w:r>
            <w:r>
              <w:rPr>
                <w:vertAlign w:val="superscript"/>
                <w:bCs/>
                <w:b/>
              </w:rPr>
              <w:t xml:space="preserve">35</w:t>
            </w:r>
            <w:r>
              <w:t xml:space="preserve"> </w:t>
            </w:r>
            <w:r>
              <w:t xml:space="preserve">ℵ(A)B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w:t>
            </w:r>
            <w:r>
              <w:t xml:space="preserve"> </w:t>
            </w:r>
            <w:r>
              <w:rPr>
                <w:bCs/>
                <w:b/>
              </w:rPr>
              <w:t xml:space="preserve">f</w:t>
            </w:r>
            <w:r>
              <w:rPr>
                <w:vertAlign w:val="superscript"/>
                <w:bCs/>
                <w:b/>
              </w:rPr>
              <w:t xml:space="preserve">35</w:t>
            </w:r>
            <w:r>
              <w:t xml:space="preserve"> </w:t>
            </w:r>
            <w:r>
              <w:t xml:space="preserve">ℵ, A, B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ℵ, A, B(D)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B(D)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D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w:t>
            </w:r>
            <w:r>
              <w:t xml:space="preserve"> </w:t>
            </w:r>
            <w:r>
              <w:rPr>
                <w:bCs/>
                <w:b/>
              </w:rPr>
              <w:t xml:space="preserve">f</w:t>
            </w:r>
            <w:r>
              <w:rPr>
                <w:vertAlign w:val="superscript"/>
                <w:bCs/>
                <w:b/>
              </w:rPr>
              <w:t xml:space="preserve">35</w:t>
            </w:r>
            <w:r>
              <w:t xml:space="preserve"> </w:t>
            </w:r>
            <w:r>
              <w:t xml:space="preserve">P</w:t>
            </w:r>
            <w:r>
              <w:rPr>
                <w:vertAlign w:val="superscript"/>
              </w:rPr>
              <w:t xml:space="preserve">38</w:t>
            </w:r>
            <w:r>
              <w:t xml:space="preserve"> </w:t>
            </w:r>
            <w:r>
              <w:t xml:space="preserve">[30%]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w:t>
            </w:r>
            <w:r>
              <w:t xml:space="preserve"> </w:t>
            </w:r>
            <w:r>
              <w:rPr>
                <w:bCs/>
                <w:b/>
              </w:rPr>
              <w:t xml:space="preserve">f</w:t>
            </w:r>
            <w:r>
              <w:rPr>
                <w:vertAlign w:val="superscript"/>
                <w:bCs/>
                <w:b/>
              </w:rPr>
              <w:t xml:space="preserve">35</w:t>
            </w:r>
            <w:r>
              <w:t xml:space="preserve"> </w:t>
            </w:r>
            <w:r>
              <w:t xml:space="preserve">[20%]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w:t>
            </w:r>
            <w:r>
              <w:t xml:space="preserve"> </w:t>
            </w:r>
            <w:r>
              <w:rPr>
                <w:bCs/>
                <w:b/>
              </w:rPr>
              <w:t xml:space="preserve">f</w:t>
            </w:r>
            <w:r>
              <w:rPr>
                <w:vertAlign w:val="superscript"/>
                <w:bCs/>
                <w:b/>
              </w:rPr>
              <w:t xml:space="preserve">35</w:t>
            </w:r>
            <w:r>
              <w:t xml:space="preserve"> </w:t>
            </w:r>
            <w:r>
              <w:t xml:space="preserve">[20%]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w:t>
            </w:r>
            <w:r>
              <w:t xml:space="preserve"> </w:t>
            </w:r>
            <w:r>
              <w:rPr>
                <w:bCs/>
                <w:b/>
              </w:rPr>
              <w:t xml:space="preserve">f</w:t>
            </w:r>
            <w:r>
              <w:rPr>
                <w:vertAlign w:val="superscript"/>
                <w:bCs/>
                <w:b/>
              </w:rPr>
              <w:t xml:space="preserve">35</w:t>
            </w:r>
            <w:r>
              <w:t xml:space="preserve"> </w:t>
            </w:r>
            <w:r>
              <w:t xml:space="preserve">D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w:t>
            </w:r>
            <w:r>
              <w:t xml:space="preserve"> </w:t>
            </w:r>
            <w:r>
              <w:rPr>
                <w:bCs/>
                <w:b/>
              </w:rPr>
              <w:t xml:space="preserve">f</w:t>
            </w:r>
            <w:r>
              <w:rPr>
                <w:vertAlign w:val="superscript"/>
                <w:bCs/>
                <w:b/>
              </w:rPr>
              <w:t xml:space="preserve">35</w:t>
            </w:r>
            <w:r>
              <w:t xml:space="preserve"> </w:t>
            </w:r>
            <w:r>
              <w:t xml:space="preserve">ℵ, A, B, D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w:t>
            </w:r>
            <w:r>
              <w:t xml:space="preserve"> </w:t>
            </w:r>
            <w:r>
              <w:rPr>
                <w:bCs/>
                <w:b/>
              </w:rPr>
              <w:t xml:space="preserve">f</w:t>
            </w:r>
            <w:r>
              <w:rPr>
                <w:vertAlign w:val="superscript"/>
                <w:bCs/>
                <w:b/>
              </w:rPr>
              <w:t xml:space="preserve">35</w:t>
            </w:r>
            <w:r>
              <w:t xml:space="preserve"> </w:t>
            </w:r>
            <w:r>
              <w:t xml:space="preserve">[25%]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w:t>
            </w:r>
            <w:r>
              <w:t xml:space="preserve"> </w:t>
            </w:r>
            <w:r>
              <w:rPr>
                <w:bCs/>
                <w:b/>
              </w:rPr>
              <w:t xml:space="preserve">f</w:t>
            </w:r>
            <w:r>
              <w:rPr>
                <w:vertAlign w:val="superscript"/>
                <w:bCs/>
                <w:b/>
              </w:rPr>
              <w:t xml:space="preserve">35</w:t>
            </w:r>
            <w:r>
              <w:t xml:space="preserve"> </w:t>
            </w:r>
            <w:r>
              <w:t xml:space="preserve">[25%]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w:t>
            </w:r>
            <w:r>
              <w:t xml:space="preserve"> </w:t>
            </w:r>
            <w:r>
              <w:rPr>
                <w:bCs/>
                <w:b/>
              </w:rPr>
              <w:t xml:space="preserve">f</w:t>
            </w:r>
            <w:r>
              <w:rPr>
                <w:vertAlign w:val="superscript"/>
                <w:bCs/>
                <w:b/>
              </w:rPr>
              <w:t xml:space="preserve">35</w:t>
            </w:r>
            <w:r>
              <w:t xml:space="preserve"> </w:t>
            </w:r>
            <w:r>
              <w:t xml:space="preserve">[18%]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w:t>
            </w:r>
            <w:r>
              <w:t xml:space="preserve"> </w:t>
            </w:r>
            <w:r>
              <w:rPr>
                <w:bCs/>
                <w:b/>
              </w:rPr>
              <w:t xml:space="preserve">f</w:t>
            </w:r>
            <w:r>
              <w:rPr>
                <w:vertAlign w:val="superscript"/>
                <w:bCs/>
                <w:b/>
              </w:rPr>
              <w:t xml:space="preserve">35</w:t>
            </w:r>
            <w:r>
              <w:t xml:space="preserve"> </w:t>
            </w:r>
            <w:r>
              <w:t xml:space="preserve">[18%]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w:t>
            </w:r>
            <w:r>
              <w:t xml:space="preserve"> </w:t>
            </w:r>
            <w:r>
              <w:rPr>
                <w:bCs/>
                <w:b/>
              </w:rPr>
              <w:t xml:space="preserve">f</w:t>
            </w:r>
            <w:r>
              <w:rPr>
                <w:vertAlign w:val="superscript"/>
                <w:bCs/>
                <w:b/>
              </w:rPr>
              <w:t xml:space="preserve">35</w:t>
            </w:r>
            <w:r>
              <w:t xml:space="preserve"> </w:t>
            </w:r>
            <w:r>
              <w:t xml:space="preserve">ℵ, A, B, C, D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w:t>
            </w:r>
            <w:r>
              <w:t xml:space="preserve"> </w:t>
            </w:r>
            <w:r>
              <w:rPr>
                <w:bCs/>
                <w:b/>
              </w:rPr>
              <w:t xml:space="preserve">f</w:t>
            </w:r>
            <w:r>
              <w:rPr>
                <w:vertAlign w:val="superscript"/>
                <w:bCs/>
                <w:b/>
              </w:rPr>
              <w:t xml:space="preserve">35</w:t>
            </w:r>
            <w:r>
              <w:t xml:space="preserve"> </w:t>
            </w:r>
            <w:r>
              <w:t xml:space="preserve">ℵ, A(B)C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w:t>
            </w:r>
            <w:r>
              <w:t xml:space="preserve"> </w:t>
            </w:r>
            <w:r>
              <w:rPr>
                <w:bCs/>
                <w:b/>
              </w:rPr>
              <w:t xml:space="preserve">f</w:t>
            </w:r>
            <w:r>
              <w:rPr>
                <w:vertAlign w:val="superscript"/>
                <w:bCs/>
                <w:b/>
              </w:rPr>
              <w:t xml:space="preserve">35</w:t>
            </w:r>
            <w:r>
              <w:t xml:space="preserve"> </w:t>
            </w:r>
            <w:r>
              <w:t xml:space="preserve">[25%]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w:t>
            </w:r>
            <w:r>
              <w:t xml:space="preserve"> </w:t>
            </w:r>
            <w:r>
              <w:rPr>
                <w:bCs/>
                <w:b/>
              </w:rPr>
              <w:t xml:space="preserve">f</w:t>
            </w:r>
            <w:r>
              <w:rPr>
                <w:vertAlign w:val="superscript"/>
                <w:bCs/>
                <w:b/>
              </w:rPr>
              <w:t xml:space="preserve">35</w:t>
            </w:r>
            <w:r>
              <w:t xml:space="preserve"> </w:t>
            </w:r>
            <w:r>
              <w:t xml:space="preserve">[20%]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w:t>
            </w:r>
            <w:r>
              <w:t xml:space="preserve"> </w:t>
            </w:r>
            <w:r>
              <w:rPr>
                <w:bCs/>
                <w:b/>
              </w:rPr>
              <w:t xml:space="preserve">f</w:t>
            </w:r>
            <w:r>
              <w:rPr>
                <w:vertAlign w:val="superscript"/>
                <w:bCs/>
                <w:b/>
              </w:rPr>
              <w:t xml:space="preserve">35</w:t>
            </w:r>
            <w:r>
              <w:t xml:space="preserve"> </w:t>
            </w:r>
            <w:r>
              <w:t xml:space="preserve">[20%]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w:t>
            </w:r>
            <w:r>
              <w:t xml:space="preserve"> </w:t>
            </w:r>
            <w:r>
              <w:rPr>
                <w:bCs/>
                <w:b/>
              </w:rPr>
              <w:t xml:space="preserve">f</w:t>
            </w:r>
            <w:r>
              <w:rPr>
                <w:vertAlign w:val="superscript"/>
                <w:bCs/>
                <w:b/>
              </w:rPr>
              <w:t xml:space="preserve">35</w:t>
            </w:r>
            <w:r>
              <w:t xml:space="preserve"> </w:t>
            </w:r>
            <w:r>
              <w:t xml:space="preserve">[20%]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A, B, D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w:t>
            </w:r>
            <w:r>
              <w:t xml:space="preserve"> </w:t>
            </w:r>
            <w:r>
              <w:rPr>
                <w:bCs/>
                <w:b/>
              </w:rPr>
              <w:t xml:space="preserve">f</w:t>
            </w:r>
            <w:r>
              <w:rPr>
                <w:vertAlign w:val="superscript"/>
                <w:bCs/>
                <w:b/>
              </w:rPr>
              <w:t xml:space="preserve">35</w:t>
            </w:r>
            <w:r>
              <w:t xml:space="preserve"> </w:t>
            </w:r>
            <w:r>
              <w:t xml:space="preserve">[20%]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w:t>
            </w:r>
            <w:r>
              <w:t xml:space="preserve"> </w:t>
            </w:r>
            <w:r>
              <w:rPr>
                <w:bCs/>
                <w:b/>
              </w:rPr>
              <w:t xml:space="preserve">f</w:t>
            </w:r>
            <w:r>
              <w:rPr>
                <w:vertAlign w:val="superscript"/>
                <w:bCs/>
                <w:b/>
              </w:rPr>
              <w:t xml:space="preserve">35</w:t>
            </w:r>
            <w:r>
              <w:t xml:space="preserve"> </w:t>
            </w:r>
            <w:r>
              <w:t xml:space="preserve">(ℵ)B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w:t>
            </w:r>
            <w:r>
              <w:t xml:space="preserve"> </w:t>
            </w:r>
            <w:r>
              <w:rPr>
                <w:bCs/>
                <w:b/>
              </w:rPr>
              <w:t xml:space="preserve">f</w:t>
            </w:r>
            <w:r>
              <w:rPr>
                <w:vertAlign w:val="superscript"/>
                <w:bCs/>
                <w:b/>
              </w:rPr>
              <w:t xml:space="preserve">35</w:t>
            </w:r>
            <w:r>
              <w:t xml:space="preserve"> </w:t>
            </w:r>
            <w:r>
              <w:t xml:space="preserve">(ℵ)A(B)C(D)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ℵ,A,B,C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w:t>
            </w:r>
            <w:r>
              <w:t xml:space="preserve"> </w:t>
            </w:r>
            <w:r>
              <w:rPr>
                <w:bCs/>
                <w:b/>
              </w:rPr>
              <w:t xml:space="preserve">f</w:t>
            </w:r>
            <w:r>
              <w:rPr>
                <w:vertAlign w:val="superscript"/>
                <w:bCs/>
                <w:b/>
              </w:rPr>
              <w:t xml:space="preserve">35</w:t>
            </w:r>
            <w:r>
              <w:t xml:space="preserve"> </w:t>
            </w:r>
            <w:r>
              <w:t xml:space="preserve">ℵ,A,B,C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w:t>
            </w:r>
            <w:r>
              <w:t xml:space="preserve"> </w:t>
            </w:r>
            <w:r>
              <w:rPr>
                <w:bCs/>
                <w:b/>
              </w:rPr>
              <w:t xml:space="preserve">f</w:t>
            </w:r>
            <w:r>
              <w:rPr>
                <w:vertAlign w:val="superscript"/>
                <w:bCs/>
                <w:b/>
              </w:rPr>
              <w:t xml:space="preserve">35</w:t>
            </w:r>
            <w:r>
              <w:t xml:space="preserve"> </w:t>
            </w:r>
            <w:r>
              <w:t xml:space="preserve">[20%]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w:t>
            </w:r>
            <w:r>
              <w:t xml:space="preserve"> </w:t>
            </w:r>
            <w:r>
              <w:rPr>
                <w:bCs/>
                <w:b/>
              </w:rPr>
              <w:t xml:space="preserve">f</w:t>
            </w:r>
            <w:r>
              <w:rPr>
                <w:vertAlign w:val="superscript"/>
                <w:bCs/>
                <w:b/>
              </w:rPr>
              <w:t xml:space="preserve">35</w:t>
            </w:r>
            <w:r>
              <w:t xml:space="preserve"> </w:t>
            </w:r>
            <w:r>
              <w:t xml:space="preserve">ℵ,A,B,C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w:t>
            </w:r>
            <w:r>
              <w:t xml:space="preserve"> </w:t>
            </w:r>
            <w:r>
              <w:rPr>
                <w:bCs/>
                <w:b/>
              </w:rPr>
              <w:t xml:space="preserve">f</w:t>
            </w:r>
            <w:r>
              <w:rPr>
                <w:vertAlign w:val="superscript"/>
                <w:bCs/>
                <w:b/>
              </w:rPr>
              <w:t xml:space="preserve">35</w:t>
            </w:r>
            <w:r>
              <w:t xml:space="preserve"> </w:t>
            </w:r>
            <w:r>
              <w:t xml:space="preserve">C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w:t>
            </w:r>
            <w:r>
              <w:t xml:space="preserve"> </w:t>
            </w:r>
            <w:r>
              <w:rPr>
                <w:bCs/>
                <w:b/>
              </w:rPr>
              <w:t xml:space="preserve">f</w:t>
            </w:r>
            <w:r>
              <w:rPr>
                <w:vertAlign w:val="superscript"/>
                <w:bCs/>
                <w:b/>
              </w:rPr>
              <w:t xml:space="preserve">35</w:t>
            </w:r>
            <w:r>
              <w:t xml:space="preserve"> </w:t>
            </w:r>
            <w:r>
              <w:t xml:space="preserve">(A)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w:t>
            </w:r>
            <w:r>
              <w:t xml:space="preserve"> </w:t>
            </w:r>
            <w:r>
              <w:rPr>
                <w:bCs/>
                <w:b/>
              </w:rPr>
              <w:t xml:space="preserve">f</w:t>
            </w:r>
            <w:r>
              <w:rPr>
                <w:vertAlign w:val="superscript"/>
                <w:bCs/>
                <w:b/>
              </w:rPr>
              <w:t xml:space="preserve">35</w:t>
            </w:r>
            <w:r>
              <w:t xml:space="preserve"> </w:t>
            </w:r>
            <w:r>
              <w:t xml:space="preserve">[20%]+P</w:t>
            </w:r>
            <w:r>
              <w:rPr>
                <w:vertAlign w:val="superscript"/>
              </w:rPr>
              <w:t xml:space="preserve">48</w:t>
            </w:r>
            <w:r>
              <w:t xml:space="preserve"> </w:t>
            </w:r>
            <w:r>
              <w:t xml:space="preserve">ℵ, A, B, C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w:t>
            </w:r>
            <w:r>
              <w:t xml:space="preserve"> </w:t>
            </w:r>
            <w:r>
              <w:rPr>
                <w:bCs/>
                <w:b/>
              </w:rPr>
              <w:t xml:space="preserve">f</w:t>
            </w:r>
            <w:r>
              <w:rPr>
                <w:vertAlign w:val="superscript"/>
                <w:bCs/>
                <w:b/>
              </w:rPr>
              <w:t xml:space="preserve">35</w:t>
            </w:r>
            <w:r>
              <w:t xml:space="preserve"> </w:t>
            </w:r>
            <w:r>
              <w:t xml:space="preserve">(33.1%)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w:t>
            </w:r>
            <w:r>
              <w:t xml:space="preserve"> </w:t>
            </w:r>
            <w:r>
              <w:rPr>
                <w:bCs/>
                <w:b/>
              </w:rPr>
              <w:t xml:space="preserve">f</w:t>
            </w:r>
            <w:r>
              <w:rPr>
                <w:vertAlign w:val="superscript"/>
                <w:bCs/>
                <w:b/>
              </w:rPr>
              <w:t xml:space="preserve">35</w:t>
            </w:r>
            <w:r>
              <w:t xml:space="preserve"> </w:t>
            </w:r>
            <w:r>
              <w:t xml:space="preserve">ℵ, B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w:t>
            </w:r>
            <w:r>
              <w:t xml:space="preserve"> </w:t>
            </w:r>
            <w:r>
              <w:rPr>
                <w:bCs/>
                <w:b/>
              </w:rPr>
              <w:t xml:space="preserve">f</w:t>
            </w:r>
            <w:r>
              <w:rPr>
                <w:vertAlign w:val="superscript"/>
                <w:bCs/>
                <w:b/>
              </w:rPr>
              <w:t xml:space="preserve">35</w:t>
            </w:r>
            <w:r>
              <w:t xml:space="preserve"> </w:t>
            </w:r>
            <w:r>
              <w:t xml:space="preserve">P</w:t>
            </w:r>
            <w:r>
              <w:rPr>
                <w:vertAlign w:val="superscript"/>
              </w:rPr>
              <w:t xml:space="preserve">48</w:t>
            </w:r>
            <w:r>
              <w:t xml:space="preserve"> </w:t>
            </w:r>
            <w:r>
              <w:t xml:space="preserve">ℵ, B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[18%]+ℵ, A {4%} || --- [75%] ||</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w:t>
            </w:r>
            <w:r>
              <w:t xml:space="preserve"> </w:t>
            </w:r>
            <w:r>
              <w:rPr>
                <w:bCs/>
                <w:b/>
              </w:rPr>
              <w:t xml:space="preserve">f</w:t>
            </w:r>
            <w:r>
              <w:rPr>
                <w:vertAlign w:val="superscript"/>
                <w:bCs/>
                <w:b/>
              </w:rPr>
              <w:t xml:space="preserve">35</w:t>
            </w:r>
            <w:r>
              <w:t xml:space="preserve"> </w:t>
            </w:r>
            <w:r>
              <w:t xml:space="preserve">[18%] || πλειον [80%]</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w:t>
            </w:r>
            <w:r>
              <w:t xml:space="preserve"> </w:t>
            </w:r>
            <w:r>
              <w:rPr>
                <w:bCs/>
                <w:b/>
              </w:rPr>
              <w:t xml:space="preserve">f</w:t>
            </w:r>
            <w:r>
              <w:rPr>
                <w:vertAlign w:val="superscript"/>
                <w:bCs/>
                <w:b/>
              </w:rPr>
              <w:t xml:space="preserve">35</w:t>
            </w:r>
            <w:r>
              <w:t xml:space="preserve"> </w:t>
            </w:r>
            <w:r>
              <w:t xml:space="preserve">ℵ, A, B, C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w:t>
            </w:r>
            <w:r>
              <w:t xml:space="preserve"> </w:t>
            </w:r>
            <w:r>
              <w:rPr>
                <w:bCs/>
                <w:b/>
              </w:rPr>
              <w:t xml:space="preserve">f</w:t>
            </w:r>
            <w:r>
              <w:rPr>
                <w:vertAlign w:val="superscript"/>
                <w:bCs/>
                <w:b/>
              </w:rPr>
              <w:t xml:space="preserve">35</w:t>
            </w:r>
            <w:r>
              <w:t xml:space="preserve"> </w:t>
            </w:r>
            <w:r>
              <w:t xml:space="preserve">[18%]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w:t>
            </w:r>
            <w:r>
              <w:t xml:space="preserve"> </w:t>
            </w:r>
            <w:r>
              <w:rPr>
                <w:bCs/>
                <w:b/>
              </w:rPr>
              <w:t xml:space="preserve">f</w:t>
            </w:r>
            <w:r>
              <w:rPr>
                <w:vertAlign w:val="superscript"/>
                <w:bCs/>
                <w:b/>
              </w:rPr>
              <w:t xml:space="preserve">35</w:t>
            </w:r>
            <w:r>
              <w:t xml:space="preserve"> </w:t>
            </w:r>
            <w:r>
              <w:t xml:space="preserve">ℵ, A, B, C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w:t>
            </w:r>
            <w:r>
              <w:t xml:space="preserve"> </w:t>
            </w:r>
            <w:r>
              <w:rPr>
                <w:bCs/>
                <w:b/>
              </w:rPr>
              <w:t xml:space="preserve">f</w:t>
            </w:r>
            <w:r>
              <w:rPr>
                <w:vertAlign w:val="superscript"/>
                <w:bCs/>
                <w:b/>
              </w:rPr>
              <w:t xml:space="preserve">35</w:t>
            </w:r>
            <w:r>
              <w:t xml:space="preserve"> </w:t>
            </w:r>
            <w:r>
              <w:t xml:space="preserve">[25%]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w:t>
            </w:r>
            <w:r>
              <w:t xml:space="preserve"> </w:t>
            </w:r>
            <w:r>
              <w:rPr>
                <w:bCs/>
                <w:b/>
              </w:rPr>
              <w:t xml:space="preserve">f</w:t>
            </w:r>
            <w:r>
              <w:rPr>
                <w:vertAlign w:val="superscript"/>
                <w:bCs/>
                <w:b/>
              </w:rPr>
              <w:t xml:space="preserve">35</w:t>
            </w:r>
            <w:r>
              <w:t xml:space="preserve"> </w:t>
            </w:r>
            <w:r>
              <w:t xml:space="preserve">[30%]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w:t>
            </w:r>
            <w:r>
              <w:t xml:space="preserve"> </w:t>
            </w:r>
            <w:r>
              <w:rPr>
                <w:bCs/>
                <w:b/>
              </w:rPr>
              <w:t xml:space="preserve">f</w:t>
            </w:r>
            <w:r>
              <w:rPr>
                <w:vertAlign w:val="superscript"/>
                <w:bCs/>
                <w:b/>
              </w:rPr>
              <w:t xml:space="preserve">35</w:t>
            </w:r>
            <w:r>
              <w:t xml:space="preserve"> </w:t>
            </w:r>
            <w:r>
              <w:t xml:space="preserve">[18%]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w:t>
            </w:r>
            <w:r>
              <w:t xml:space="preserve"> </w:t>
            </w:r>
            <w:r>
              <w:rPr>
                <w:bCs/>
                <w:b/>
              </w:rPr>
              <w:t xml:space="preserve">f</w:t>
            </w:r>
            <w:r>
              <w:rPr>
                <w:vertAlign w:val="superscript"/>
                <w:bCs/>
                <w:b/>
              </w:rPr>
              <w:t xml:space="preserve">35</w:t>
            </w:r>
            <w:r>
              <w:t xml:space="preserve"> </w:t>
            </w:r>
            <w:r>
              <w:t xml:space="preserve">ℵ, A, B, C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A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w:t>
            </w:r>
            <w:r>
              <w:t xml:space="preserve"> </w:t>
            </w:r>
            <w:r>
              <w:rPr>
                <w:bCs/>
                <w:b/>
              </w:rPr>
              <w:t xml:space="preserve">f</w:t>
            </w:r>
            <w:r>
              <w:rPr>
                <w:vertAlign w:val="superscript"/>
                <w:bCs/>
                <w:b/>
              </w:rPr>
              <w:t xml:space="preserve">35</w:t>
            </w:r>
            <w:r>
              <w:t xml:space="preserve"> </w:t>
            </w:r>
            <w:r>
              <w:t xml:space="preserve">ℵ, B, C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w:t>
            </w:r>
            <w:r>
              <w:t xml:space="preserve"> </w:t>
            </w:r>
            <w:r>
              <w:rPr>
                <w:bCs/>
                <w:b/>
              </w:rPr>
              <w:t xml:space="preserve">f</w:t>
            </w:r>
            <w:r>
              <w:rPr>
                <w:vertAlign w:val="superscript"/>
                <w:bCs/>
                <w:b/>
              </w:rPr>
              <w:t xml:space="preserve">35</w:t>
            </w:r>
            <w:r>
              <w:t xml:space="preserve"> </w:t>
            </w:r>
            <w:r>
              <w:t xml:space="preserve">[21%]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w:t>
            </w:r>
            <w:r>
              <w:t xml:space="preserve"> </w:t>
            </w:r>
            <w:r>
              <w:rPr>
                <w:bCs/>
                <w:b/>
              </w:rPr>
              <w:t xml:space="preserve">f</w:t>
            </w:r>
            <w:r>
              <w:rPr>
                <w:vertAlign w:val="superscript"/>
                <w:bCs/>
                <w:b/>
              </w:rPr>
              <w:t xml:space="preserve">35</w:t>
            </w:r>
            <w:r>
              <w:t xml:space="preserve"> </w:t>
            </w:r>
            <w:r>
              <w:t xml:space="preserve">[21%]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w:t>
            </w:r>
            <w:r>
              <w:t xml:space="preserve"> </w:t>
            </w:r>
            <w:r>
              <w:rPr>
                <w:bCs/>
                <w:b/>
              </w:rPr>
              <w:t xml:space="preserve">f</w:t>
            </w:r>
            <w:r>
              <w:rPr>
                <w:vertAlign w:val="superscript"/>
                <w:bCs/>
                <w:b/>
              </w:rPr>
              <w:t xml:space="preserve">35</w:t>
            </w:r>
            <w:r>
              <w:t xml:space="preserve"> </w:t>
            </w:r>
            <w:r>
              <w:t xml:space="preserve">[22%]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w:t>
            </w:r>
            <w:r>
              <w:t xml:space="preserve"> </w:t>
            </w:r>
            <w:r>
              <w:rPr>
                <w:bCs/>
                <w:b/>
              </w:rPr>
              <w:t xml:space="preserve">f</w:t>
            </w:r>
            <w:r>
              <w:rPr>
                <w:vertAlign w:val="superscript"/>
                <w:bCs/>
                <w:b/>
              </w:rPr>
              <w:t xml:space="preserve">35</w:t>
            </w:r>
            <w:r>
              <w:t xml:space="preserve"> </w:t>
            </w:r>
            <w:r>
              <w:t xml:space="preserve">ℵ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w:t>
            </w:r>
            <w:r>
              <w:t xml:space="preserve"> </w:t>
            </w:r>
            <w:r>
              <w:rPr>
                <w:bCs/>
                <w:b/>
              </w:rPr>
              <w:t xml:space="preserve">f</w:t>
            </w:r>
            <w:r>
              <w:rPr>
                <w:vertAlign w:val="superscript"/>
                <w:bCs/>
                <w:b/>
              </w:rPr>
              <w:t xml:space="preserve">35</w:t>
            </w:r>
            <w:r>
              <w:t xml:space="preserve"> </w:t>
            </w:r>
            <w:r>
              <w:t xml:space="preserve">ℵ, A, B, C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w:t>
            </w:r>
            <w:r>
              <w:t xml:space="preserve"> </w:t>
            </w:r>
            <w:r>
              <w:rPr>
                <w:bCs/>
                <w:b/>
              </w:rPr>
              <w:t xml:space="preserve">f</w:t>
            </w:r>
            <w:r>
              <w:rPr>
                <w:vertAlign w:val="superscript"/>
                <w:bCs/>
                <w:b/>
              </w:rPr>
              <w:t xml:space="preserve">35</w:t>
            </w:r>
            <w:r>
              <w:t xml:space="preserve"> </w:t>
            </w:r>
            <w:r>
              <w:t xml:space="preserve">A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w:t>
            </w:r>
            <w:r>
              <w:t xml:space="preserve"> </w:t>
            </w:r>
            <w:r>
              <w:rPr>
                <w:bCs/>
                <w:b/>
              </w:rPr>
              <w:t xml:space="preserve">f</w:t>
            </w:r>
            <w:r>
              <w:rPr>
                <w:vertAlign w:val="superscript"/>
                <w:bCs/>
                <w:b/>
              </w:rPr>
              <w:t xml:space="preserve">35</w:t>
            </w:r>
            <w:r>
              <w:t xml:space="preserve"> </w:t>
            </w:r>
            <w:r>
              <w:t xml:space="preserve">ℵ, A, B, C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w:t>
            </w:r>
            <w:r>
              <w:t xml:space="preserve"> </w:t>
            </w:r>
            <w:r>
              <w:rPr>
                <w:bCs/>
                <w:b/>
              </w:rPr>
              <w:t xml:space="preserve">f</w:t>
            </w:r>
            <w:r>
              <w:rPr>
                <w:vertAlign w:val="superscript"/>
                <w:bCs/>
                <w:b/>
              </w:rPr>
              <w:t xml:space="preserve">35</w:t>
            </w:r>
            <w:r>
              <w:t xml:space="preserve"> </w:t>
            </w:r>
            <w:r>
              <w:t xml:space="preserve">C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w:t>
            </w:r>
            <w:r>
              <w:t xml:space="preserve"> </w:t>
            </w:r>
            <w:r>
              <w:rPr>
                <w:bCs/>
                <w:b/>
              </w:rPr>
              <w:t xml:space="preserve">f</w:t>
            </w:r>
            <w:r>
              <w:rPr>
                <w:vertAlign w:val="superscript"/>
                <w:bCs/>
                <w:b/>
              </w:rPr>
              <w:t xml:space="preserve">35</w:t>
            </w:r>
            <w:r>
              <w:t xml:space="preserve"> </w:t>
            </w:r>
            <w:r>
              <w:t xml:space="preserve">[20%]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w:t>
            </w:r>
            <w:r>
              <w:t xml:space="preserve"> </w:t>
            </w:r>
            <w:r>
              <w:rPr>
                <w:bCs/>
                <w:b/>
              </w:rPr>
              <w:t xml:space="preserve">f</w:t>
            </w:r>
            <w:r>
              <w:rPr>
                <w:vertAlign w:val="superscript"/>
                <w:bCs/>
                <w:b/>
              </w:rPr>
              <w:t xml:space="preserve">35</w:t>
            </w:r>
            <w:r>
              <w:t xml:space="preserve"> </w:t>
            </w:r>
            <w:r>
              <w:t xml:space="preserve">[25%]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rPr>
          <w:bCs/>
          <w:b/>
        </w:rPr>
        <w:t xml:space="preserve">Łącznie: 180</w:t>
      </w:r>
    </w:p>
    <w:p>
      <w:pPr>
        <w:pStyle w:val="BodyText"/>
      </w:pPr>
      <w:r>
        <w:t xml:space="preserve">Dla każdego bezstronnego czytelnika powinno być oczywiste, że</w:t>
      </w:r>
      <w:r>
        <w:t xml:space="preserve"> </w:t>
      </w:r>
      <w:r>
        <w:rPr>
          <w:bCs/>
          <w:b/>
        </w:rPr>
        <w:t xml:space="preserve">f</w:t>
      </w:r>
      <w:r>
        <w:rPr>
          <w:vertAlign w:val="superscript"/>
          <w:bCs/>
          <w:b/>
        </w:rPr>
        <w:t xml:space="preserve">35</w:t>
      </w:r>
      <w:r>
        <w:t xml:space="preserve"> </w:t>
      </w:r>
      <w:r>
        <w:t xml:space="preserve">jest całkowicie niezależna od masy bizantyjskiej (</w:t>
      </w:r>
      <w:r>
        <w:rPr>
          <w:bCs/>
          <w:b/>
        </w:rPr>
        <w:t xml:space="preserve">K</w:t>
      </w:r>
      <w:r>
        <w:rPr>
          <w:vertAlign w:val="superscript"/>
          <w:bCs/>
          <w:b/>
        </w:rPr>
        <w:t xml:space="preserve">x</w:t>
      </w:r>
      <w:r>
        <w:t xml:space="preserve"> </w:t>
      </w:r>
      <w:r>
        <w:t xml:space="preserve">Sodena). Spośród 180 zestawów wariantów</w:t>
      </w:r>
      <w:r>
        <w:t xml:space="preserve"> </w:t>
      </w:r>
      <w:r>
        <w:rPr>
          <w:bCs/>
          <w:b/>
        </w:rPr>
        <w:t xml:space="preserve">f</w:t>
      </w:r>
      <w:r>
        <w:rPr>
          <w:vertAlign w:val="superscript"/>
          <w:bCs/>
          <w:b/>
        </w:rPr>
        <w:t xml:space="preserve">35</w:t>
      </w:r>
      <w:r>
        <w:t xml:space="preserve"> </w:t>
      </w:r>
      <w:r>
        <w:t xml:space="preserve">występuje sama 75 razy (42%), jest więc również niezależna od linii przekazu reprezentowanych przez uwzględnione przeze mnie wczesne manuskrypty. Jeśli</w:t>
      </w:r>
      <w:r>
        <w:t xml:space="preserve"> </w:t>
      </w:r>
      <w:r>
        <w:rPr>
          <w:bCs/>
          <w:b/>
        </w:rPr>
        <w:t xml:space="preserve">f</w:t>
      </w:r>
      <w:r>
        <w:rPr>
          <w:vertAlign w:val="superscript"/>
          <w:bCs/>
          <w:b/>
        </w:rPr>
        <w:t xml:space="preserve">35</w:t>
      </w:r>
      <w:r>
        <w:t xml:space="preserve"> </w:t>
      </w:r>
      <w:r>
        <w:t xml:space="preserve">jest niezależna od masy bizantyjskiej, nie może być rewizją opartą na tej masie — dokonaną w jakimkolwiek czasie! Zanim skomentuję to szerzej, wymienię wczesne poświadczenie odczytów, które klasyfikuję odpowiednio jako „diagnostyczne” i „całkiem dobre”, oznaczonych przez +++ i ++-- (25% lub mniej).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jc w:val="left"/>
            </w:pPr>
            <w:r>
              <w:rPr>
                <w:bCs/>
                <w:b/>
              </w:rPr>
              <w:t xml:space="preserve">Łączna liczba wystąpień każdego świadka</w:t>
            </w:r>
          </w:p>
        </w:tc>
      </w:tr>
      <w:tr>
        <w:tc>
          <w:tcPr/>
          <w:p>
            <w:pPr>
              <w:pStyle w:val="Compact"/>
              <w:jc w:val="left"/>
            </w:pPr>
            <w:r>
              <w:t xml:space="preserve">P</w:t>
            </w:r>
            <w:r>
              <w:rPr>
                <w:vertAlign w:val="superscript"/>
              </w:rPr>
              <w:t xml:space="preserve">45</w:t>
            </w:r>
            <w:r>
              <w:t xml:space="preserve"> </w:t>
            </w:r>
            <w:r>
              <w:t xml:space="preserve">— 1</w:t>
            </w:r>
          </w:p>
        </w:tc>
        <w:tc>
          <w:tcPr/>
          <w:p>
            <w:pPr>
              <w:pStyle w:val="Compact"/>
              <w:jc w:val="left"/>
            </w:pPr>
            <w:r>
              <w:t xml:space="preserve">P</w:t>
            </w:r>
            <w:r>
              <w:rPr>
                <w:vertAlign w:val="superscript"/>
              </w:rPr>
              <w:t xml:space="preserve">53</w:t>
            </w:r>
            <w:r>
              <w:t xml:space="preserve">A, C — 1</w:t>
            </w:r>
          </w:p>
        </w:tc>
        <w:tc>
          <w:tcPr/>
          <w:p>
            <w:pPr>
              <w:pStyle w:val="Compact"/>
              <w:jc w:val="left"/>
            </w:pPr>
            <w:r>
              <w:t xml:space="preserve">P</w:t>
            </w:r>
            <w:r>
              <w:rPr>
                <w:vertAlign w:val="superscript"/>
              </w:rPr>
              <w:t xml:space="preserve">8</w:t>
            </w:r>
            <w:r>
              <w:t xml:space="preserve"> </w:t>
            </w:r>
            <w:r>
              <w:t xml:space="preserve">— 1</w:t>
            </w:r>
          </w:p>
        </w:tc>
      </w:tr>
      <w:tr>
        <w:tc>
          <w:tcPr/>
          <w:p>
            <w:pPr>
              <w:pStyle w:val="Compact"/>
              <w:jc w:val="left"/>
            </w:pPr>
            <w:r>
              <w:t xml:space="preserve">ℵ — 2</w:t>
            </w:r>
          </w:p>
        </w:tc>
        <w:tc>
          <w:tcPr/>
          <w:p>
            <w:pPr>
              <w:pStyle w:val="Compact"/>
              <w:jc w:val="left"/>
            </w:pPr>
            <w:r>
              <w:t xml:space="preserve">ℵ, A, B — 7</w:t>
            </w:r>
          </w:p>
        </w:tc>
        <w:tc>
          <w:tcPr/>
          <w:p>
            <w:pPr>
              <w:pStyle w:val="Compact"/>
              <w:jc w:val="left"/>
            </w:pPr>
            <w:r>
              <w:t xml:space="preserve">P</w:t>
            </w:r>
            <w:r>
              <w:rPr>
                <w:vertAlign w:val="superscript"/>
              </w:rPr>
              <w:t xml:space="preserve">45</w:t>
            </w:r>
            <w:r>
              <w:t xml:space="preserve"> </w:t>
            </w:r>
            <w:r>
              <w:t xml:space="preserve">— 5</w:t>
            </w:r>
          </w:p>
        </w:tc>
      </w:tr>
      <w:tr>
        <w:tc>
          <w:tcPr/>
          <w:p>
            <w:pPr>
              <w:pStyle w:val="Compact"/>
              <w:jc w:val="left"/>
            </w:pPr>
            <w:r>
              <w:t xml:space="preserve">A — 9</w:t>
            </w:r>
          </w:p>
        </w:tc>
        <w:tc>
          <w:tcPr/>
          <w:p>
            <w:pPr>
              <w:pStyle w:val="Compact"/>
              <w:jc w:val="left"/>
            </w:pPr>
            <w:r>
              <w:t xml:space="preserve">ℵ, A, D — 1</w:t>
            </w:r>
          </w:p>
        </w:tc>
        <w:tc>
          <w:tcPr/>
          <w:p>
            <w:pPr>
              <w:pStyle w:val="Compact"/>
              <w:jc w:val="left"/>
            </w:pPr>
            <w:r>
              <w:t xml:space="preserve">P</w:t>
            </w:r>
            <w:r>
              <w:rPr>
                <w:vertAlign w:val="superscript"/>
              </w:rPr>
              <w:t xml:space="preserve">48</w:t>
            </w:r>
            <w:r>
              <w:t xml:space="preserve"> </w:t>
            </w:r>
            <w:r>
              <w:t xml:space="preserve">— 1</w:t>
            </w:r>
          </w:p>
        </w:tc>
      </w:tr>
      <w:tr>
        <w:tc>
          <w:tcPr/>
          <w:p>
            <w:pPr>
              <w:pStyle w:val="Compact"/>
              <w:jc w:val="left"/>
            </w:pPr>
            <w:r>
              <w:t xml:space="preserve">B — 4</w:t>
            </w:r>
          </w:p>
        </w:tc>
        <w:tc>
          <w:tcPr/>
          <w:p>
            <w:pPr>
              <w:pStyle w:val="Compact"/>
              <w:jc w:val="left"/>
            </w:pPr>
            <w:r>
              <w:t xml:space="preserve">A, B, C — 1</w:t>
            </w:r>
          </w:p>
        </w:tc>
        <w:tc>
          <w:tcPr/>
          <w:p>
            <w:pPr>
              <w:pStyle w:val="Compact"/>
              <w:jc w:val="left"/>
            </w:pPr>
            <w:r>
              <w:t xml:space="preserve">P</w:t>
            </w:r>
            <w:r>
              <w:rPr>
                <w:vertAlign w:val="superscript"/>
              </w:rPr>
              <w:t xml:space="preserve">53</w:t>
            </w:r>
            <w:r>
              <w:t xml:space="preserve"> </w:t>
            </w:r>
            <w:r>
              <w:t xml:space="preserve">— 1</w:t>
            </w:r>
          </w:p>
        </w:tc>
      </w:tr>
      <w:tr>
        <w:tc>
          <w:tcPr/>
          <w:p>
            <w:pPr>
              <w:pStyle w:val="Compact"/>
              <w:jc w:val="left"/>
            </w:pPr>
            <w:r>
              <w:t xml:space="preserve">C — 5</w:t>
            </w:r>
          </w:p>
        </w:tc>
        <w:tc>
          <w:tcPr/>
          <w:p>
            <w:pPr>
              <w:pStyle w:val="Compact"/>
              <w:jc w:val="left"/>
            </w:pPr>
            <w:r>
              <w:t xml:space="preserve">A, C, D — 1</w:t>
            </w:r>
          </w:p>
        </w:tc>
        <w:tc>
          <w:tcPr/>
          <w:p>
            <w:pPr>
              <w:pStyle w:val="Compact"/>
              <w:jc w:val="left"/>
            </w:pPr>
            <w:r>
              <w:t xml:space="preserve">ℵ — 29</w:t>
            </w:r>
          </w:p>
        </w:tc>
      </w:tr>
      <w:tr>
        <w:tc>
          <w:tcPr/>
          <w:p>
            <w:pPr>
              <w:pStyle w:val="Compact"/>
              <w:jc w:val="left"/>
            </w:pPr>
            <w:r>
              <w:t xml:space="preserve">D — 5</w:t>
            </w:r>
          </w:p>
        </w:tc>
        <w:tc>
          <w:tcPr/>
          <w:p>
            <w:pPr>
              <w:pStyle w:val="Compact"/>
              <w:jc w:val="left"/>
            </w:pPr>
            <w:r>
              <w:t xml:space="preserve">P</w:t>
            </w:r>
            <w:r>
              <w:rPr>
                <w:vertAlign w:val="superscript"/>
              </w:rPr>
              <w:t xml:space="preserve">45</w:t>
            </w:r>
            <w:r>
              <w:t xml:space="preserve">ℵ, A, B — 1</w:t>
            </w:r>
          </w:p>
        </w:tc>
        <w:tc>
          <w:tcPr/>
          <w:p>
            <w:pPr>
              <w:pStyle w:val="Compact"/>
              <w:jc w:val="left"/>
            </w:pPr>
            <w:r>
              <w:t xml:space="preserve">A — 42</w:t>
            </w:r>
          </w:p>
        </w:tc>
      </w:tr>
      <w:tr>
        <w:tc>
          <w:tcPr/>
          <w:p>
            <w:pPr>
              <w:pStyle w:val="Compact"/>
              <w:jc w:val="left"/>
            </w:pPr>
            <w:r>
              <w:t xml:space="preserve">P</w:t>
            </w:r>
            <w:r>
              <w:rPr>
                <w:vertAlign w:val="superscript"/>
              </w:rPr>
              <w:t xml:space="preserve">45</w:t>
            </w:r>
            <w:r>
              <w:t xml:space="preserve">A — 1</w:t>
            </w:r>
          </w:p>
        </w:tc>
        <w:tc>
          <w:tcPr/>
          <w:p>
            <w:pPr>
              <w:pStyle w:val="Compact"/>
              <w:jc w:val="left"/>
            </w:pPr>
            <w:r>
              <w:t xml:space="preserve">ℵ, A, B, C — 8</w:t>
            </w:r>
          </w:p>
        </w:tc>
        <w:tc>
          <w:tcPr/>
          <w:p>
            <w:pPr>
              <w:pStyle w:val="Compact"/>
              <w:jc w:val="left"/>
            </w:pPr>
            <w:r>
              <w:t xml:space="preserve">B — 33</w:t>
            </w:r>
          </w:p>
        </w:tc>
      </w:tr>
      <w:tr>
        <w:tc>
          <w:tcPr/>
          <w:p>
            <w:pPr>
              <w:pStyle w:val="Compact"/>
              <w:jc w:val="left"/>
            </w:pPr>
            <w:r>
              <w:t xml:space="preserve">ℵ, A — 2</w:t>
            </w:r>
          </w:p>
        </w:tc>
        <w:tc>
          <w:tcPr/>
          <w:p>
            <w:pPr>
              <w:pStyle w:val="Compact"/>
              <w:jc w:val="left"/>
            </w:pPr>
            <w:r>
              <w:t xml:space="preserve">ℵ, A, B, D — 2</w:t>
            </w:r>
          </w:p>
        </w:tc>
        <w:tc>
          <w:tcPr/>
          <w:p>
            <w:pPr>
              <w:pStyle w:val="Compact"/>
              <w:jc w:val="left"/>
            </w:pPr>
            <w:r>
              <w:t xml:space="preserve">C — 20</w:t>
            </w:r>
          </w:p>
        </w:tc>
      </w:tr>
      <w:tr>
        <w:tc>
          <w:tcPr/>
          <w:p>
            <w:pPr>
              <w:pStyle w:val="Compact"/>
              <w:jc w:val="left"/>
            </w:pPr>
            <w:r>
              <w:t xml:space="preserve">ℵ, B — 1</w:t>
            </w:r>
          </w:p>
        </w:tc>
        <w:tc>
          <w:tcPr/>
          <w:p>
            <w:pPr>
              <w:pStyle w:val="Compact"/>
              <w:jc w:val="left"/>
            </w:pPr>
            <w:r>
              <w:t xml:space="preserve">A, B, C, D — 1</w:t>
            </w:r>
          </w:p>
        </w:tc>
        <w:tc>
          <w:tcPr/>
          <w:p>
            <w:pPr>
              <w:pStyle w:val="Compact"/>
              <w:jc w:val="left"/>
            </w:pPr>
            <w:r>
              <w:t xml:space="preserve">D — 16</w:t>
            </w:r>
          </w:p>
        </w:tc>
      </w:tr>
      <w:tr>
        <w:tc>
          <w:tcPr/>
          <w:p>
            <w:pPr>
              <w:pStyle w:val="Compact"/>
              <w:jc w:val="left"/>
            </w:pPr>
            <w:r>
              <w:t xml:space="preserve">A, D — 1</w:t>
            </w:r>
          </w:p>
        </w:tc>
        <w:tc>
          <w:tcPr/>
          <w:p>
            <w:pPr>
              <w:pStyle w:val="Compact"/>
              <w:jc w:val="left"/>
            </w:pPr>
            <w:r>
              <w:t xml:space="preserve">P</w:t>
            </w:r>
            <w:r>
              <w:rPr>
                <w:vertAlign w:val="superscript"/>
              </w:rPr>
              <w:t xml:space="preserve">8</w:t>
            </w:r>
            <w:r>
              <w:t xml:space="preserve">ℵ, A, B, D — 1</w:t>
            </w:r>
          </w:p>
        </w:tc>
        <w:tc>
          <w:tcPr/>
          <w:p>
            <w:pPr>
              <w:pStyle w:val="Compact"/>
              <w:jc w:val="left"/>
            </w:pPr>
            <w:r>
              <w:t xml:space="preserve">0165 — 1</w:t>
            </w:r>
          </w:p>
        </w:tc>
      </w:tr>
      <w:tr>
        <w:tc>
          <w:tcPr/>
          <w:p>
            <w:pPr>
              <w:pStyle w:val="Compact"/>
              <w:jc w:val="left"/>
            </w:pPr>
            <w:r>
              <w:t xml:space="preserve">A, 0165 — 1</w:t>
            </w:r>
          </w:p>
        </w:tc>
        <w:tc>
          <w:tcPr/>
          <w:p>
            <w:pPr>
              <w:pStyle w:val="Compact"/>
              <w:jc w:val="left"/>
            </w:pPr>
            <w:r>
              <w:t xml:space="preserve">P</w:t>
            </w:r>
            <w:r>
              <w:rPr>
                <w:vertAlign w:val="superscript"/>
              </w:rPr>
              <w:t xml:space="preserve">45</w:t>
            </w:r>
            <w:r>
              <w:t xml:space="preserve">ℵ, A, B, C — 1</w:t>
            </w:r>
          </w:p>
        </w:tc>
        <w:tc>
          <w:tcPr/>
          <w:p>
            <w:pPr>
              <w:pStyle w:val="Compact"/>
            </w:pPr>
          </w:p>
        </w:tc>
      </w:tr>
      <w:tr>
        <w:tc>
          <w:tcPr/>
          <w:p>
            <w:pPr>
              <w:pStyle w:val="Compact"/>
              <w:jc w:val="left"/>
            </w:pPr>
            <w:r>
              <w:t xml:space="preserve">B, D — 2</w:t>
            </w:r>
          </w:p>
        </w:tc>
        <w:tc>
          <w:tcPr/>
          <w:p>
            <w:pPr>
              <w:pStyle w:val="Compact"/>
              <w:jc w:val="left"/>
            </w:pPr>
            <w:r>
              <w:t xml:space="preserve">P</w:t>
            </w:r>
            <w:r>
              <w:rPr>
                <w:vertAlign w:val="superscript"/>
              </w:rPr>
              <w:t xml:space="preserve">48</w:t>
            </w:r>
            <w:r>
              <w:t xml:space="preserve">ℵ, A, B, C — 1</w:t>
            </w:r>
          </w:p>
        </w:tc>
        <w:tc>
          <w:tcPr/>
          <w:p>
            <w:pPr>
              <w:pStyle w:val="Compact"/>
            </w:pPr>
          </w:p>
        </w:tc>
      </w:tr>
      <w:tr>
        <w:tc>
          <w:tcPr/>
          <w:p>
            <w:pPr>
              <w:pStyle w:val="Compact"/>
              <w:jc w:val="left"/>
            </w:pPr>
            <w:r>
              <w:t xml:space="preserve">P</w:t>
            </w:r>
            <w:r>
              <w:rPr>
                <w:vertAlign w:val="superscript"/>
              </w:rPr>
              <w:t xml:space="preserve">45</w:t>
            </w:r>
            <w:r>
              <w:t xml:space="preserve">A, B — 1</w:t>
            </w:r>
          </w:p>
        </w:tc>
        <w:tc>
          <w:tcPr/>
          <w:p>
            <w:pPr>
              <w:pStyle w:val="Compact"/>
              <w:jc w:val="left"/>
            </w:pPr>
            <w:r>
              <w:t xml:space="preserve">ℵ, A, B, C, D — 2</w:t>
            </w:r>
          </w:p>
        </w:tc>
        <w:tc>
          <w:tcPr/>
          <w:p>
            <w:pPr>
              <w:pStyle w:val="Compact"/>
            </w:pPr>
          </w:p>
        </w:tc>
      </w:tr>
    </w:tbl>
    <w:p>
      <w:pPr>
        <w:pStyle w:val="BodyText"/>
      </w:pPr>
      <w:r>
        <w:t xml:space="preserve">Zauważ poświadczenie ze strony trzech wielkich kodeksów „aleksandryjskich”. Jak mogłyby wspierać coś wytworzonego w XII wieku? Powiem to ponownie: jak manuskrypty z IV wieku mogłyby wspierać coś, co nie istniało aż do XII wieku? Spośród łącznie 131 zestawów</w:t>
      </w:r>
      <w:r>
        <w:t xml:space="preserve"> </w:t>
      </w:r>
      <w:r>
        <w:rPr>
          <w:bCs/>
          <w:b/>
        </w:rPr>
        <w:t xml:space="preserve">f</w:t>
      </w:r>
      <w:r>
        <w:rPr>
          <w:vertAlign w:val="superscript"/>
          <w:bCs/>
          <w:b/>
        </w:rPr>
        <w:t xml:space="preserve">35</w:t>
      </w:r>
      <w:r>
        <w:t xml:space="preserve"> </w:t>
      </w:r>
      <w:r>
        <w:t xml:space="preserve">występuje sama 68 razy (52%), a 63 razy ma pewne wczesne poświadczenie (48%). Także tutaj</w:t>
      </w:r>
      <w:r>
        <w:t xml:space="preserve"> </w:t>
      </w:r>
      <w:r>
        <w:rPr>
          <w:bCs/>
          <w:b/>
        </w:rPr>
        <w:t xml:space="preserve">f</w:t>
      </w:r>
      <w:r>
        <w:rPr>
          <w:vertAlign w:val="superscript"/>
          <w:bCs/>
          <w:b/>
        </w:rPr>
        <w:t xml:space="preserve">35</w:t>
      </w:r>
      <w:r>
        <w:t xml:space="preserve"> </w:t>
      </w:r>
      <w:r>
        <w:t xml:space="preserve">jest niezależna od linii przekazu reprezentowanych przez uwzględnione przeze mnie wczesne manuskrypty, nie istnieje więc żaden wzorzec. Skoro nie istnieje wzorzec, nie istnieje zależność, a zatem</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musi być starożytny i sięgać co najmniej IV wieku. Skoro nie istnieje wzorzec ani zależność, nie można twierdzić, że starożytne są jedynie poszczególne odczyty. Powtarzam: dowody wskazują, że niemożliwe jest, aby</w:t>
      </w:r>
      <w:r>
        <w:t xml:space="preserve"> </w:t>
      </w:r>
      <w:r>
        <w:rPr>
          <w:bCs/>
          <w:b/>
        </w:rPr>
        <w:t xml:space="preserve">f</w:t>
      </w:r>
      <w:r>
        <w:rPr>
          <w:vertAlign w:val="superscript"/>
          <w:bCs/>
          <w:b/>
        </w:rPr>
        <w:t xml:space="preserve">35</w:t>
      </w:r>
      <w:r>
        <w:t xml:space="preserve"> </w:t>
      </w:r>
      <w:r>
        <w:t xml:space="preserve">była oparta na masie bizantyjskiej. Każdy, kto nadal tak twierdzi, jest w najlepszym razie niedoinformowany.</w:t>
      </w:r>
      <w:r>
        <w:t xml:space="preserve"> </w:t>
      </w:r>
      <w:r>
        <w:rPr>
          <w:bCs/>
          <w:b/>
        </w:rPr>
        <w:t xml:space="preserve">K</w:t>
      </w:r>
      <w:r>
        <w:rPr>
          <w:vertAlign w:val="superscript"/>
          <w:bCs/>
          <w:b/>
        </w:rPr>
        <w:t xml:space="preserve">r</w:t>
      </w:r>
      <w:r>
        <w:t xml:space="preserve"> </w:t>
      </w:r>
      <w:r>
        <w:t xml:space="preserve">von Sodena należy wycofać i zastąpić przez</w:t>
      </w:r>
      <w:r>
        <w:t xml:space="preserve"> </w:t>
      </w:r>
      <w:r>
        <w:rPr>
          <w:bCs/>
          <w:b/>
        </w:rPr>
        <w:t xml:space="preserve">f</w:t>
      </w:r>
      <w:r>
        <w:rPr>
          <w:vertAlign w:val="superscript"/>
          <w:bCs/>
          <w:b/>
        </w:rPr>
        <w:t xml:space="preserve">35</w:t>
      </w:r>
      <w:r>
        <w:t xml:space="preserve"> </w:t>
      </w:r>
      <w:r>
        <w:t xml:space="preserve">albo</w:t>
      </w:r>
      <w:r>
        <w:t xml:space="preserve"> </w:t>
      </w:r>
      <w:r>
        <w:rPr>
          <w:bCs/>
          <w:b/>
        </w:rPr>
        <w:t xml:space="preserve">f</w:t>
      </w:r>
      <w:r>
        <w:rPr>
          <w:vertAlign w:val="superscript"/>
          <w:bCs/>
          <w:b/>
        </w:rPr>
        <w:t xml:space="preserve">18</w:t>
      </w:r>
      <w:r>
        <w:t xml:space="preserve">.</w:t>
      </w:r>
    </w:p>
    <w:bookmarkEnd w:id="242"/>
    <w:bookmarkEnd w:id="243"/>
    <w:bookmarkStart w:id="256" w:name="Xe17f905824097e298a0800dc5761a07bcbdc942"/>
    <w:p>
      <w:pPr>
        <w:pStyle w:val="Heading2"/>
      </w:pPr>
      <w:r>
        <w:t xml:space="preserve">Precz z kaczkami dziennikarskimi!</w:t>
      </w:r>
      <w:r>
        <w:rPr>
          <w:rStyle w:val="FootnoteReference"/>
        </w:rPr>
        <w:footnoteReference w:id="244"/>
      </w:r>
    </w:p>
    <w:p>
      <w:pPr>
        <w:pStyle w:val="BodyText"/>
      </w:pPr>
      <w:r>
        <w:t xml:space="preserve">Dawno, dawno temu pewien starszy profesor greki w pewnym seminarium teologicznym przesłał mi osobistą wiadomość, w której stwierdził: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Następnie inny profesor greki przesłał mi kolejną osobistą wiadomość: „Wszystko to oparte, ze wszystkich możliwych rzeczy, na nurcie</w:t>
      </w:r>
      <w:r>
        <w:t xml:space="preserve"> </w:t>
      </w:r>
      <w:r>
        <w:rPr>
          <w:bCs/>
          <w:b/>
        </w:rPr>
        <w:t xml:space="preserve">K</w:t>
      </w:r>
      <w:r>
        <w:rPr>
          <w:vertAlign w:val="superscript"/>
          <w:bCs/>
          <w:b/>
        </w:rPr>
        <w:t xml:space="preserve">r</w:t>
      </w:r>
      <w:r>
        <w:t xml:space="preserve">? Krytycy tekstu, którzy pracowali nad tym nurtem, wszyscy wcześniej mówili, że był on najstarszy (</w:t>
      </w:r>
      <w:r>
        <w:rPr>
          <w:iCs/>
          <w:i/>
        </w:rPr>
        <w:t xml:space="preserve">sic</w:t>
      </w:r>
      <w:r>
        <w:t xml:space="preserve">, przypuszczalnie miał na myśli „najpóźniejszy”), ale teraz twierdzi pan, że doskonale reprezentuje autograf? Czy istnieją manuskrypty</w:t>
      </w:r>
      <w:r>
        <w:t xml:space="preserve"> </w:t>
      </w:r>
      <w:r>
        <w:rPr>
          <w:bCs/>
          <w:b/>
        </w:rPr>
        <w:t xml:space="preserve">K</w:t>
      </w:r>
      <w:r>
        <w:rPr>
          <w:vertAlign w:val="superscript"/>
          <w:bCs/>
          <w:b/>
        </w:rPr>
        <w:t xml:space="preserve">r</w:t>
      </w:r>
      <w:r>
        <w:t xml:space="preserve"> </w:t>
      </w:r>
      <w:r>
        <w:t xml:space="preserve">sprzed X-XI wieku?” (Obaj zacytowani wyżej mężczyźni mają doktorat z krytyki tekstu Nowego Testamentu i chciałoby się sądzić, że sprawdzili dowody).</w:t>
      </w:r>
    </w:p>
    <w:p>
      <w:pPr>
        <w:pStyle w:val="BodyText"/>
      </w:pPr>
      <w:r>
        <w:t xml:space="preserve">Rozważ następującą wypowiedź Kirsoppa Lake’a:</w:t>
      </w:r>
    </w:p>
    <w:p>
      <w:pPr>
        <w:pStyle w:val="BlockText"/>
      </w:pPr>
      <w:r>
        <w:t xml:space="preserve">Autorzy piszący o tekście Nowego Testamentu zazwyczaj przepisują od siebie nawzajem stwierdzenie, że Chryzostom posługiwał się tekstem bizantyjskim lub antiocheńskim. Gdy jednak tylko podejmie się jakiekolwiek badanie, nawet na podstawie drukowanego tekstu jego dzieł staje się oczywiste, że w cytowanym przez niego tekście występuje wiele istotnych wariantów i że najwyraźniej nie był on identyczny z tekstem znajdującym się w manuskryptach tekstu bizantyjskiego.</w:t>
      </w:r>
      <w:r>
        <w:rPr>
          <w:rStyle w:val="FootnoteReference"/>
        </w:rPr>
        <w:footnoteReference w:id="245"/>
      </w:r>
    </w:p>
    <w:p>
      <w:pPr>
        <w:pStyle w:val="FirstParagraph"/>
      </w:pPr>
      <w:r>
        <w:t xml:space="preserve">Spędziwszy samemu od czasu do czasu rok w tajemnych korytarzach środowiska akademickiego, zauważyłem, że bezkrytyczne powtarzanie rzeczy, które „wszyscy wiedzą”, jest naprawdę dość powszechne niemal w każdej dyscyplinie. Jak zauważył wyżej Lake, krytyka tekstu Nowego Testamentu nie stanowi wyjątku.</w:t>
      </w:r>
    </w:p>
    <w:p>
      <w:pPr>
        <w:pStyle w:val="BodyText"/>
      </w:pPr>
      <w:r>
        <w:t xml:space="preserve">Przyjmuję, że Hermann von Soden jako pierwszy formalnie zidentyfikował swój</w:t>
      </w:r>
      <w:r>
        <w:t xml:space="preserve"> </w:t>
      </w:r>
      <w:r>
        <w:rPr>
          <w:bCs/>
          <w:b/>
        </w:rPr>
        <w:t xml:space="preserve">K</w:t>
      </w:r>
      <w:r>
        <w:rPr>
          <w:vertAlign w:val="superscript"/>
          <w:bCs/>
          <w:b/>
        </w:rPr>
        <w:t xml:space="preserve">r</w:t>
      </w:r>
      <w:r>
        <w:t xml:space="preserve"> </w:t>
      </w:r>
      <w:r>
        <w:t xml:space="preserve">jako odrębny typ tekstu, przy czym „r” oznaczało „rewizję”, ponieważ uważał go za rewizję opartą na swoim</w:t>
      </w:r>
      <w:r>
        <w:t xml:space="preserve"> </w:t>
      </w:r>
      <w:r>
        <w:rPr>
          <w:bCs/>
          <w:b/>
        </w:rPr>
        <w:t xml:space="preserve">K</w:t>
      </w:r>
      <w:r>
        <w:rPr>
          <w:vertAlign w:val="superscript"/>
          <w:bCs/>
          <w:b/>
        </w:rPr>
        <w:t xml:space="preserve">x</w:t>
      </w:r>
      <w:r>
        <w:t xml:space="preserve">. Otóż z definicji „rewizji” dokonuje konkretna osoba, w konkretnym czasie i w konkretnym miejscu. Rozumiem, że w naszej dyscyplinie „rewizja” i „recenzja” są synonimami. Rozważ: „Tekst syryjski musi być w istocie wynikiem «recenzji» we właściwym znaczeniu tego słowa, dziełem zamierzonej krytyki, przeprowadzonej celowo przez redaktorów, a nie jedynie przez skrybów”.</w:t>
      </w:r>
      <w:r>
        <w:rPr>
          <w:rStyle w:val="FootnoteReference"/>
        </w:rPr>
        <w:footnoteReference w:id="246"/>
      </w:r>
      <w:r>
        <w:t xml:space="preserve"> </w:t>
      </w:r>
      <w:r>
        <w:t xml:space="preserve">Nie mam zwyczaju odwoływać się do Fentona Johna Anthony’ego Horta, ale jego rozumienie „recenzji” jest przypuszczalnie poprawne. Recenzję tworzy określona osoba (lub grupa) w określonym czasie i miejscu. Jeśli ktoś chce postulować lub twierdzić, że dokonano recenzji/rewizji, i robić to odpowiedzialnie, musi wskazać źródło oraz przedstawić pewne dowody.</w:t>
      </w:r>
      <w:r>
        <w:rPr>
          <w:rStyle w:val="FootnoteReference"/>
        </w:rPr>
        <w:footnoteReference w:id="247"/>
      </w:r>
    </w:p>
    <w:p>
      <w:pPr>
        <w:pStyle w:val="BodyText"/>
      </w:pPr>
      <w:r>
        <w:t xml:space="preserve">Na jakiej zatem podstawie von Soden twierdził, że jego</w:t>
      </w:r>
      <w:r>
        <w:t xml:space="preserve"> </w:t>
      </w:r>
      <w:r>
        <w:rPr>
          <w:bCs/>
          <w:b/>
        </w:rPr>
        <w:t xml:space="preserve">K</w:t>
      </w:r>
      <w:r>
        <w:rPr>
          <w:vertAlign w:val="superscript"/>
          <w:bCs/>
          <w:b/>
        </w:rPr>
        <w:t xml:space="preserve">r</w:t>
      </w:r>
      <w:r>
        <w:t xml:space="preserve"> </w:t>
      </w:r>
      <w:r>
        <w:t xml:space="preserve">(który nazywam Rodziną 35) był rewizją jego</w:t>
      </w:r>
      <w:r>
        <w:t xml:space="preserve"> </w:t>
      </w:r>
      <w:r>
        <w:rPr>
          <w:bCs/>
          <w:b/>
        </w:rPr>
        <w:t xml:space="preserve">K</w:t>
      </w:r>
      <w:r>
        <w:rPr>
          <w:vertAlign w:val="superscript"/>
          <w:bCs/>
          <w:b/>
        </w:rPr>
        <w:t xml:space="preserve">x</w:t>
      </w:r>
      <w:r>
        <w:t xml:space="preserve"> </w:t>
      </w:r>
      <w:r>
        <w:t xml:space="preserve">i powstał w XII wieku? Gdyby rzeczywiście zwrócił uwagę na dowody dostępne w jego własnym</w:t>
      </w:r>
      <w:r>
        <w:t xml:space="preserve"> </w:t>
      </w:r>
      <w:r>
        <w:rPr>
          <w:iCs/>
          <w:i/>
        </w:rPr>
        <w:t xml:space="preserve">magnum opus</w:t>
      </w:r>
      <w:r>
        <w:t xml:space="preserve">,</w:t>
      </w:r>
      <w:r>
        <w:t xml:space="preserve"> </w:t>
      </w:r>
      <w:r>
        <w:rPr>
          <w:iCs/>
          <w:i/>
        </w:rPr>
        <w:t xml:space="preserve">Die Schriften des Neuen Testaments</w:t>
      </w:r>
      <w:r>
        <w:t xml:space="preserve"> </w:t>
      </w:r>
      <w:r>
        <w:t xml:space="preserve">(4 tomy, Getynga: Vandenhoeck und Ruprecht, 1911-1913), nie mógłby tego uczynić, przynajmniej nie uczciwie. Czy jednak był uczciwy? Przynajmniej w odniesieniu do Ewangelii Jana 7,53-8,11 (</w:t>
      </w:r>
      <w:r>
        <w:rPr>
          <w:iCs/>
          <w:i/>
        </w:rPr>
        <w:t xml:space="preserve">PA</w:t>
      </w:r>
      <w:r>
        <w:t xml:space="preserve">) sądzę, że nie. Twierdził, że skolacjonował około 900 manuskryptów dla tej perykopy, i na tej podstawie postulował siedem rodzin lub linii przekazu, a nawet odtworzył rzekomą archetypalną formę każdej z nich. Hodges i Farstad uwierzyli mu na słowo i odzwierciedlili jego przedstawienie dowodów w swoim aparacie krytycznym, ja zaś, z braku czegoś lepszego, odzwierciedlam aparat H-F w swoim aparacie (dla tej perykopy), z tym wyjątkiem, że gwarantuję świadectwo</w:t>
      </w:r>
      <w:r>
        <w:t xml:space="preserve"> </w:t>
      </w:r>
      <w:r>
        <w:rPr>
          <w:bCs/>
          <w:b/>
        </w:rPr>
        <w:t xml:space="preserve">M</w:t>
      </w:r>
      <w:r>
        <w:rPr>
          <w:vertAlign w:val="superscript"/>
          <w:bCs/>
          <w:b/>
        </w:rPr>
        <w:t xml:space="preserve">7</w:t>
      </w:r>
      <w:r>
        <w:t xml:space="preserve"> </w:t>
      </w:r>
      <w:r>
        <w:t xml:space="preserve">(mojej Rodziny 35) na podstawie osobistego zbadania kolacjonowań Robinsona, zobacz niżej.</w:t>
      </w:r>
    </w:p>
    <w:p>
      <w:pPr>
        <w:pStyle w:val="BodyText"/>
      </w:pPr>
      <w:r>
        <w:t xml:space="preserve">Jednak kilka lat temu Maurice Robinson przeprowadził pełne kolacjonowanie 1389 manuskryptów zawierających</w:t>
      </w:r>
      <w:r>
        <w:t xml:space="preserve"> </w:t>
      </w:r>
      <w:r>
        <w:rPr>
          <w:iCs/>
          <w:i/>
        </w:rPr>
        <w:t xml:space="preserve">PA</w:t>
      </w:r>
      <w:r>
        <w:t xml:space="preserve">,</w:t>
      </w:r>
      <w:r>
        <w:rPr>
          <w:rStyle w:val="FootnoteReference"/>
        </w:rPr>
        <w:footnoteReference w:id="248"/>
      </w:r>
      <w:r>
        <w:t xml:space="preserve"> </w:t>
      </w:r>
      <w:r>
        <w:t xml:space="preserve">a ja przez dwa miesiące miałem w swoim posiadaniu fotokopię tych kolacjonowań należącą do Williama Pierponta i większość tego czasu spędziłem na ich badaniu. Gdy to robiłem, stało się dla mnie oczywiste, że von Soden „uregulował” dane, arbitralnie „tworząc” rzekomą archetypalną formę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i mają odrębne profile, ale są nieco „grząskie”, z wystarczającym pomieszaniem wewnętrznym, aby wybór formy archetypalnej był arbitralny. W przeciwieństwie do powyższych jego</w:t>
      </w:r>
      <w:r>
        <w:t xml:space="preserve"> </w:t>
      </w:r>
      <w:r>
        <w:rPr>
          <w:bCs/>
          <w:b/>
        </w:rPr>
        <w:t xml:space="preserve">M</w:t>
      </w:r>
      <w:r>
        <w:rPr>
          <w:vertAlign w:val="superscript"/>
          <w:bCs/>
          <w:b/>
        </w:rPr>
        <w:t xml:space="preserve">7</w:t>
      </w:r>
      <w:r>
        <w:t xml:space="preserve"> </w:t>
      </w:r>
      <w:r>
        <w:t xml:space="preserve">(którą nazywam Rodziną 35) ma stabilny, jednoznaczny profil — forma archetypalna jest możliwa do wykazania, ustalona empirycznie.</w:t>
      </w:r>
    </w:p>
    <w:p>
      <w:pPr>
        <w:pStyle w:val="BodyText"/>
      </w:pPr>
      <w:r>
        <w:t xml:space="preserve">Dawno, dawno temu zostałem doprowadzony do przekonania, że praca von Sodena była stosunkowo wiarygodna. Było to ważne, ponieważ jego praca stanowi podstawę zarówno wydania Tekstu Większościowego Hodgesa-Farstada, jak i Robinsona-Pierponta. Kolacjonowania</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249"/>
      </w:r>
      <w:r>
        <w:t xml:space="preserve"> </w:t>
      </w:r>
      <w:r>
        <w:t xml:space="preserve">wykazują jednak obiektywnie, że von Soden nierzadko poważnie mija się z celem. W odniesieniu do potraktowania kodeksu 223 przez von Sodena K.W. Clark napisał: „Ponadto nasze kolacjonowanie ujawniło sześćdziesiąt dwa błędy w 229 odczytach uwzględnionych przez von Sodena”.</w:t>
      </w:r>
      <w:r>
        <w:rPr>
          <w:rStyle w:val="FootnoteReference"/>
        </w:rPr>
        <w:footnoteReference w:id="250"/>
      </w:r>
      <w:r>
        <w:t xml:space="preserve"> </w:t>
      </w:r>
      <w:r>
        <w:t xml:space="preserve">27% błędów (62 ÷ 229) to zdecydowanie zbyt wiele, a to, co jest prawdą o manuskrypcie 223, może być prawdą również o innych manuskryptach. Proszę, zatrzymaj się i pomyśl o tym przez chwilę. 27% błędów nie można przypisać zwykłej nieuwadze ani nawet niedbałości, zwykła nieuwaga nie powinna przekraczać 5%. Naprawdę wygląda to tak, jakby czytelnik był celowo wprowadzany w błąd, a to jest nieuczciwe. H.C. Hoskier nie mylił się całkowicie w swojej ocenie.</w:t>
      </w:r>
    </w:p>
    <w:p>
      <w:pPr>
        <w:pStyle w:val="BodyText"/>
      </w:pPr>
      <w:r>
        <w:t xml:space="preserve">Co więcej, jak</w:t>
      </w:r>
      <w:r>
        <w:t xml:space="preserve"> </w:t>
      </w:r>
      <w:r>
        <w:rPr>
          <w:bCs/>
          <w:b/>
        </w:rPr>
        <w:t xml:space="preserve">K</w:t>
      </w:r>
      <w:r>
        <w:rPr>
          <w:vertAlign w:val="superscript"/>
          <w:bCs/>
          <w:b/>
        </w:rPr>
        <w:t xml:space="preserve">r</w:t>
      </w:r>
      <w:r>
        <w:t xml:space="preserve"> </w:t>
      </w:r>
      <w:r>
        <w:t xml:space="preserve">mógłby być rewizją</w:t>
      </w:r>
      <w:r>
        <w:t xml:space="preserve"> </w:t>
      </w:r>
      <w:r>
        <w:rPr>
          <w:bCs/>
          <w:b/>
        </w:rPr>
        <w:t xml:space="preserve">K</w:t>
      </w:r>
      <w:r>
        <w:rPr>
          <w:vertAlign w:val="superscript"/>
          <w:bCs/>
          <w:b/>
        </w:rPr>
        <w:t xml:space="preserve">x</w:t>
      </w:r>
      <w:r>
        <w:t xml:space="preserve">, skoro</w:t>
      </w:r>
      <w:r>
        <w:t xml:space="preserve"> </w:t>
      </w:r>
      <w:r>
        <w:rPr>
          <w:bCs/>
          <w:b/>
        </w:rPr>
        <w:t xml:space="preserve">K</w:t>
      </w:r>
      <w:r>
        <w:rPr>
          <w:vertAlign w:val="superscript"/>
          <w:bCs/>
          <w:b/>
        </w:rPr>
        <w:t xml:space="preserve">x</w:t>
      </w:r>
      <w:r>
        <w:t xml:space="preserve"> </w:t>
      </w:r>
      <w:r>
        <w:t xml:space="preserve">nawet nie istnieje? Sam Soden doskonale wiedział, że w</w:t>
      </w:r>
      <w:r>
        <w:t xml:space="preserve"> </w:t>
      </w:r>
      <w:r>
        <w:rPr>
          <w:iCs/>
          <w:i/>
        </w:rPr>
        <w:t xml:space="preserve">PA</w:t>
      </w:r>
      <w:r>
        <w:t xml:space="preserve"> </w:t>
      </w:r>
      <w:r>
        <w:t xml:space="preserve">nie ma</w:t>
      </w:r>
      <w:r>
        <w:t xml:space="preserve"> </w:t>
      </w:r>
      <w:r>
        <w:rPr>
          <w:bCs/>
          <w:b/>
        </w:rPr>
        <w:t xml:space="preserve">K</w:t>
      </w:r>
      <w:r>
        <w:rPr>
          <w:vertAlign w:val="superscript"/>
          <w:bCs/>
          <w:b/>
        </w:rPr>
        <w:t xml:space="preserve">x</w:t>
      </w:r>
      <w:r>
        <w:t xml:space="preserve">. Kolacjonowania H.C. Hoskiera dowodzą, że</w:t>
      </w:r>
      <w:r>
        <w:t xml:space="preserve"> </w:t>
      </w:r>
      <w:r>
        <w:rPr>
          <w:bCs/>
          <w:b/>
        </w:rPr>
        <w:t xml:space="preserve">K</w:t>
      </w:r>
      <w:r>
        <w:rPr>
          <w:vertAlign w:val="superscript"/>
          <w:bCs/>
          <w:b/>
        </w:rPr>
        <w:t xml:space="preserve">x</w:t>
      </w:r>
      <w:r>
        <w:t xml:space="preserve"> </w:t>
      </w:r>
      <w:r>
        <w:t xml:space="preserve">z pewnością nie istnieje w Objawieniu Jana. 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przyjrzenie się ich kolacjonowaniom wskazuje, że</w:t>
      </w:r>
      <w:r>
        <w:t xml:space="preserve"> </w:t>
      </w:r>
      <w:r>
        <w:rPr>
          <w:bCs/>
          <w:b/>
        </w:rPr>
        <w:t xml:space="preserve">K</w:t>
      </w:r>
      <w:r>
        <w:rPr>
          <w:vertAlign w:val="superscript"/>
          <w:bCs/>
          <w:b/>
        </w:rPr>
        <w:t xml:space="preserve">x</w:t>
      </w:r>
      <w:r>
        <w:t xml:space="preserve"> </w:t>
      </w:r>
      <w:r>
        <w:t xml:space="preserve">prawdopodobnie nie istnieje nigdzie.</w:t>
      </w:r>
    </w:p>
    <w:p>
      <w:pPr>
        <w:pStyle w:val="BodyText"/>
      </w:pPr>
      <w:r>
        <w:t xml:space="preserve">Weźmy na przykład tomy</w:t>
      </w:r>
      <w:r>
        <w:t xml:space="preserve"> </w:t>
      </w:r>
      <w:r>
        <w:rPr>
          <w:iCs/>
          <w:i/>
        </w:rPr>
        <w:t xml:space="preserve">TuT</w:t>
      </w:r>
      <w:r>
        <w:t xml:space="preserve"> </w:t>
      </w:r>
      <w:r>
        <w:t xml:space="preserve">dotyczące rozdziałów 1-10 Ewangelii Jana. Zbadano w nich łącznie 1763 manuskrypty (dla 153 zestawów wariantów), a wyniki zamieszczono w dwóch tomach. Strony 54-90 (tom 1) zawierają „Grupowania według stopni zgodności”, „zgadzające się częściej ze sobą niż z tekstem większościowym”. Użyto tylko jednego symbolu grupy, właśnie</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kolejni przedstawiciele mają tylko oznaczenie</w:t>
      </w:r>
      <w:r>
        <w:t xml:space="preserve"> </w:t>
      </w:r>
      <w:r>
        <w:rPr>
          <w:bCs/>
          <w:b/>
        </w:rPr>
        <w:t xml:space="preserve">K</w:t>
      </w:r>
      <w:r>
        <w:rPr>
          <w:vertAlign w:val="superscript"/>
          <w:bCs/>
          <w:b/>
        </w:rPr>
        <w:t xml:space="preserve">r</w:t>
      </w:r>
      <w:r>
        <w:t xml:space="preserve">. Spośród 120 ostatnich sześć wykazuje zgodność na poziomie 98%, wszystkie pozostałe na poziomie 99% (74) lub 100% (40). Powiedziałbym, że Rodzina 35 w Ewangeliach ma ponad 250 przedstawicieli, tutejszy ranking opiera się tylko na 153 zestawach wariantów (zobacz jednak, co dzieje się poniżej).</w:t>
      </w:r>
    </w:p>
    <w:p>
      <w:pPr>
        <w:pStyle w:val="BodyText"/>
      </w:pPr>
      <w:r>
        <w:t xml:space="preserve">Grupa, na której czele stoi manuskrypt 18, liczy 120 manuskryptów i jest jedyną, która otrzymuje symbol grupy, będąc zdecydowanie największą. Czy istnieją jednak inne grupy o znaczącej wielkości? Wymienię je teraz w kolejności malejącej, zaczynając od tych, które liczą 40 lub więcej: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2103</w:t>
            </w:r>
          </w:p>
        </w:tc>
        <w:tc>
          <w:tcPr/>
          <w:p>
            <w:pPr>
              <w:pStyle w:val="Compact"/>
              <w:jc w:val="right"/>
            </w:pPr>
            <w:r>
              <w:t xml:space="preserve">52</w:t>
            </w:r>
          </w:p>
        </w:tc>
        <w:tc>
          <w:tcPr/>
          <w:p>
            <w:pPr>
              <w:pStyle w:val="Compact"/>
              <w:jc w:val="left"/>
            </w:pPr>
            <w:r>
              <w:t xml:space="preserve">95% (15), 97% (20), 98% (13), 100% (4)</w:t>
            </w:r>
          </w:p>
        </w:tc>
      </w:tr>
      <w:tr>
        <w:tc>
          <w:tcPr/>
          <w:p>
            <w:pPr>
              <w:pStyle w:val="Compact"/>
              <w:jc w:val="left"/>
            </w:pPr>
            <w:r>
              <w:t xml:space="preserve">318</w:t>
            </w:r>
          </w:p>
        </w:tc>
        <w:tc>
          <w:tcPr/>
          <w:p>
            <w:pPr>
              <w:pStyle w:val="Compact"/>
              <w:jc w:val="right"/>
            </w:pPr>
            <w:r>
              <w:t xml:space="preserve">44</w:t>
            </w:r>
          </w:p>
        </w:tc>
        <w:tc>
          <w:tcPr/>
          <w:p>
            <w:pPr>
              <w:pStyle w:val="Compact"/>
              <w:jc w:val="left"/>
            </w:pPr>
            <w:r>
              <w:t xml:space="preserve">96% (1), 97% (24), 98% (6), 99% (10), 100% (4)</w:t>
            </w:r>
          </w:p>
        </w:tc>
      </w:tr>
      <w:tr>
        <w:tc>
          <w:tcPr/>
          <w:p>
            <w:pPr>
              <w:pStyle w:val="Compact"/>
              <w:jc w:val="left"/>
            </w:pPr>
            <w:r>
              <w:t xml:space="preserve">961</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1576</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1247</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2692</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1058</w:t>
            </w:r>
          </w:p>
        </w:tc>
        <w:tc>
          <w:tcPr/>
          <w:p>
            <w:pPr>
              <w:pStyle w:val="Compact"/>
              <w:jc w:val="right"/>
            </w:pPr>
            <w:r>
              <w:t xml:space="preserve">40</w:t>
            </w:r>
          </w:p>
        </w:tc>
        <w:tc>
          <w:tcPr/>
          <w:p>
            <w:pPr>
              <w:pStyle w:val="Compact"/>
              <w:jc w:val="left"/>
            </w:pPr>
            <w:r>
              <w:t xml:space="preserve">97% (1), 98% (17), 99% (15), 100% (7)</w:t>
            </w:r>
          </w:p>
        </w:tc>
      </w:tr>
      <w:tr>
        <w:tc>
          <w:tcPr/>
          <w:p>
            <w:pPr>
              <w:pStyle w:val="Compact"/>
              <w:jc w:val="left"/>
            </w:pPr>
            <w:r>
              <w:t xml:space="preserve">1328</w:t>
            </w:r>
          </w:p>
        </w:tc>
        <w:tc>
          <w:tcPr/>
          <w:p>
            <w:pPr>
              <w:pStyle w:val="Compact"/>
              <w:jc w:val="right"/>
            </w:pPr>
            <w:r>
              <w:t xml:space="preserve">40</w:t>
            </w:r>
          </w:p>
        </w:tc>
        <w:tc>
          <w:tcPr/>
          <w:p>
            <w:pPr>
              <w:pStyle w:val="Compact"/>
              <w:jc w:val="left"/>
            </w:pPr>
            <w:r>
              <w:t xml:space="preserve">98% (6), 99% (33), 100% (1)</w:t>
            </w:r>
          </w:p>
        </w:tc>
      </w:tr>
      <w:tr>
        <w:tc>
          <w:tcPr/>
          <w:p>
            <w:pPr>
              <w:pStyle w:val="Compact"/>
              <w:jc w:val="left"/>
            </w:pPr>
            <w:r>
              <w:t xml:space="preserve">1618</w:t>
            </w:r>
          </w:p>
        </w:tc>
        <w:tc>
          <w:tcPr/>
          <w:p>
            <w:pPr>
              <w:pStyle w:val="Compact"/>
              <w:jc w:val="right"/>
            </w:pPr>
            <w:r>
              <w:t xml:space="preserve">40</w:t>
            </w:r>
          </w:p>
        </w:tc>
        <w:tc>
          <w:tcPr/>
          <w:p>
            <w:pPr>
              <w:pStyle w:val="Compact"/>
              <w:jc w:val="left"/>
            </w:pPr>
            <w:r>
              <w:t xml:space="preserve">100% (wszystkie)</w:t>
            </w:r>
          </w:p>
        </w:tc>
      </w:tr>
      <w:tr>
        <w:tc>
          <w:tcPr/>
          <w:p>
            <w:pPr>
              <w:pStyle w:val="Compact"/>
              <w:jc w:val="left"/>
            </w:pPr>
            <w:r>
              <w:t xml:space="preserve">2714</w:t>
            </w:r>
          </w:p>
        </w:tc>
        <w:tc>
          <w:tcPr/>
          <w:p>
            <w:pPr>
              <w:pStyle w:val="Compact"/>
              <w:jc w:val="right"/>
            </w:pPr>
            <w:r>
              <w:t xml:space="preserve">40</w:t>
            </w:r>
          </w:p>
        </w:tc>
        <w:tc>
          <w:tcPr/>
          <w:p>
            <w:pPr>
              <w:pStyle w:val="Compact"/>
              <w:jc w:val="left"/>
            </w:pPr>
            <w:r>
              <w:t xml:space="preserve">98% (6), 99% (33), 100% (1)</w:t>
            </w:r>
          </w:p>
        </w:tc>
      </w:tr>
    </w:tbl>
    <w:p>
      <w:pPr>
        <w:pStyle w:val="BodyText"/>
      </w:pPr>
      <w:r>
        <w:t xml:space="preserve">Otóż 961, 1576, 1247, 2692, 1328, 1618 i 2714 wszystkie należą do Rodziny 35 (</w:t>
      </w:r>
      <w:r>
        <w:rPr>
          <w:bCs/>
          <w:b/>
        </w:rPr>
        <w:t xml:space="preserve">K</w:t>
      </w:r>
      <w:r>
        <w:rPr>
          <w:vertAlign w:val="superscript"/>
          <w:bCs/>
          <w:b/>
        </w:rPr>
        <w:t xml:space="preserve">r</w:t>
      </w:r>
      <w:r>
        <w:t xml:space="preserve">), co pozostawia jedynie 2103, 318 i 1058. Gdy patrzymy na kolumnę „spójność”, zauważamy, że grupy 961, 1576, 1247 i 2692 są takie same, a po sprawdzeniu potwierdzamy, że listy manuskryptów są niemal identyczne — możemy więc dodać 40 manuskryptów do 120 już oznaczonych jako</w:t>
      </w:r>
      <w:r>
        <w:t xml:space="preserve"> </w:t>
      </w:r>
      <w:r>
        <w:rPr>
          <w:bCs/>
          <w:b/>
        </w:rPr>
        <w:t xml:space="preserve">K</w:t>
      </w:r>
      <w:r>
        <w:rPr>
          <w:vertAlign w:val="superscript"/>
          <w:bCs/>
          <w:b/>
        </w:rPr>
        <w:t xml:space="preserve">r</w:t>
      </w:r>
      <w:r>
        <w:t xml:space="preserve">. Grupy 1618 i 2714 w dużym stopniu się pokrywają, a 1328 pokrywa się częściowo, możemy więc dodać co najmniej kolejnych 20. Przyjrzyjmy się teraz trzem pozostałym: 2103, 318 i 1058. Pamiętając, że próg dla</w:t>
      </w:r>
      <w:r>
        <w:t xml:space="preserve"> </w:t>
      </w:r>
      <w:r>
        <w:rPr>
          <w:bCs/>
          <w:b/>
        </w:rPr>
        <w:t xml:space="preserve">K</w:t>
      </w:r>
      <w:r>
        <w:rPr>
          <w:vertAlign w:val="superscript"/>
          <w:bCs/>
          <w:b/>
        </w:rPr>
        <w:t xml:space="preserve">r</w:t>
      </w:r>
      <w:r>
        <w:t xml:space="preserve"> </w:t>
      </w:r>
      <w:r>
        <w:t xml:space="preserve">wynosił 98%, zauważamy, że ponad połowa grup 2103 i 318 znajduje się poniżej tego progu, grupy te nie są więc stabilne. 1058 wypada lepiej, ale niemal połowa znajduje się poniżej 99% (wszystkie grupy</w:t>
      </w:r>
      <w:r>
        <w:t xml:space="preserve"> </w:t>
      </w:r>
      <w:r>
        <w:rPr>
          <w:bCs/>
          <w:b/>
        </w:rPr>
        <w:t xml:space="preserve">f</w:t>
      </w:r>
      <w:r>
        <w:rPr>
          <w:vertAlign w:val="superscript"/>
          <w:bCs/>
          <w:b/>
        </w:rPr>
        <w:t xml:space="preserve">35</w:t>
      </w:r>
      <w:r>
        <w:t xml:space="preserve"> </w:t>
      </w:r>
      <w:r>
        <w:t xml:space="preserve">mają przeważnie 99% lub 100%). Istotne może być spostrzeżenie, że manuskrypt 1058 należy prawdopodobnie do obrzeży</w:t>
      </w:r>
      <w:r>
        <w:t xml:space="preserve"> </w:t>
      </w:r>
      <w:r>
        <w:rPr>
          <w:bCs/>
          <w:b/>
        </w:rPr>
        <w:t xml:space="preserve">f</w:t>
      </w:r>
      <w:r>
        <w:rPr>
          <w:vertAlign w:val="superscript"/>
          <w:bCs/>
          <w:b/>
        </w:rPr>
        <w:t xml:space="preserve">35</w:t>
      </w:r>
      <w:r>
        <w:t xml:space="preserve">. Gdzie zatem jest</w:t>
      </w:r>
      <w:r>
        <w:t xml:space="preserve"> </w:t>
      </w:r>
      <w:r>
        <w:rPr>
          <w:bCs/>
          <w:b/>
        </w:rPr>
        <w:t xml:space="preserve">K</w:t>
      </w:r>
      <w:r>
        <w:rPr>
          <w:vertAlign w:val="superscript"/>
          <w:bCs/>
          <w:b/>
        </w:rPr>
        <w:t xml:space="preserve">x</w:t>
      </w:r>
      <w:r>
        <w:t xml:space="preserve">?</w:t>
      </w:r>
    </w:p>
    <w:p>
      <w:pPr>
        <w:pStyle w:val="BodyText"/>
      </w:pPr>
      <w:r>
        <w:t xml:space="preserve">Wymienię teraz grupy liczące od 25 do 39 manuskryptów, w kolejności malejącej: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1638</w:t>
            </w:r>
          </w:p>
        </w:tc>
        <w:tc>
          <w:tcPr/>
          <w:p>
            <w:pPr>
              <w:pStyle w:val="Compact"/>
              <w:jc w:val="right"/>
            </w:pPr>
            <w:r>
              <w:t xml:space="preserve">37</w:t>
            </w:r>
          </w:p>
        </w:tc>
        <w:tc>
          <w:tcPr/>
          <w:p>
            <w:pPr>
              <w:pStyle w:val="Compact"/>
              <w:jc w:val="left"/>
            </w:pPr>
            <w:r>
              <w:t xml:space="preserve">97% (2), 98% (2), 99% (29), 100% (4)</w:t>
            </w:r>
          </w:p>
        </w:tc>
      </w:tr>
      <w:tr>
        <w:tc>
          <w:tcPr/>
          <w:p>
            <w:pPr>
              <w:pStyle w:val="Compact"/>
              <w:jc w:val="left"/>
            </w:pPr>
            <w:r>
              <w:t xml:space="preserve">710</w:t>
            </w:r>
          </w:p>
        </w:tc>
        <w:tc>
          <w:tcPr/>
          <w:p>
            <w:pPr>
              <w:pStyle w:val="Compact"/>
              <w:jc w:val="right"/>
            </w:pPr>
            <w:r>
              <w:t xml:space="preserve">34</w:t>
            </w:r>
          </w:p>
        </w:tc>
        <w:tc>
          <w:tcPr/>
          <w:p>
            <w:pPr>
              <w:pStyle w:val="Compact"/>
              <w:jc w:val="left"/>
            </w:pPr>
            <w:r>
              <w:t xml:space="preserve">94% (18), 95% (1), 96% (13), 98% (2)</w:t>
            </w:r>
          </w:p>
        </w:tc>
      </w:tr>
      <w:tr>
        <w:tc>
          <w:tcPr/>
          <w:p>
            <w:pPr>
              <w:pStyle w:val="Compact"/>
              <w:jc w:val="left"/>
            </w:pPr>
            <w:r>
              <w:t xml:space="preserve">763</w:t>
            </w:r>
          </w:p>
        </w:tc>
        <w:tc>
          <w:tcPr/>
          <w:p>
            <w:pPr>
              <w:pStyle w:val="Compact"/>
              <w:jc w:val="right"/>
            </w:pPr>
            <w:r>
              <w:t xml:space="preserve">34</w:t>
            </w:r>
          </w:p>
        </w:tc>
        <w:tc>
          <w:tcPr/>
          <w:p>
            <w:pPr>
              <w:pStyle w:val="Compact"/>
              <w:jc w:val="left"/>
            </w:pPr>
            <w:r>
              <w:t xml:space="preserve">97% (1), 99% (33)</w:t>
            </w:r>
          </w:p>
        </w:tc>
      </w:tr>
      <w:tr>
        <w:tc>
          <w:tcPr/>
          <w:p>
            <w:pPr>
              <w:pStyle w:val="Compact"/>
              <w:jc w:val="left"/>
            </w:pPr>
            <w:r>
              <w:t xml:space="preserve">1621</w:t>
            </w:r>
          </w:p>
        </w:tc>
        <w:tc>
          <w:tcPr/>
          <w:p>
            <w:pPr>
              <w:pStyle w:val="Compact"/>
              <w:jc w:val="right"/>
            </w:pPr>
            <w:r>
              <w:t xml:space="preserve">32</w:t>
            </w:r>
          </w:p>
        </w:tc>
        <w:tc>
          <w:tcPr/>
          <w:p>
            <w:pPr>
              <w:pStyle w:val="Compact"/>
              <w:jc w:val="left"/>
            </w:pPr>
            <w:r>
              <w:t xml:space="preserve">98% (1), 99% (24), 100% (7)</w:t>
            </w:r>
          </w:p>
        </w:tc>
      </w:tr>
      <w:tr>
        <w:tc>
          <w:tcPr/>
          <w:p>
            <w:pPr>
              <w:pStyle w:val="Compact"/>
              <w:jc w:val="left"/>
            </w:pPr>
            <w:r>
              <w:t xml:space="preserve">1224</w:t>
            </w:r>
          </w:p>
        </w:tc>
        <w:tc>
          <w:tcPr/>
          <w:p>
            <w:pPr>
              <w:pStyle w:val="Compact"/>
              <w:jc w:val="right"/>
            </w:pPr>
            <w:r>
              <w:t xml:space="preserve">29</w:t>
            </w:r>
          </w:p>
        </w:tc>
        <w:tc>
          <w:tcPr/>
          <w:p>
            <w:pPr>
              <w:pStyle w:val="Compact"/>
              <w:jc w:val="left"/>
            </w:pPr>
            <w:r>
              <w:t xml:space="preserve">97% (1), 99% (28)</w:t>
            </w:r>
          </w:p>
        </w:tc>
      </w:tr>
      <w:tr>
        <w:tc>
          <w:tcPr/>
          <w:p>
            <w:pPr>
              <w:pStyle w:val="Compact"/>
              <w:jc w:val="left"/>
            </w:pPr>
            <w:r>
              <w:t xml:space="preserve">66</w:t>
            </w:r>
          </w:p>
        </w:tc>
        <w:tc>
          <w:tcPr/>
          <w:p>
            <w:pPr>
              <w:pStyle w:val="Compact"/>
              <w:jc w:val="right"/>
            </w:pPr>
            <w:r>
              <w:t xml:space="preserve">28</w:t>
            </w:r>
          </w:p>
        </w:tc>
        <w:tc>
          <w:tcPr/>
          <w:p>
            <w:pPr>
              <w:pStyle w:val="Compact"/>
              <w:jc w:val="left"/>
            </w:pPr>
            <w:r>
              <w:t xml:space="preserve">98% (1), 99% (26), 100% (1)</w:t>
            </w:r>
          </w:p>
        </w:tc>
      </w:tr>
      <w:tr>
        <w:tc>
          <w:tcPr/>
          <w:p>
            <w:pPr>
              <w:pStyle w:val="Compact"/>
              <w:jc w:val="left"/>
            </w:pPr>
            <w:r>
              <w:t xml:space="preserve">394</w:t>
            </w:r>
          </w:p>
        </w:tc>
        <w:tc>
          <w:tcPr/>
          <w:p>
            <w:pPr>
              <w:pStyle w:val="Compact"/>
              <w:jc w:val="right"/>
            </w:pPr>
            <w:r>
              <w:t xml:space="preserve">27</w:t>
            </w:r>
          </w:p>
        </w:tc>
        <w:tc>
          <w:tcPr/>
          <w:p>
            <w:pPr>
              <w:pStyle w:val="Compact"/>
              <w:jc w:val="left"/>
            </w:pPr>
            <w:r>
              <w:t xml:space="preserve">99% (wszystkie)</w:t>
            </w:r>
          </w:p>
        </w:tc>
      </w:tr>
      <w:tr>
        <w:tc>
          <w:tcPr/>
          <w:p>
            <w:pPr>
              <w:pStyle w:val="Compact"/>
              <w:jc w:val="left"/>
            </w:pPr>
            <w:r>
              <w:t xml:space="preserve">1551</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1657</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2249</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685</w:t>
            </w:r>
          </w:p>
        </w:tc>
        <w:tc>
          <w:tcPr/>
          <w:p>
            <w:pPr>
              <w:pStyle w:val="Compact"/>
              <w:jc w:val="right"/>
            </w:pPr>
            <w:r>
              <w:t xml:space="preserve">25</w:t>
            </w:r>
          </w:p>
        </w:tc>
        <w:tc>
          <w:tcPr/>
          <w:p>
            <w:pPr>
              <w:pStyle w:val="Compact"/>
              <w:jc w:val="left"/>
            </w:pPr>
            <w:r>
              <w:t xml:space="preserve">99% (wszystkie)</w:t>
            </w:r>
          </w:p>
        </w:tc>
      </w:tr>
      <w:tr>
        <w:tc>
          <w:tcPr/>
          <w:p>
            <w:pPr>
              <w:pStyle w:val="Compact"/>
              <w:jc w:val="left"/>
            </w:pPr>
            <w:r>
              <w:t xml:space="preserve">1158</w:t>
            </w:r>
          </w:p>
        </w:tc>
        <w:tc>
          <w:tcPr/>
          <w:p>
            <w:pPr>
              <w:pStyle w:val="Compact"/>
              <w:jc w:val="right"/>
            </w:pPr>
            <w:r>
              <w:t xml:space="preserve">25</w:t>
            </w:r>
          </w:p>
        </w:tc>
        <w:tc>
          <w:tcPr/>
          <w:p>
            <w:pPr>
              <w:pStyle w:val="Compact"/>
              <w:jc w:val="left"/>
            </w:pPr>
            <w:r>
              <w:t xml:space="preserve">99% (wszystkie)</w:t>
            </w:r>
          </w:p>
        </w:tc>
      </w:tr>
    </w:tbl>
    <w:p>
      <w:pPr>
        <w:pStyle w:val="BodyText"/>
      </w:pPr>
      <w:r>
        <w:t xml:space="preserve">Zgadnij co: wszystkie oprócz 710 należą do Rodziny 35, wskazówkę daje jedno spojrzenie na spójność. Jeśli 710 w ogóle jest prawdziwą grupą, jest dość „grząska”. Ostatnich sześć list jest niemal identycznych, a między pozostałymi występuje znaczne pokrywanie. Mimo to do listy Rodziny 35 można prawdopodobnie dodać jeszcze kilka manuskryptów, a zbadanie pozostałych 300+ grup/manuskryptów (zależnie od miejsca wyznaczenia punktu odcięcia) bez wątpienia doda jeszcze więcej. I tak dalej. Gdzie zatem jest</w:t>
      </w:r>
      <w:r>
        <w:t xml:space="preserve"> </w:t>
      </w:r>
      <w:r>
        <w:rPr>
          <w:bCs/>
          <w:b/>
        </w:rPr>
        <w:t xml:space="preserve">K</w:t>
      </w:r>
      <w:r>
        <w:rPr>
          <w:vertAlign w:val="superscript"/>
          <w:bCs/>
          <w:b/>
        </w:rPr>
        <w:t xml:space="preserve">x</w:t>
      </w:r>
      <w:r>
        <w:t xml:space="preserve">? Drogi czytelniku, pozwól, że szepnę ci do ucha:</w:t>
      </w:r>
      <w:r>
        <w:t xml:space="preserve"> </w:t>
      </w:r>
      <w:r>
        <w:rPr>
          <w:bCs/>
          <w:b/>
        </w:rPr>
        <w:t xml:space="preserve">K</w:t>
      </w:r>
      <w:r>
        <w:rPr>
          <w:vertAlign w:val="superscript"/>
          <w:bCs/>
          <w:b/>
        </w:rPr>
        <w:t xml:space="preserve">x</w:t>
      </w:r>
      <w:r>
        <w:t xml:space="preserve"> </w:t>
      </w:r>
      <w:r>
        <w:t xml:space="preserve">nie istnieje, istniał wyłącznie w wyobraźni von Sodena. Oczywiście</w:t>
      </w:r>
      <w:r>
        <w:t xml:space="preserve"> </w:t>
      </w:r>
      <w:r>
        <w:rPr>
          <w:bCs/>
          <w:b/>
        </w:rPr>
        <w:t xml:space="preserve">K</w:t>
      </w:r>
      <w:r>
        <w:rPr>
          <w:vertAlign w:val="superscript"/>
          <w:bCs/>
          <w:b/>
        </w:rPr>
        <w:t xml:space="preserve">r</w:t>
      </w:r>
      <w:r>
        <w:t xml:space="preserve"> </w:t>
      </w:r>
      <w:r>
        <w:t xml:space="preserve">nie może być rewizją czegoś, co nigdy nie istniało.</w:t>
      </w:r>
      <w:r>
        <w:rPr>
          <w:rStyle w:val="FootnoteReference"/>
        </w:rPr>
        <w:footnoteReference w:id="251"/>
      </w:r>
    </w:p>
    <w:p>
      <w:pPr>
        <w:pStyle w:val="BodyText"/>
      </w:pPr>
      <w:r>
        <w:t xml:space="preserve">Następnie pojawia się kwestia wykazanej niezależności. Z definicji rewizja/recenzja jest zależna od swojego źródła. Jeśli w zachowanych/dostępnych materiałach (które w przypadku Nowego Testamentu są naprawdę dość obfite) nigdzie nie ma możliwego do wykazania źródła, twierdzenie o rewizji/recenzji jest nieuczciwe, nieodpowiedzialne i naganne. Proszę zobaczyć „Czy</w:t>
      </w:r>
      <w:r>
        <w:t xml:space="preserve"> </w:t>
      </w:r>
      <w:r>
        <w:rPr>
          <w:bCs/>
          <w:b/>
        </w:rPr>
        <w:t xml:space="preserve">f</w:t>
      </w:r>
      <w:r>
        <w:rPr>
          <w:vertAlign w:val="superscript"/>
          <w:bCs/>
          <w:b/>
        </w:rPr>
        <w:t xml:space="preserve">35</w:t>
      </w:r>
      <w:r>
        <w:t xml:space="preserve"> </w:t>
      </w:r>
      <w:r>
        <w:t xml:space="preserve">jest starożytna?” w części III.</w:t>
      </w:r>
    </w:p>
    <w:p>
      <w:pPr>
        <w:pStyle w:val="BodyText"/>
      </w:pPr>
      <w:r>
        <w:t xml:space="preserve">Następnie pojawia się kwestia wykazanej starożytności. Kluczowym punktem jest tutaj brak wzorca, bez wzorca nie ma zależności. Zwracam uwagę na poniższe cztery akapity, które tworzą jeden cytat odtworzony z części „Wczesne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BlockText"/>
      </w:pPr>
      <w:r>
        <w:t xml:space="preserve">Każdy z tych dwunastu uncjałów jest wyraźnie niezależny od wszystkich pozostałych. 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lock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lock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lock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p>
      <w:pPr>
        <w:pStyle w:val="FirstParagraph"/>
      </w:pPr>
      <w:r>
        <w:t xml:space="preserve">Dlaczego zatem nie mamy manuskryptów</w:t>
      </w:r>
      <w:r>
        <w:t xml:space="preserve"> </w:t>
      </w:r>
      <w:r>
        <w:rPr>
          <w:bCs/>
          <w:b/>
        </w:rPr>
        <w:t xml:space="preserve">f</w:t>
      </w:r>
      <w:r>
        <w:rPr>
          <w:vertAlign w:val="superscript"/>
          <w:bCs/>
          <w:b/>
        </w:rPr>
        <w:t xml:space="preserve">35</w:t>
      </w:r>
      <w:r>
        <w:t xml:space="preserve"> </w:t>
      </w:r>
      <w:r>
        <w:t xml:space="preserve">sprzed XI wieku? Cóż, jak sądzisz, dlaczego — z nielicznymi wyjątkami — tylko manuskrypty</w:t>
      </w:r>
      <w:r>
        <w:t xml:space="preserve"> </w:t>
      </w:r>
      <w:r>
        <w:rPr>
          <w:bCs/>
          <w:b/>
        </w:rPr>
        <w:t xml:space="preserve">f</w:t>
      </w:r>
      <w:r>
        <w:rPr>
          <w:vertAlign w:val="superscript"/>
          <w:bCs/>
          <w:b/>
        </w:rPr>
        <w:t xml:space="preserve">35</w:t>
      </w:r>
      <w:r>
        <w:t xml:space="preserve"> </w:t>
      </w:r>
      <w:r>
        <w:t xml:space="preserve">mają lekcje zaznaczone na marginesach? Czy mogłoby tak być dlatego, że społeczności greckojęzyczne używały ich podczas nabożeństw i do czytania przy wspólnych posiłkach? A jaki wpływ ma stałe używanie na każdą książkę? Poddaję spokojnemu, chłodnemu i opanowanemu rozważeniu wszystkich zainteresowanych sugestię, że każdy wartościowy manuskrypt byłby stale używany, a zatem nie mógłby przetrwać przez stulecia. Kopie uznawane za niedopuszczalnie słabej jakości pozostawiano na półce, aby zbierały kurz, i to właśnie one przetrwały.</w:t>
      </w:r>
    </w:p>
    <w:p>
      <w:pPr>
        <w:pStyle w:val="BodyText"/>
      </w:pPr>
      <w:r>
        <w:t xml:space="preserve">Jakkolwiek by było, zwracam uwagę na poniższą listę manuskryptów</w:t>
      </w:r>
      <w:r>
        <w:t xml:space="preserve"> </w:t>
      </w:r>
      <w:r>
        <w:rPr>
          <w:bCs/>
          <w:b/>
        </w:rPr>
        <w:t xml:space="preserve">f</w:t>
      </w:r>
      <w:r>
        <w:rPr>
          <w:vertAlign w:val="superscript"/>
          <w:bCs/>
          <w:b/>
        </w:rPr>
        <w:t xml:space="preserve">35</w:t>
      </w:r>
      <w:r>
        <w:t xml:space="preserve"> </w:t>
      </w:r>
      <w:r>
        <w:t xml:space="preserve">z XI wieku:</w:t>
      </w:r>
    </w:p>
    <w:tbl>
      <w:tblPr>
        <w:tblStyle w:val="Table"/>
        <w:tblW w:type="pct" w:w="5000"/>
        <w:tblLook w:firstRow="1" w:lastRow="0" w:firstColumn="0" w:lastColumn="0" w:noHBand="0" w:noVBand="0" w:val="0020"/>
        <w:jc w:val="start"/>
      </w:tblPr>
      <w:tblGrid>
        <w:gridCol w:w="1863"/>
        <w:gridCol w:w="1863"/>
        <w:gridCol w:w="2329"/>
        <w:gridCol w:w="1863"/>
      </w:tblGrid>
      <w:tr>
        <w:trPr>
          <w:tblHeader w:val="true"/>
        </w:trPr>
        <w:tc>
          <w:tcPr/>
          <w:p>
            <w:pPr>
              <w:pStyle w:val="Compact"/>
              <w:jc w:val="right"/>
            </w:pPr>
            <w:r>
              <w:rPr>
                <w:bCs/>
                <w:b/>
              </w:rPr>
              <w:t xml:space="preserve">Manuskrypt</w:t>
            </w:r>
          </w:p>
        </w:tc>
        <w:tc>
          <w:tcPr/>
          <w:p>
            <w:pPr>
              <w:pStyle w:val="Compact"/>
              <w:jc w:val="left"/>
            </w:pPr>
            <w:r>
              <w:t xml:space="preserve">Miejsce</w:t>
            </w:r>
          </w:p>
        </w:tc>
        <w:tc>
          <w:tcPr/>
          <w:p>
            <w:pPr>
              <w:pStyle w:val="Compact"/>
              <w:jc w:val="center"/>
            </w:pPr>
            <w:r>
              <w:t xml:space="preserve">Zawartość</w:t>
            </w:r>
          </w:p>
        </w:tc>
        <w:tc>
          <w:tcPr/>
          <w:p>
            <w:pPr>
              <w:pStyle w:val="Compact"/>
            </w:pPr>
          </w:p>
        </w:tc>
      </w:tr>
      <w:tr>
        <w:tc>
          <w:tcPr/>
          <w:p>
            <w:pPr>
              <w:pStyle w:val="Compact"/>
              <w:jc w:val="right"/>
            </w:pPr>
            <w:r>
              <w:t xml:space="preserve">35</w:t>
            </w:r>
          </w:p>
        </w:tc>
        <w:tc>
          <w:tcPr/>
          <w:p>
            <w:pPr>
              <w:pStyle w:val="Compact"/>
              <w:jc w:val="left"/>
            </w:pPr>
            <w:r>
              <w:t xml:space="preserve">obszar egejski</w:t>
            </w:r>
          </w:p>
        </w:tc>
        <w:tc>
          <w:tcPr/>
          <w:p>
            <w:pPr>
              <w:pStyle w:val="Compact"/>
              <w:jc w:val="center"/>
            </w:pPr>
            <w:r>
              <w:t xml:space="preserve">eapr</w:t>
            </w:r>
          </w:p>
        </w:tc>
        <w:tc>
          <w:tcPr/>
          <w:p>
            <w:pPr>
              <w:pStyle w:val="Compact"/>
            </w:pPr>
          </w:p>
        </w:tc>
      </w:tr>
      <w:tr>
        <w:tc>
          <w:tcPr/>
          <w:p>
            <w:pPr>
              <w:pStyle w:val="Compact"/>
              <w:jc w:val="right"/>
            </w:pPr>
            <w:r>
              <w:t xml:space="preserve">83</w:t>
            </w:r>
          </w:p>
        </w:tc>
        <w:tc>
          <w:tcPr/>
          <w:p>
            <w:pPr>
              <w:pStyle w:val="Compact"/>
              <w:jc w:val="left"/>
            </w:pPr>
            <w:r>
              <w:t xml:space="preserve">Monachium</w:t>
            </w:r>
          </w:p>
        </w:tc>
        <w:tc>
          <w:tcPr/>
          <w:p>
            <w:pPr>
              <w:pStyle w:val="Compact"/>
              <w:jc w:val="center"/>
            </w:pPr>
            <w:r>
              <w:t xml:space="preserve">e</w:t>
            </w:r>
          </w:p>
        </w:tc>
        <w:tc>
          <w:tcPr/>
          <w:p>
            <w:pPr>
              <w:pStyle w:val="Compact"/>
            </w:pPr>
          </w:p>
        </w:tc>
      </w:tr>
      <w:tr>
        <w:tc>
          <w:tcPr/>
          <w:p>
            <w:pPr>
              <w:pStyle w:val="Compact"/>
              <w:jc w:val="right"/>
            </w:pPr>
            <w:r>
              <w:t xml:space="preserve">(125)</w:t>
            </w:r>
          </w:p>
        </w:tc>
        <w:tc>
          <w:tcPr/>
          <w:p>
            <w:pPr>
              <w:pStyle w:val="Compact"/>
              <w:jc w:val="left"/>
            </w:pPr>
            <w:r>
              <w:t xml:space="preserve">Wiedeń</w:t>
            </w:r>
          </w:p>
        </w:tc>
        <w:tc>
          <w:tcPr/>
          <w:p>
            <w:pPr>
              <w:pStyle w:val="Compact"/>
              <w:jc w:val="center"/>
            </w:pPr>
            <w:r>
              <w:t xml:space="preserve">e</w:t>
            </w:r>
          </w:p>
        </w:tc>
        <w:tc>
          <w:tcPr/>
          <w:p>
            <w:pPr>
              <w:pStyle w:val="Compact"/>
            </w:pPr>
          </w:p>
        </w:tc>
      </w:tr>
      <w:tr>
        <w:tc>
          <w:tcPr/>
          <w:p>
            <w:pPr>
              <w:pStyle w:val="Compact"/>
              <w:jc w:val="right"/>
            </w:pPr>
            <w:r>
              <w:t xml:space="preserve">(476)</w:t>
            </w:r>
          </w:p>
        </w:tc>
        <w:tc>
          <w:tcPr/>
          <w:p>
            <w:pPr>
              <w:pStyle w:val="Compact"/>
              <w:jc w:val="left"/>
            </w:pPr>
            <w:r>
              <w:t xml:space="preserve">Londyn</w:t>
            </w:r>
          </w:p>
        </w:tc>
        <w:tc>
          <w:tcPr/>
          <w:p>
            <w:pPr>
              <w:pStyle w:val="Compact"/>
              <w:jc w:val="center"/>
            </w:pPr>
            <w:r>
              <w:t xml:space="preserve">e</w:t>
            </w:r>
          </w:p>
        </w:tc>
        <w:tc>
          <w:tcPr/>
          <w:p>
            <w:pPr>
              <w:pStyle w:val="Compact"/>
              <w:jc w:val="left"/>
            </w:pPr>
            <w:r>
              <w:t xml:space="preserve">(</w:t>
            </w:r>
            <w:r>
              <w:rPr>
                <w:bCs/>
                <w:b/>
              </w:rPr>
              <w:t xml:space="preserve">f</w:t>
            </w:r>
            <w:r>
              <w:rPr>
                <w:vertAlign w:val="superscript"/>
                <w:bCs/>
                <w:b/>
              </w:rPr>
              <w:t xml:space="preserve">35</w:t>
            </w:r>
            <w:r>
              <w:t xml:space="preserve"> </w:t>
            </w:r>
            <w:r>
              <w:t xml:space="preserve">w Ewangelii Jana)</w:t>
            </w:r>
          </w:p>
        </w:tc>
      </w:tr>
      <w:tr>
        <w:tc>
          <w:tcPr/>
          <w:p>
            <w:pPr>
              <w:pStyle w:val="Compact"/>
              <w:jc w:val="right"/>
            </w:pPr>
            <w:r>
              <w:t xml:space="preserve">(516)</w:t>
            </w:r>
          </w:p>
        </w:tc>
        <w:tc>
          <w:tcPr/>
          <w:p>
            <w:pPr>
              <w:pStyle w:val="Compact"/>
              <w:jc w:val="left"/>
            </w:pPr>
            <w:r>
              <w:t xml:space="preserve">Oksford</w:t>
            </w:r>
          </w:p>
        </w:tc>
        <w:tc>
          <w:tcPr/>
          <w:p>
            <w:pPr>
              <w:pStyle w:val="Compact"/>
              <w:jc w:val="center"/>
            </w:pPr>
            <w:r>
              <w:t xml:space="preserve">e</w:t>
            </w:r>
          </w:p>
        </w:tc>
        <w:tc>
          <w:tcPr/>
          <w:p>
            <w:pPr>
              <w:pStyle w:val="Compact"/>
            </w:pPr>
          </w:p>
        </w:tc>
      </w:tr>
      <w:tr>
        <w:tc>
          <w:tcPr/>
          <w:p>
            <w:pPr>
              <w:pStyle w:val="Compact"/>
              <w:jc w:val="right"/>
            </w:pPr>
            <w:r>
              <w:t xml:space="preserve">547</w:t>
            </w:r>
          </w:p>
        </w:tc>
        <w:tc>
          <w:tcPr/>
          <w:p>
            <w:pPr>
              <w:pStyle w:val="Compact"/>
              <w:jc w:val="left"/>
            </w:pPr>
            <w:r>
              <w:t xml:space="preserve">Karakallu</w:t>
            </w:r>
          </w:p>
        </w:tc>
        <w:tc>
          <w:tcPr/>
          <w:p>
            <w:pPr>
              <w:pStyle w:val="Compact"/>
              <w:jc w:val="center"/>
            </w:pPr>
            <w:r>
              <w:t xml:space="preserve">eap</w:t>
            </w:r>
          </w:p>
        </w:tc>
        <w:tc>
          <w:tcPr/>
          <w:p>
            <w:pPr>
              <w:pStyle w:val="Compact"/>
            </w:pPr>
          </w:p>
        </w:tc>
      </w:tr>
      <w:tr>
        <w:tc>
          <w:tcPr/>
          <w:p>
            <w:pPr>
              <w:pStyle w:val="Compact"/>
              <w:jc w:val="right"/>
            </w:pPr>
            <w:r>
              <w:t xml:space="preserve">(585)</w:t>
            </w:r>
          </w:p>
        </w:tc>
        <w:tc>
          <w:tcPr/>
          <w:p>
            <w:pPr>
              <w:pStyle w:val="Compact"/>
              <w:jc w:val="left"/>
            </w:pPr>
            <w:r>
              <w:t xml:space="preserve">Modena</w:t>
            </w:r>
          </w:p>
        </w:tc>
        <w:tc>
          <w:tcPr/>
          <w:p>
            <w:pPr>
              <w:pStyle w:val="Compact"/>
              <w:jc w:val="center"/>
            </w:pPr>
            <w:r>
              <w:t xml:space="preserve">e</w:t>
            </w:r>
          </w:p>
        </w:tc>
        <w:tc>
          <w:tcPr/>
          <w:p>
            <w:pPr>
              <w:pStyle w:val="Compact"/>
            </w:pPr>
          </w:p>
        </w:tc>
      </w:tr>
      <w:tr>
        <w:tc>
          <w:tcPr/>
          <w:p>
            <w:pPr>
              <w:pStyle w:val="Compact"/>
              <w:jc w:val="right"/>
            </w:pPr>
            <w:r>
              <w:t xml:space="preserve">746</w:t>
            </w:r>
          </w:p>
        </w:tc>
        <w:tc>
          <w:tcPr/>
          <w:p>
            <w:pPr>
              <w:pStyle w:val="Compact"/>
              <w:jc w:val="left"/>
            </w:pPr>
            <w:r>
              <w:t xml:space="preserve">Paryż</w:t>
            </w:r>
          </w:p>
        </w:tc>
        <w:tc>
          <w:tcPr/>
          <w:p>
            <w:pPr>
              <w:pStyle w:val="Compact"/>
              <w:jc w:val="center"/>
            </w:pPr>
            <w:r>
              <w:t xml:space="preserve">e</w:t>
            </w:r>
          </w:p>
        </w:tc>
        <w:tc>
          <w:tcPr/>
          <w:p>
            <w:pPr>
              <w:pStyle w:val="Compact"/>
            </w:pPr>
          </w:p>
        </w:tc>
      </w:tr>
      <w:tr>
        <w:tc>
          <w:tcPr/>
          <w:p>
            <w:pPr>
              <w:pStyle w:val="Compact"/>
              <w:jc w:val="right"/>
            </w:pPr>
            <w:r>
              <w:t xml:space="preserve">(1164)</w:t>
            </w:r>
          </w:p>
        </w:tc>
        <w:tc>
          <w:tcPr/>
          <w:p>
            <w:pPr>
              <w:pStyle w:val="Compact"/>
              <w:jc w:val="left"/>
            </w:pPr>
            <w:r>
              <w:t xml:space="preserve">Patmos</w:t>
            </w:r>
          </w:p>
        </w:tc>
        <w:tc>
          <w:tcPr/>
          <w:p>
            <w:pPr>
              <w:pStyle w:val="Compact"/>
              <w:jc w:val="center"/>
            </w:pPr>
            <w:r>
              <w:t xml:space="preserve">e</w:t>
            </w:r>
          </w:p>
        </w:tc>
        <w:tc>
          <w:tcPr/>
          <w:p>
            <w:pPr>
              <w:pStyle w:val="Compact"/>
            </w:pPr>
          </w:p>
        </w:tc>
      </w:tr>
      <w:tr>
        <w:tc>
          <w:tcPr/>
          <w:p>
            <w:pPr>
              <w:pStyle w:val="Compact"/>
              <w:jc w:val="right"/>
            </w:pPr>
            <w:r>
              <w:t xml:space="preserve">1384</w:t>
            </w:r>
          </w:p>
        </w:tc>
        <w:tc>
          <w:tcPr/>
          <w:p>
            <w:pPr>
              <w:pStyle w:val="Compact"/>
              <w:jc w:val="left"/>
            </w:pPr>
            <w:r>
              <w:t xml:space="preserve">Andros</w:t>
            </w:r>
          </w:p>
        </w:tc>
        <w:tc>
          <w:tcPr/>
          <w:p>
            <w:pPr>
              <w:pStyle w:val="Compact"/>
              <w:jc w:val="center"/>
            </w:pPr>
            <w:r>
              <w:t xml:space="preserve">eapr</w:t>
            </w:r>
          </w:p>
        </w:tc>
        <w:tc>
          <w:tcPr/>
          <w:p>
            <w:pPr>
              <w:pStyle w:val="Compact"/>
            </w:pPr>
          </w:p>
        </w:tc>
      </w:tr>
      <w:tr>
        <w:tc>
          <w:tcPr/>
          <w:p>
            <w:pPr>
              <w:pStyle w:val="Compact"/>
              <w:jc w:val="right"/>
            </w:pPr>
            <w:r>
              <w:t xml:space="preserve">1435</w:t>
            </w:r>
          </w:p>
        </w:tc>
        <w:tc>
          <w:tcPr/>
          <w:p>
            <w:pPr>
              <w:pStyle w:val="Compact"/>
              <w:jc w:val="left"/>
            </w:pPr>
            <w:r>
              <w:t xml:space="preserve">Vatopediu</w:t>
            </w:r>
          </w:p>
        </w:tc>
        <w:tc>
          <w:tcPr/>
          <w:p>
            <w:pPr>
              <w:pStyle w:val="Compact"/>
              <w:jc w:val="center"/>
            </w:pPr>
            <w:r>
              <w:t xml:space="preserve">e</w:t>
            </w:r>
          </w:p>
        </w:tc>
        <w:tc>
          <w:tcPr/>
          <w:p>
            <w:pPr>
              <w:pStyle w:val="Compact"/>
            </w:pPr>
          </w:p>
        </w:tc>
      </w:tr>
      <w:tr>
        <w:tc>
          <w:tcPr/>
          <w:p>
            <w:pPr>
              <w:pStyle w:val="Compact"/>
              <w:jc w:val="right"/>
            </w:pPr>
            <w:r>
              <w:t xml:space="preserve">(1483)</w:t>
            </w:r>
          </w:p>
        </w:tc>
        <w:tc>
          <w:tcPr/>
          <w:p>
            <w:pPr>
              <w:pStyle w:val="Compact"/>
              <w:jc w:val="left"/>
            </w:pPr>
            <w:r>
              <w:t xml:space="preserve">M. Lavras</w:t>
            </w:r>
          </w:p>
        </w:tc>
        <w:tc>
          <w:tcPr/>
          <w:p>
            <w:pPr>
              <w:pStyle w:val="Compact"/>
              <w:jc w:val="center"/>
            </w:pPr>
            <w:r>
              <w:t xml:space="preserve">e</w:t>
            </w:r>
          </w:p>
        </w:tc>
        <w:tc>
          <w:tcPr/>
          <w:p>
            <w:pPr>
              <w:pStyle w:val="Compact"/>
            </w:pPr>
          </w:p>
        </w:tc>
      </w:tr>
      <w:tr>
        <w:tc>
          <w:tcPr/>
          <w:p>
            <w:pPr>
              <w:pStyle w:val="Compact"/>
              <w:jc w:val="right"/>
            </w:pPr>
            <w:r>
              <w:t xml:space="preserve">(1841)</w:t>
            </w:r>
          </w:p>
        </w:tc>
        <w:tc>
          <w:tcPr/>
          <w:p>
            <w:pPr>
              <w:pStyle w:val="Compact"/>
              <w:jc w:val="left"/>
            </w:pPr>
            <w:r>
              <w:t xml:space="preserve">Lesbos</w:t>
            </w:r>
          </w:p>
        </w:tc>
        <w:tc>
          <w:tcPr/>
          <w:p>
            <w:pPr>
              <w:pStyle w:val="Compact"/>
              <w:jc w:val="center"/>
            </w:pPr>
            <w:r>
              <w:t xml:space="preserve">apr</w:t>
            </w:r>
          </w:p>
        </w:tc>
        <w:tc>
          <w:tcPr/>
          <w:p>
            <w:pPr>
              <w:pStyle w:val="Compact"/>
              <w:jc w:val="left"/>
            </w:pPr>
            <w:r>
              <w:t xml:space="preserve">(IX/X wiek — być może</w:t>
            </w:r>
            <w:r>
              <w:t xml:space="preserve"> </w:t>
            </w:r>
            <w:r>
              <w:rPr>
                <w:bCs/>
                <w:b/>
              </w:rPr>
              <w:t xml:space="preserve">f</w:t>
            </w:r>
            <w:r>
              <w:rPr>
                <w:vertAlign w:val="superscript"/>
                <w:bCs/>
                <w:b/>
              </w:rPr>
              <w:t xml:space="preserve">35</w:t>
            </w:r>
            <w:r>
              <w:t xml:space="preserve"> </w:t>
            </w:r>
            <w:r>
              <w:t xml:space="preserve">u Pawła)</w:t>
            </w:r>
          </w:p>
        </w:tc>
      </w:tr>
      <w:tr>
        <w:tc>
          <w:tcPr/>
          <w:p>
            <w:pPr>
              <w:pStyle w:val="Compact"/>
              <w:jc w:val="right"/>
            </w:pPr>
            <w:r>
              <w:t xml:space="preserve">1897</w:t>
            </w:r>
          </w:p>
        </w:tc>
        <w:tc>
          <w:tcPr/>
          <w:p>
            <w:pPr>
              <w:pStyle w:val="Compact"/>
              <w:jc w:val="left"/>
            </w:pPr>
            <w:r>
              <w:t xml:space="preserve">Jerozolima</w:t>
            </w:r>
          </w:p>
        </w:tc>
        <w:tc>
          <w:tcPr/>
          <w:p>
            <w:pPr>
              <w:pStyle w:val="Compact"/>
              <w:jc w:val="center"/>
            </w:pPr>
            <w:r>
              <w:t xml:space="preserve">ap</w:t>
            </w:r>
          </w:p>
        </w:tc>
        <w:tc>
          <w:tcPr/>
          <w:p>
            <w:pPr>
              <w:pStyle w:val="Compact"/>
              <w:jc w:val="left"/>
            </w:pPr>
            <w:r>
              <w:t xml:space="preserve">(dokonałem pełnego kolacjonowania i wygląda równie staro)</w:t>
            </w:r>
          </w:p>
        </w:tc>
      </w:tr>
      <w:tr>
        <w:tc>
          <w:tcPr/>
          <w:p>
            <w:pPr>
              <w:pStyle w:val="Compact"/>
              <w:jc w:val="right"/>
            </w:pPr>
            <w:r>
              <w:t xml:space="preserve">2253</w:t>
            </w:r>
          </w:p>
        </w:tc>
        <w:tc>
          <w:tcPr/>
          <w:p>
            <w:pPr>
              <w:pStyle w:val="Compact"/>
              <w:jc w:val="left"/>
            </w:pPr>
            <w:r>
              <w:t xml:space="preserve">Tirana</w:t>
            </w:r>
          </w:p>
        </w:tc>
        <w:tc>
          <w:tcPr/>
          <w:p>
            <w:pPr>
              <w:pStyle w:val="Compact"/>
              <w:jc w:val="center"/>
            </w:pPr>
            <w:r>
              <w:t xml:space="preserve">e</w:t>
            </w:r>
          </w:p>
        </w:tc>
        <w:tc>
          <w:tcPr/>
          <w:p>
            <w:pPr>
              <w:pStyle w:val="Compact"/>
              <w:jc w:val="left"/>
            </w:pPr>
            <w:r>
              <w:t xml:space="preserve">(materiał wprowadzający wskazuje na datę z XI wieku)</w:t>
            </w:r>
          </w:p>
        </w:tc>
      </w:tr>
      <w:tr>
        <w:tc>
          <w:tcPr/>
          <w:p>
            <w:pPr>
              <w:pStyle w:val="Compact"/>
              <w:jc w:val="right"/>
            </w:pPr>
            <w:r>
              <w:t xml:space="preserve">2587</w:t>
            </w:r>
          </w:p>
        </w:tc>
        <w:tc>
          <w:tcPr/>
          <w:p>
            <w:pPr>
              <w:pStyle w:val="Compact"/>
              <w:jc w:val="left"/>
            </w:pPr>
            <w:r>
              <w:t xml:space="preserve">Watykan</w:t>
            </w:r>
          </w:p>
        </w:tc>
        <w:tc>
          <w:tcPr/>
          <w:p>
            <w:pPr>
              <w:pStyle w:val="Compact"/>
              <w:jc w:val="center"/>
            </w:pPr>
            <w:r>
              <w:t xml:space="preserve">ap</w:t>
            </w:r>
          </w:p>
        </w:tc>
        <w:tc>
          <w:tcPr/>
          <w:p>
            <w:pPr>
              <w:pStyle w:val="Compact"/>
            </w:pPr>
          </w:p>
        </w:tc>
      </w:tr>
      <w:tr>
        <w:tc>
          <w:tcPr/>
          <w:p>
            <w:pPr>
              <w:pStyle w:val="Compact"/>
              <w:jc w:val="right"/>
            </w:pPr>
            <w:r>
              <w:t xml:space="preserve">2723</w:t>
            </w:r>
          </w:p>
        </w:tc>
        <w:tc>
          <w:tcPr/>
          <w:p>
            <w:pPr>
              <w:pStyle w:val="Compact"/>
              <w:jc w:val="left"/>
            </w:pPr>
            <w:r>
              <w:t xml:space="preserve">Trikala</w:t>
            </w:r>
          </w:p>
        </w:tc>
        <w:tc>
          <w:tcPr/>
          <w:p>
            <w:pPr>
              <w:pStyle w:val="Compact"/>
              <w:jc w:val="center"/>
            </w:pPr>
            <w:r>
              <w:t xml:space="preserve">apr</w:t>
            </w:r>
          </w:p>
        </w:tc>
        <w:tc>
          <w:tcPr/>
          <w:p>
            <w:pPr>
              <w:pStyle w:val="Compact"/>
            </w:pPr>
          </w:p>
        </w:tc>
      </w:tr>
      <w:tr>
        <w:tc>
          <w:tcPr/>
          <w:p>
            <w:pPr>
              <w:pStyle w:val="Compact"/>
              <w:jc w:val="right"/>
            </w:pPr>
            <w:r>
              <w:t xml:space="preserve">(2817)</w:t>
            </w:r>
          </w:p>
        </w:tc>
        <w:tc>
          <w:tcPr/>
          <w:p>
            <w:pPr>
              <w:pStyle w:val="Compact"/>
              <w:jc w:val="left"/>
            </w:pPr>
            <w:r>
              <w:t xml:space="preserve">Bazylea</w:t>
            </w:r>
          </w:p>
        </w:tc>
        <w:tc>
          <w:tcPr/>
          <w:p>
            <w:pPr>
              <w:pStyle w:val="Compact"/>
              <w:jc w:val="center"/>
            </w:pPr>
            <w:r>
              <w:t xml:space="preserve">p</w:t>
            </w:r>
          </w:p>
        </w:tc>
        <w:tc>
          <w:tcPr/>
          <w:p>
            <w:pPr>
              <w:pStyle w:val="Compact"/>
            </w:pPr>
          </w:p>
        </w:tc>
      </w:tr>
    </w:tbl>
    <w:p>
      <w:pPr>
        <w:pStyle w:val="BodyText"/>
      </w:pPr>
      <w:r>
        <w:t xml:space="preserve">Manuskrypty w nawiasach wydają się marginalnymi członkami rodziny albo są mieszane. Na początek zauważamy, że wymieniono 18 manuskryptów i każdy znajduje się w innym miejscu (oczywiście niektóre z tych, które obecnie znajdują się w Europie Zachodniej, mogły zostać pozyskane z tego samego klasztoru). Co więcej, skoro różnią się wewnętrznie, reprezentują tyle samo egzemplarzy. Ponieważ egzemplarze z konieczności muszą istnieć przed sporządzeniem na ich podstawie jakichkolwiek kopii, a wiele/większość/(wszystkie?) z tych egzemplarzy musiało być z kolei oparte na odrębnych egzemplarzach, nawet gdyby ktoś twierdził, że dokonano recenzji, nie mogła ona powstać później niż w VIII wieku — to po prostu niemożliwe. Oczywiście dlatego, że trzeba uwzględnić rozmieszczenie geograficzne.</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całym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w:t>
      </w:r>
    </w:p>
    <w:p>
      <w:pPr>
        <w:pStyle w:val="BodyText"/>
      </w:pPr>
      <w:r>
        <w:t xml:space="preserve">Jednak masa bizantyjska (</w:t>
      </w:r>
      <w:r>
        <w:rPr>
          <w:bCs/>
          <w:b/>
        </w:rPr>
        <w:t xml:space="preserve">K</w:t>
      </w:r>
      <w:r>
        <w:rPr>
          <w:vertAlign w:val="superscript"/>
          <w:bCs/>
          <w:b/>
        </w:rPr>
        <w:t xml:space="preserve">x</w:t>
      </w:r>
      <w:r>
        <w:t xml:space="preserve">) kontrolowała co najmniej 60% strumienia przekazu (</w:t>
      </w:r>
      <w:r>
        <w:rPr>
          <w:bCs/>
          <w:b/>
        </w:rPr>
        <w:t xml:space="preserve">f</w:t>
      </w:r>
      <w:r>
        <w:rPr>
          <w:vertAlign w:val="superscript"/>
          <w:bCs/>
          <w:b/>
        </w:rPr>
        <w:t xml:space="preserve">35</w:t>
      </w:r>
      <w:r>
        <w:t xml:space="preserve"> </w:t>
      </w:r>
      <w:r>
        <w:t xml:space="preserve">= ok. 18%),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r>
        <w:rPr>
          <w:rStyle w:val="FootnoteReference"/>
        </w:rPr>
        <w:footnoteReference w:id="252"/>
      </w:r>
    </w:p>
    <w:p>
      <w:pPr>
        <w:pStyle w:val="BodyText"/>
      </w:pPr>
      <w:r>
        <w:t xml:space="preserve">Następnie pojawia się milczenie historii. Chociaż już o nim wspomniałem, zasługuje na szczególną uwagę. Pozwólcie, że zapożyczę fragment z mojego omówienia „Recenzji lucjańskiej”.</w:t>
      </w:r>
      <w:r>
        <w:rPr>
          <w:rStyle w:val="FootnoteReference"/>
        </w:rPr>
        <w:footnoteReference w:id="253"/>
      </w:r>
      <w:r>
        <w:t xml:space="preserve"> </w:t>
      </w:r>
      <w:r>
        <w:t xml:space="preserve">John William Burgon udzielił wystarczającej odpowiedzi na ten wymysł.</w:t>
      </w:r>
    </w:p>
    <w:p>
      <w:pPr>
        <w:pStyle w:val="BlockText"/>
      </w:pPr>
      <w:r>
        <w:t xml:space="preserve">Jednak poza rażącym wewnętrznym nieprawdopodobieństwem rzekomej Recenzji — całkowity brak choćby jednej cząstki dowodu, tradycyjnego czy jakiegokolwiek innego, że kiedykolwiek rzeczywiście miała miejsce, należy uznać za zabójczy dla hipotezy, że</w:t>
      </w:r>
      <w:r>
        <w:t xml:space="preserve"> </w:t>
      </w:r>
      <w:r>
        <w:rPr>
          <w:iCs/>
          <w:i/>
        </w:rPr>
        <w:t xml:space="preserve">miała</w:t>
      </w:r>
      <w:r>
        <w:t xml:space="preserve"> </w:t>
      </w:r>
      <w:r>
        <w:t xml:space="preserve">miejsce. Jest po prostu niewiarygodne, by wydarzenie o takiej wadze i znaczeniu nie pozostawiło po sobie żadnego śladu w historii.</w:t>
      </w:r>
      <w:r>
        <w:rPr>
          <w:rStyle w:val="FootnoteReference"/>
        </w:rPr>
        <w:footnoteReference w:id="254"/>
      </w:r>
    </w:p>
    <w:p>
      <w:pPr>
        <w:pStyle w:val="FirstParagraph"/>
      </w:pPr>
      <w:r>
        <w:t xml:space="preserve">Nie wystarczy, by ktoś powiedział, że argument z milczenia niczego nie dowodzi. W sprawie o takiej „wadze i znaczeniu” jest on rozstrzygający. Sir Frederick G. Kenyon również uznał tę część teorii Horta za bezpodstawną.</w:t>
      </w:r>
    </w:p>
    <w:p>
      <w:pPr>
        <w:pStyle w:val="BlockText"/>
      </w:pPr>
      <w:r>
        <w:t xml:space="preserve">Brak dowodów wskazuje w przeciwną stronę, byłoby bowiem bardzo dziwne, gdyby Lucjan rzeczywiście zredagował oba Testamenty, a w późniejszych czasach wspominano jedynie jego pracę nad Starym Testamentem.</w:t>
      </w:r>
      <w:r>
        <w:t xml:space="preserve"> </w:t>
      </w:r>
      <w:r>
        <w:rPr>
          <w:bCs/>
          <w:b/>
        </w:rPr>
        <w:t xml:space="preserve">Ten sam argument przemawia przeciwko każdej teorii celowej rewizji dokonanej w jakimkolwiek określonym momencie</w:t>
      </w:r>
      <w:r>
        <w:t xml:space="preserve"> </w:t>
      </w:r>
      <w:r>
        <w:t xml:space="preserve">(wyróżnienie dodane). Znamy imiona kilku rewizorów Septuaginty i Wulgaty i byłoby dziwne, gdyby wszyscy historycy i pisarze kościelni pominęli odnotowanie lub wspomnienie takiego wydarzenia jak celowa rewizja Nowego Testamentu w jego oryginalnej grece.</w:t>
      </w:r>
      <w:r>
        <w:rPr>
          <w:rStyle w:val="FootnoteReference"/>
        </w:rPr>
        <w:footnoteReference w:id="255"/>
      </w:r>
    </w:p>
    <w:p>
      <w:pPr>
        <w:pStyle w:val="FirstParagraph"/>
      </w:pPr>
      <w:r>
        <w:t xml:space="preserve">No proszę, czy w tym, co stwierdzili Burgon i Kenyon, jest coś tajemniczego? Czy nie jest to oczywiste? Proszę, zatrzymaj się i pomyśl o tym przez chwilę. Milczenie historii „należy uznać za zabójcze dla hipotezy”.</w:t>
      </w:r>
      <w:r>
        <w:t xml:space="preserve"> </w:t>
      </w:r>
      <w:r>
        <w:rPr>
          <w:iCs/>
          <w:i/>
        </w:rPr>
        <w:t xml:space="preserve">Selah</w:t>
      </w:r>
      <w:r>
        <w:t xml:space="preserve">.</w:t>
      </w:r>
    </w:p>
    <w:p>
      <w:pPr>
        <w:pStyle w:val="BodyText"/>
      </w:pPr>
      <w:r>
        <w:t xml:space="preserve">Następnie pojawia się kwestia „podaży i popytu”. 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p>
      <w:pPr>
        <w:pStyle w:val="BodyText"/>
      </w:pPr>
      <w:r>
        <w:t xml:space="preserve">Podsumowując, ufam, że czytelnik nie uzna mnie za nierozsądnego, jeśli poproszę, aby odtąd wszystkie dobrze poinformowane osoby zaprzestały nazywania Rodziny 35 (</w:t>
      </w:r>
      <w:r>
        <w:rPr>
          <w:bCs/>
          <w:b/>
        </w:rPr>
        <w:t xml:space="preserve">K</w:t>
      </w:r>
      <w:r>
        <w:rPr>
          <w:vertAlign w:val="superscript"/>
          <w:bCs/>
          <w:b/>
        </w:rPr>
        <w:t xml:space="preserve">r</w:t>
      </w:r>
      <w:r>
        <w:t xml:space="preserve">) rewizją dokonaną w jakimkolwiek czasie. Co za dużo, to niezdrowo!</w:t>
      </w:r>
      <w:r>
        <w:t xml:space="preserve"> </w:t>
      </w:r>
      <w:r>
        <w:rPr>
          <w:bCs/>
          <w:b/>
        </w:rPr>
        <w:t xml:space="preserve">Precz z kaczkami dziennikarskimi!</w:t>
      </w:r>
    </w:p>
    <w:bookmarkEnd w:id="256"/>
    <w:bookmarkStart w:id="268" w:name="sposób-traktowania-kr-przez-von-sodena"/>
    <w:p>
      <w:pPr>
        <w:pStyle w:val="Heading2"/>
      </w:pPr>
      <w:r>
        <w:t xml:space="preserve">Sposób traktowania</w:t>
      </w:r>
      <w:r>
        <w:t xml:space="preserve"> </w:t>
      </w:r>
      <w:r>
        <w:rPr>
          <w:bCs/>
          <w:b/>
        </w:rPr>
        <w:t xml:space="preserve">K</w:t>
      </w:r>
      <w:r>
        <w:rPr>
          <w:vertAlign w:val="superscript"/>
          <w:bCs/>
          <w:b/>
        </w:rPr>
        <w:t xml:space="preserve">r</w:t>
      </w:r>
      <w:r>
        <w:t xml:space="preserve"> </w:t>
      </w:r>
      <w:r>
        <w:t xml:space="preserve">przez von Sodena</w:t>
      </w:r>
    </w:p>
    <w:p>
      <w:pPr>
        <w:pStyle w:val="FirstParagraph"/>
      </w:pPr>
      <w:r>
        <w:t xml:space="preserve">Krytykowano mnie za to, że nigdy w uporządkowany sposób nie odpowiedziałem na „argumenty” von Sodena, za pomocą których uznał on swój</w:t>
      </w:r>
      <w:r>
        <w:t xml:space="preserve"> </w:t>
      </w:r>
      <w:r>
        <w:rPr>
          <w:bCs/>
          <w:b/>
        </w:rPr>
        <w:t xml:space="preserve">K</w:t>
      </w:r>
      <w:r>
        <w:rPr>
          <w:vertAlign w:val="superscript"/>
          <w:bCs/>
          <w:b/>
        </w:rPr>
        <w:t xml:space="preserve">r</w:t>
      </w:r>
      <w:r>
        <w:t xml:space="preserve"> </w:t>
      </w:r>
      <w:r>
        <w:t xml:space="preserve">za późną rewizję — nigdy nie zrobiłem dla niego tego, co zrobiłem dla Horta. Ponieważ są dziś ludzie, którzy nadal uważają jego „argumenty” za zasadne, przyznaję, że powinienem był to zrobić. Zwróciłem się do dr. Jakoba van Bruggena o pomoc w sprawie von Sodena. Rozpoczął swoją odpowiedź stwierdzeniem, że von Soden „wygłasza twierdzenia i podaje opisy, lecz nie przedstawia argumentów ani dowodów”. Jak zatem można obalić „argumenty”, które nie istnieją? Ponieważ jednak oczekuje się jakiejś odpowiedzi, ocenię te „twierdzenia”.</w:t>
      </w:r>
    </w:p>
    <w:p>
      <w:pPr>
        <w:numPr>
          <w:ilvl w:val="0"/>
          <w:numId w:val="1012"/>
        </w:numPr>
      </w:pPr>
      <w:r>
        <w:t xml:space="preserve">Von Soden zauważył, że w bibliotekach Europy Zachodniej znajdowało się stosunkowo niewiele manuskryptów</w:t>
      </w:r>
      <w:r>
        <w:t xml:space="preserve"> </w:t>
      </w:r>
      <w:r>
        <w:rPr>
          <w:bCs/>
          <w:b/>
        </w:rPr>
        <w:t xml:space="preserve">K</w:t>
      </w:r>
      <w:r>
        <w:rPr>
          <w:vertAlign w:val="superscript"/>
          <w:bCs/>
          <w:b/>
        </w:rPr>
        <w:t xml:space="preserve">r</w:t>
      </w:r>
      <w:r>
        <w:t xml:space="preserve">, co prawdopodobnie jest prawdą. Następnie jednak wyraził opinię, że była to okoliczność negatywna, przemawiająca przeciwko</w:t>
      </w:r>
      <w:r>
        <w:t xml:space="preserve"> </w:t>
      </w:r>
      <w:r>
        <w:rPr>
          <w:bCs/>
          <w:b/>
        </w:rPr>
        <w:t xml:space="preserve">K</w:t>
      </w:r>
      <w:r>
        <w:rPr>
          <w:vertAlign w:val="superscript"/>
          <w:bCs/>
          <w:b/>
        </w:rPr>
        <w:t xml:space="preserve">r</w:t>
      </w:r>
      <w:r>
        <w:t xml:space="preserve">.</w:t>
      </w:r>
      <w:r>
        <w:rPr>
          <w:rStyle w:val="FootnoteReference"/>
        </w:rPr>
        <w:footnoteReference w:id="257"/>
      </w:r>
      <w:r>
        <w:t xml:space="preserve"> </w:t>
      </w:r>
      <w:r>
        <w:t xml:space="preserve">Najwyraźniej zapomniał, że aż do reformacji protestanckiej Europę Zachodnią zdominował Kościół rzymski, a ten Kościół posługiwał się łaciną, nie greką. Co gorsza, tylko papież mógł interpretować Pismo, a jedynie duchowieństwu wolno było je w ogóle czytać. Zwykłym ludziom, laikatowi, było to zabronione. Kto zatem w całej Europie Zachodniej w XIV wieku miałby jakikolwiek pożytek z greckich manuskryptów? Były osobliwościami, eksponatami muzealnymi, które można było znaleźć wyłącznie w bibliotekach lub muzeach.</w:t>
      </w:r>
      <w:r>
        <w:t xml:space="preserve"> </w:t>
      </w:r>
      <w:r>
        <w:rPr>
          <w:u w:val="single"/>
        </w:rPr>
        <w:t xml:space="preserve">Wszystkie manuskrypty Nowego Testamentu znajdujące się w tych bibliotekach pochodziły ze Wschodu</w:t>
      </w:r>
      <w:r>
        <w:t xml:space="preserve">. Muzeum Brytyjskie (obecnie Biblioteka) ma pokaźną kolekcję, jak ją pozyskało? Zostały podarowane przez podróżników, którzy kupili je na Wschodzie. Po rozważeniu wszystkiego przedkładam czytelnikowi, że liczba manuskryptów</w:t>
      </w:r>
      <w:r>
        <w:t xml:space="preserve"> </w:t>
      </w:r>
      <w:r>
        <w:rPr>
          <w:bCs/>
          <w:b/>
        </w:rPr>
        <w:t xml:space="preserve">K</w:t>
      </w:r>
      <w:r>
        <w:rPr>
          <w:vertAlign w:val="superscript"/>
          <w:bCs/>
          <w:b/>
        </w:rPr>
        <w:t xml:space="preserve">r</w:t>
      </w:r>
      <w:r>
        <w:t xml:space="preserve"> </w:t>
      </w:r>
      <w:r>
        <w:t xml:space="preserve">na Zachodzie jest nieistotna dla wieku i natury tego typu tekstu i nie powinna być przywoływana jako argument.</w:t>
      </w:r>
    </w:p>
    <w:p>
      <w:pPr>
        <w:numPr>
          <w:ilvl w:val="0"/>
          <w:numId w:val="1012"/>
        </w:numPr>
      </w:pPr>
      <w:r>
        <w:t xml:space="preserve">Von Soden wielokrotnie wspominał dobrze znany fakt, że manuskrypty</w:t>
      </w:r>
      <w:r>
        <w:t xml:space="preserve"> </w:t>
      </w:r>
      <w:r>
        <w:rPr>
          <w:bCs/>
          <w:b/>
        </w:rPr>
        <w:t xml:space="preserve">K</w:t>
      </w:r>
      <w:r>
        <w:rPr>
          <w:vertAlign w:val="superscript"/>
          <w:bCs/>
          <w:b/>
        </w:rPr>
        <w:t xml:space="preserve">r</w:t>
      </w:r>
      <w:r>
        <w:t xml:space="preserve"> </w:t>
      </w:r>
      <w:r>
        <w:t xml:space="preserve">charakteryzuje rozbudowany aparat liturgiczny na marginesach, obejmujący również słowa „początek” i „koniec” wpisane w sam Tekst, lecz atramentem innego koloru, zazwyczaj czerwonym, aby czytelnik dokładnie wiedział, gdzie zacząć i gdzie skończyć. Chociaż niektóre manuskrypty nienależące do</w:t>
      </w:r>
      <w:r>
        <w:t xml:space="preserve"> </w:t>
      </w:r>
      <w:r>
        <w:rPr>
          <w:bCs/>
          <w:b/>
        </w:rPr>
        <w:t xml:space="preserve">K</w:t>
      </w:r>
      <w:r>
        <w:rPr>
          <w:vertAlign w:val="superscript"/>
          <w:bCs/>
          <w:b/>
        </w:rPr>
        <w:t xml:space="preserve">r</w:t>
      </w:r>
      <w:r>
        <w:t xml:space="preserve"> </w:t>
      </w:r>
      <w:r>
        <w:t xml:space="preserve">mają na marginesach pewne oznaczenia lekcji, żadne nie mają aparatu tak rozbudowanego jak</w:t>
      </w:r>
      <w:r>
        <w:t xml:space="preserve"> </w:t>
      </w:r>
      <w:r>
        <w:rPr>
          <w:bCs/>
          <w:b/>
        </w:rPr>
        <w:t xml:space="preserve">K</w:t>
      </w:r>
      <w:r>
        <w:rPr>
          <w:vertAlign w:val="superscript"/>
          <w:bCs/>
          <w:b/>
        </w:rPr>
        <w:t xml:space="preserve">r</w:t>
      </w:r>
      <w:r>
        <w:t xml:space="preserve">, z wyjątkiem tego, co Frederik Wisse</w:t>
      </w:r>
      <w:r>
        <w:rPr>
          <w:rStyle w:val="FootnoteReference"/>
        </w:rPr>
        <w:footnoteReference w:id="258"/>
      </w:r>
      <w:r>
        <w:t xml:space="preserve"> </w:t>
      </w:r>
      <w:r>
        <w:t xml:space="preserve">nazwał w Ewangelii Łukasza Zespołem 17, składającym się z mniej niż dziesięciu manuskryptów (</w:t>
      </w:r>
      <w:r>
        <w:rPr>
          <w:bCs/>
          <w:b/>
        </w:rPr>
        <w:t xml:space="preserve">K</w:t>
      </w:r>
      <w:r>
        <w:rPr>
          <w:vertAlign w:val="superscript"/>
          <w:bCs/>
          <w:b/>
        </w:rPr>
        <w:t xml:space="preserve">r</w:t>
      </w:r>
      <w:r>
        <w:t xml:space="preserve"> </w:t>
      </w:r>
      <w:r>
        <w:t xml:space="preserve">ma ich w Ewangeliach ponad 250). O ile mi wiadomo, są to jedyne dwie grupy mające tak rozbudowany aparat, obecność tego aparatu stanowi więc praktycznie cechę diagnostyczną jego</w:t>
      </w:r>
      <w:r>
        <w:t xml:space="preserve"> </w:t>
      </w:r>
      <w:r>
        <w:rPr>
          <w:bCs/>
          <w:b/>
        </w:rPr>
        <w:t xml:space="preserve">K</w:t>
      </w:r>
      <w:r>
        <w:rPr>
          <w:vertAlign w:val="superscript"/>
          <w:bCs/>
          <w:b/>
        </w:rPr>
        <w:t xml:space="preserve">r</w:t>
      </w:r>
      <w:r>
        <w:t xml:space="preserve"> </w:t>
      </w:r>
      <w:r>
        <w:t xml:space="preserve">(mojej Rodziny 35,</w:t>
      </w:r>
      <w:r>
        <w:t xml:space="preserve"> </w:t>
      </w:r>
      <w:r>
        <w:rPr>
          <w:bCs/>
          <w:b/>
        </w:rPr>
        <w:t xml:space="preserve">f</w:t>
      </w:r>
      <w:r>
        <w:rPr>
          <w:vertAlign w:val="superscript"/>
          <w:bCs/>
          <w:b/>
        </w:rPr>
        <w:t xml:space="preserve">35</w:t>
      </w:r>
      <w:r>
        <w:t xml:space="preserve">). Tyle jest faktem, lecz co to znaczy?</w:t>
      </w:r>
    </w:p>
    <w:p>
      <w:pPr>
        <w:pStyle w:val="FirstParagraph"/>
      </w:pPr>
      <w:r>
        <w:t xml:space="preserve">Von Soden wyraził opinię, że okoliczność ta wskazuje, iż jego</w:t>
      </w:r>
      <w:r>
        <w:t xml:space="preserve"> </w:t>
      </w:r>
      <w:r>
        <w:rPr>
          <w:bCs/>
          <w:b/>
        </w:rPr>
        <w:t xml:space="preserve">K</w:t>
      </w:r>
      <w:r>
        <w:rPr>
          <w:vertAlign w:val="superscript"/>
          <w:bCs/>
          <w:b/>
        </w:rPr>
        <w:t xml:space="preserve">r</w:t>
      </w:r>
      <w:r>
        <w:t xml:space="preserve"> </w:t>
      </w:r>
      <w:r>
        <w:t xml:space="preserve">był rewizją liturgiczną sporządzoną w Konstantynopolu w XII wieku, nie przedstawił jednak ani strzępka dowodu na poparcie swojej opinii. (Próbował bronić XII wieku, zmieniając datowanie trzech znanych mu manuskryptów</w:t>
      </w:r>
      <w:r>
        <w:t xml:space="preserve"> </w:t>
      </w:r>
      <w:r>
        <w:rPr>
          <w:bCs/>
          <w:b/>
        </w:rPr>
        <w:t xml:space="preserve">K</w:t>
      </w:r>
      <w:r>
        <w:rPr>
          <w:vertAlign w:val="superscript"/>
          <w:bCs/>
          <w:b/>
        </w:rPr>
        <w:t xml:space="preserve">r</w:t>
      </w:r>
      <w:r>
        <w:t xml:space="preserve"> </w:t>
      </w:r>
      <w:r>
        <w:t xml:space="preserve">z XI wieku). (Mam kopie co najmniej dziesięciu takich manuskryptów, a istnieją też inne, będę jednak argumentował, że kwestia ta jest nieistotna). Otóż dla każdego powinno być oczywiste, że sporządzenie kopii w dwóch kolorach, z rozbudowanym aparatem, wymaga więcej czasu i wysiłku niż sporządzenie kopii w jednym kolorze, bez takiego aparatu. Dlaczego więc ludzie to robili? Musiał istnieć popyt na takie kopie. Jaki jednak czynnik lub jakie czynniki mogły napędzać taki popyt?</w:t>
      </w:r>
    </w:p>
    <w:p>
      <w:pPr>
        <w:pStyle w:val="BodyText"/>
      </w:pPr>
      <w:r>
        <w:t xml:space="preserve">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Dlaczego więc</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rodziną w obrębie szerokiej tradycji bizantyjskiej? I dlaczego jej przedstawiciele są rozproszeni po całym świecie śródziemnomorskim? Ile osób potrafiło czytać grekę koine i ile z nich mogło sobie pozwolić na prywatny egzemplarz Nowego Testamentu? W końcu „podaż i popyt” działa zarówno w Kościele, jak i w świecie.</w:t>
      </w:r>
    </w:p>
    <w:p>
      <w:pPr>
        <w:pStyle w:val="BodyText"/>
      </w:pPr>
      <w:r>
        <w:t xml:space="preserve">W 2014 roku spędziłem dziewięć nocy na półwyspie góry Athos, gdzie znajduje się dwadzieścia niezależnych klasztorów. Odwiedziłem pięć z nich (w tym cztery najwyższe w hierarchii), spałem w trzech i jadłem posiłki w dwóch. Do dziś mnisi i goście jedzą w milczeniu, podczas gdy jeden mnich głośno czyta Pismo. Klasztory szczycą się tym, że kierują się tradycją, która — jak twierdzą — sięga najwcześniejszych wieków. Czy nie jest rozsądne wnioskować, że tradycja ta obejmuje czytanie Pisma podczas posiłków? Czy nie używaliby manuskryptów przygotowanych właśnie do publicznego czytania? Do jakiego typu tekstu należą te manuskrypty? I dlaczego używali właśnie tego typu tekstu?</w:t>
      </w:r>
    </w:p>
    <w:p>
      <w:pPr>
        <w:pStyle w:val="BodyText"/>
      </w:pPr>
      <w:r>
        <w:t xml:space="preserve">Zupełnie niezależnie od Talmudu wiemy z Nowego Testamentu, że w żydowskich synagogach istniał zwyczaj czytania pism Starego Testamentu podczas zgromadzeń szabatowych. Sam Pan Jezus tak uczynił, jak zapisano w Ewangelii Łukasza 4,16-19. Na „Soborze Jerozolimskim” Jakub zakończył swoją decyzję słowami: „Mojżesz bowiem od dawnych pokoleń ma w każdym mieście tych, którzy go głoszą, gdyż czytany jest w synagogach w każdy szabat” (Dzieje Apostolskie 15,21). Apostoł Paweł zawsze rozpoczynał swoją służbę w nowym mieście od żydowskiej synagogi, jeśli jakaś tam była. Zauważ, co mówi Dzieje Apostolskie 13,15: „Po odczytaniu Prawa i Proroków przełożeni synagogi posłali do nich…”. W synagodze Paweł zazwyczaj rozpoczynał swoją przemowę słowami: „Mężowie Izraelici i wy, którzy boicie się Boga”, przy czym „wy, którzy boicie się Boga” odnosiło się do obecnych tam pogan.</w:t>
      </w:r>
    </w:p>
    <w:p>
      <w:pPr>
        <w:pStyle w:val="BodyText"/>
      </w:pPr>
      <w:r>
        <w:t xml:space="preserve">Otóż na samym początku wspólnota chrześcijańska składała się głównie z Żydów i takich pogan, i w naturalny sposób kontynuowali oni praktykę czytania Pisma podczas swoich cotygodniowych zgromadzeń. Przypomnij sobie, co doprowadziło do ustanowienia urzędu diakona w Dziejach Apostolskich 6. „Nie jest rzeczą właściwą, żebyśmy zaniedbali Słowo Boże, aby usługiwać przy stołach” (werset 2). „My zaś oddamy się nieustannie modlitwie i posłudze Słowa” (werset 4). Oczywiście w tamtym czasie ich Biblią był Stary Testament, pierwsza Ewangelia, Ewangelia Mateusza, została bowiem opublikowana dopiero w roku 38/39. Ponieważ jednak pisma Nowego Testamentu od samego początku uznawano za Pismo, naturalne było, że dołączono je do Starego Testamentu, a z czasem prawdopodobnie zajęły pierwsze miejsce. Zauważ, co Justyn Męczennik napisał w swojej</w:t>
      </w:r>
      <w:r>
        <w:t xml:space="preserve"> </w:t>
      </w:r>
      <w:r>
        <w:rPr>
          <w:iCs/>
          <w:i/>
        </w:rPr>
        <w:t xml:space="preserve">Pierwszej Apologii</w:t>
      </w:r>
      <w:r>
        <w:t xml:space="preserve"> </w:t>
      </w:r>
      <w:r>
        <w:t xml:space="preserve">(około 150 roku po Chr.):</w:t>
      </w:r>
    </w:p>
    <w:p>
      <w:pPr>
        <w:pStyle w:val="BlockText"/>
      </w:pPr>
      <w:r>
        <w:t xml:space="preserve">W dniu zwanym niedzielą wszyscy, którzy mieszkają w miastach lub na wsi, gromadzą się w jednym miejscu, i czytane są pamiętniki Apostołów albo pisma proroków, tak długo, jak pozwala na to czas, następnie, gdy lektor skończy, przewodniczący (przewodniczący zgromadzeniu) ustnie poucza i zachęca do naśladowania tych dobrych rzeczy.</w:t>
      </w:r>
      <w:r>
        <w:rPr>
          <w:rStyle w:val="FootnoteReference"/>
        </w:rPr>
        <w:footnoteReference w:id="259"/>
      </w:r>
    </w:p>
    <w:p>
      <w:pPr>
        <w:pStyle w:val="FirstParagraph"/>
      </w:pPr>
      <w:r>
        <w:t xml:space="preserve">„Pamiętniki Apostołów” były Ewangeliami, jakie znamy (</w:t>
      </w:r>
      <w:r>
        <w:rPr>
          <w:iCs/>
          <w:i/>
        </w:rPr>
        <w:t xml:space="preserve">Pierwsza Apologia</w:t>
      </w:r>
      <w:r>
        <w:t xml:space="preserve"> </w:t>
      </w:r>
      <w:r>
        <w:t xml:space="preserve">66). Jeśli rozważy się sposób używania przez Justyna wyrażenia „pamiętniki Apostołów” we wszystkich jego pismach, można bezpiecznie dojść do wniosku, że trafnie odnosi je do dwóch apostołów (Mateusza i Jana) oraz dwóch towarzyszy apostołów (Marka i Łukasza), których wyodrębnił. Justyn używał wyrażenia „pamiętniki Apostołów” w odniesieniu do czterech Ewangelii, lecz nigdy nie używał go w odniesieniu do ewangelii gnostyckich lub apokryficznych.</w:t>
      </w:r>
      <w:r>
        <w:rPr>
          <w:rStyle w:val="FootnoteReference"/>
        </w:rPr>
        <w:footnoteReference w:id="260"/>
      </w:r>
    </w:p>
    <w:p>
      <w:pPr>
        <w:pStyle w:val="BodyText"/>
      </w:pPr>
      <w:r>
        <w:t xml:space="preserve">Zauważ, że Ewangelie wymieniono jako pierwsze, przed „pismami proroków”, co odnosiło się do Starego Testamentu. Justyn wyraźnie pokazuje, że chrześcijanie kontynuowali praktykę czytania Pisma podczas cotygodniowych zgromadzeń i, jak należało oczekiwać, pisma Nowego Testamentu zaczęto preferować. Nie mamy dowodów, że praktykę czytania Pisma podczas publicznych zgromadzeń kiedykolwiek zarzucono, przynajmniej na Wschodzie. W rzeczy samej, samo istnienie manuskryptów lekcjonarzowych byłoby dowodem, że praktyka ta trwała. Jeśli „Kanony Euzebiusza” rzeczywiście zostały sporządzone przez Euzebiusza z Cezarei (zm. 339), mamy dowód z początku IV wieku, a on z pewnością jedynie ujednolicił to, co już praktykowano w kościołach. Gdy więc mnisi z góry Athos twierdzą, że ich praktyka sięga najdawniejszych czasów, mają rację.</w:t>
      </w:r>
      <w:r>
        <w:t xml:space="preserve"> </w:t>
      </w:r>
      <w:r>
        <w:rPr>
          <w:bCs/>
          <w:b/>
        </w:rPr>
        <w:t xml:space="preserve">Żadne z powyższych nie mówi nam jednak, jakiego typu tekstu używano</w:t>
      </w:r>
      <w:r>
        <w:t xml:space="preserve">, a na mnie spoczywa obowiązek zajęcia się tą kwestią.</w:t>
      </w:r>
    </w:p>
    <w:p>
      <w:pPr>
        <w:pStyle w:val="BodyText"/>
      </w:pPr>
      <w:r>
        <w:t xml:space="preserve">Najpierw jednak dowody lekcjonarzowe wprost przeczą twierdzeniu von Sodena, że system powstał w Konstantynopolu w XII wieku. Według</w:t>
      </w:r>
      <w:r>
        <w:t xml:space="preserve"> </w:t>
      </w:r>
      <w:r>
        <w:rPr>
          <w:iCs/>
          <w:i/>
        </w:rPr>
        <w:t xml:space="preserve">Kurzgefasste Liste</w:t>
      </w:r>
      <w:r>
        <w:rPr>
          <w:rStyle w:val="FootnoteReference"/>
        </w:rPr>
        <w:footnoteReference w:id="261"/>
      </w:r>
      <w:r>
        <w:t xml:space="preserve"> </w:t>
      </w:r>
      <w:r>
        <w:t xml:space="preserve">(luty 2018) mamy jeden zachowany lekcjonarz z IV wieku, dwa z V, dwa z VI, dwa z VII, piętnaście z VIII, 113 z IX, 162 z X i 303 z XI. Nawet jeśli zmniejszymy wszystkie te liczby o połowę (aby zapobiec sporom), dowodzą one, że von Soden całkowicie się mylił. Tak się składa, że wśród zachowanych lekcjonarzy druga co do wielkości rodzina zawiera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jest jednak mała w porównaniu z rodziną dominującą, lecz proszę zauważyć: różnica dotyczy sformułowań, a nie wyboru lekcji. Von Soden twierdził również, że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został narzucony przez władzę kościelną. Jeśli tak było, dlaczego zdecydowana większość lekcjonarzy ma inny tekst? I jak coś stworzonego w XII wieku mogło wyprzeć starożytną praktykę? Von Soden ponownie całkowicie się mylił.</w:t>
      </w:r>
    </w:p>
    <w:p>
      <w:pPr>
        <w:pStyle w:val="BodyText"/>
      </w:pPr>
      <w:r>
        <w:t xml:space="preserve">Dla każdego powinno być oczywiste, że używane książki się zużywają, im częściej są używane, tym szybciej się zużywają. Najwcześniejsze manuskrypty przetrwały, ponieważ nikt nie chciał ich używać, nie były też kopiowane (po co marnować dobry pergamin?). Jeśli wspólnoty używały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do publicznego czytania, kopie te zostałyby zużyte i nie mogłyby fizycznie przetrwać. Brak wczesnych manuskryptów</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niekoniecznie stanowi więc argument przeciwko temu typowi tekstu.</w:t>
      </w:r>
    </w:p>
    <w:p>
      <w:pPr>
        <w:numPr>
          <w:ilvl w:val="0"/>
          <w:numId w:val="1013"/>
        </w:numPr>
        <w:pStyle w:val="Compact"/>
      </w:pPr>
      <w:r>
        <w:t xml:space="preserve">Von Soden zauważył, i słusznie, że manuskrypty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charakteryzuje znacznie mniej wariantów niż manuskrypty innych typów. Jego wyjaśnienie było takie, że jego</w:t>
      </w:r>
      <w:r>
        <w:t xml:space="preserve"> </w:t>
      </w:r>
      <w:r>
        <w:rPr>
          <w:bCs/>
          <w:b/>
        </w:rPr>
        <w:t xml:space="preserve">K</w:t>
      </w:r>
      <w:r>
        <w:rPr>
          <w:vertAlign w:val="superscript"/>
          <w:bCs/>
          <w:b/>
        </w:rPr>
        <w:t xml:space="preserve">r</w:t>
      </w:r>
      <w:r>
        <w:t xml:space="preserve"> </w:t>
      </w:r>
      <w:r>
        <w:t xml:space="preserve">stanowił rewizję narzuconą przez władzę kościelną, był tekstem kontrolowanym. W obrębie dyscypliny pojęcie tekstu kontrolowanego rozszerzono na cały tekst bizantyjski. Na przykład na stronie 11* angielskiego „Wprowadzenia” redaktorzy</w:t>
      </w:r>
      <w:r>
        <w:t xml:space="preserve"> </w:t>
      </w:r>
      <w:r>
        <w:rPr>
          <w:iCs/>
          <w:i/>
        </w:rPr>
        <w:t xml:space="preserve">Editio Critica Maior</w:t>
      </w:r>
      <w:r>
        <w:t xml:space="preserve"> </w:t>
      </w:r>
      <w:r>
        <w:t xml:space="preserve">Listu Jakuba</w:t>
      </w:r>
      <w:r>
        <w:rPr>
          <w:rStyle w:val="FootnoteReference"/>
        </w:rPr>
        <w:footnoteReference w:id="262"/>
      </w:r>
      <w:r>
        <w:t xml:space="preserve"> </w:t>
      </w:r>
      <w:r>
        <w:t xml:space="preserve">określają tekst bizantyjski (obejmujący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jako „starannie kontrolowany”.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i najbardziej spójną (wewnętrznie zgodną) linią przekazu w obrębie szerokiej rzeki bizantyjskiej, jeśli więc kontrolowana była masa bizantyjska,</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byłby kontrolowany w jeszcze większym stopniu.</w:t>
      </w:r>
    </w:p>
    <w:p>
      <w:pPr>
        <w:pStyle w:val="FirstParagraph"/>
      </w:pPr>
      <w:r>
        <w:t xml:space="preserve">Otóż jeśli tekst jest „kontrolowany”, ktoś musi dokonywać kontrolowania — jeśli nie ma</w:t>
      </w:r>
      <w:r>
        <w:t xml:space="preserve"> </w:t>
      </w:r>
      <w:r>
        <w:rPr>
          <w:u w:val="single"/>
        </w:rPr>
        <w:t xml:space="preserve">kontrolera</w:t>
      </w:r>
      <w:r>
        <w:t xml:space="preserve">, nie może być</w:t>
      </w:r>
      <w:r>
        <w:t xml:space="preserve"> </w:t>
      </w:r>
      <w:r>
        <w:rPr>
          <w:u w:val="single"/>
        </w:rPr>
        <w:t xml:space="preserve">kontrolowania</w:t>
      </w:r>
      <w:r>
        <w:t xml:space="preserve">. Kto zatem może nim być? Widzę trzy możliwości: ludzie, Szatan, Bóg. O ile mi wiadomo, wszyscy, którzy nazywają tekst bizantyjski „kontrolowanym”, wykluczają ze swojego modelu czynnik nadprzyrodzony, według nich kontrolowania dokonują więc ludzie, niezależnie od wpływu nadprzyrodzonego. Ponieważ rzekoma kontrola musiała działać przez ponad tysiąc lat, nie mogła być sprawowana przez jedną osobę. Kto jednak mógł kontrolować cały świat śródziemnomorski? Przez ponad tysiąc lat Kościół rzymski posługiwał się łaciną, nie greką. Czy w Kościołach prawosławnych kiedykolwiek istniała działająca władza centralna? Z pewnością nie przez tysiąc lat i nie w całym świecie śródziemnomorskim. Kto zatem dokonywał kontrolowania?</w:t>
      </w:r>
    </w:p>
    <w:p>
      <w:pPr>
        <w:pStyle w:val="BodyText"/>
      </w:pPr>
      <w:r>
        <w:t xml:space="preserve">Co więcej, rzekoma kontrola była najwyraźniej dość luźna, manuskrypty są bowiem pełne przypadkowych błędów, niezależnie od wspólnych zależności. Rozważ wniosek, do którego doszedł F. Wisse po skolacjonowaniu i przeanalizowaniu 1386 greckich manuskryptów zawierających rozdziały 1, 10 i 20 Ewangelii Łukasza (trzy pełne rozdziały). Opisał 37 linii przekazu oraz 89 „odszczepieńców”, manuskryptów tak indywidualnie odmiennych, że nie można ich było pogrupować. Spośród 37 grup 36 mieści się w szerokiej rzece bizantyjskiej, a w ich obrębie Wisse opisał 70 podgrup. Jaki rodzaj „kontroli” mógł więc dopuścić do takiej sytuacji? Ufam, że moi czytelnicy nie uznają mnie za nierozsądnego, gdy powiem, iż wobec tak konkretnych dowodów teza o „kontrolowanym” tekście bizantyjskim (z wyłączeniem czynnika nadprzyrodzonego) jest dla mnie mało przekonująca. Jak zatem mamy wyjaśnić występującą w nim względną jednolitość?</w:t>
      </w:r>
    </w:p>
    <w:p>
      <w:pPr>
        <w:pStyle w:val="BodyText"/>
      </w:pPr>
      <w:r>
        <w:t xml:space="preserve">Mam nadzieję, że moi czytelnicy wiedzą, iż osobiście nalegam, aby czynnik nadprzyrodzony uwzględniać w każdym modelu krytyki tekstu Nowego Testamentu. Zarówno Bóg, jak i Szatan z pewnością istnieją i obaj nieustannie interesują się losami Tekstu Nowego Testamentu. Od pewnego czasu bronię Boskiego zachowania Tekstu Nowego Testamentu w konkretnych kategoriach. Co ciekawe, osoby utrzymujące, że tekst bizantyjski był kontrolowany, zazwyczaj odrzucają wszelkie pojęcie Boskiego zachowania. Oczywiście jeśli nie wierzą w Boskie natchnienie, nie będą wierzyć w zachowanie. Ktoś, kto zaprzecza istnieniu Suwerennego Stwórcy, będzie logicznie utrzymywał, że nieistniejąca istota nie może niczego uczynić. Jak jednak taka osoba może wyjaśnić tekst bizantyjski? Przedkładam, że żadna hipoteza naturalistyczna nie jest w stanie wyjaśnić Rodziny 35 (</w:t>
      </w:r>
      <w:r>
        <w:rPr>
          <w:bCs/>
          <w:b/>
        </w:rPr>
        <w:t xml:space="preserve">K</w:t>
      </w:r>
      <w:r>
        <w:rPr>
          <w:vertAlign w:val="superscript"/>
          <w:bCs/>
          <w:b/>
        </w:rPr>
        <w:t xml:space="preserve">r</w:t>
      </w:r>
      <w:r>
        <w:t xml:space="preserve">).</w:t>
      </w:r>
    </w:p>
    <w:p>
      <w:pPr>
        <w:pStyle w:val="BodyText"/>
      </w:pPr>
      <w:r>
        <w:t xml:space="preserve">Szatan z pewnością nie uczyniłby niczego, by pomóc zachować Tekst Nowego Testamentu, każde jego zaangażowanie miałoby na celu wypaczenie tekstu, a tym samym podważenie jego autorytetu. (Powiedziałbym, że skoncentrował swoje wysiłki w Egipcie). W innym miejscu argumentowałem, że przekazywanie Tekstu Nowego Testamentu było przeważnie „normalne”, a normalność była określana przez Kościół chrześcijański. Dlaczego sporządzano kopie? Ponieważ zbory ich potrzebowały. Dlaczego zbory ich „potrzebowały”? Ponieważ rozumiały, że pisma Nowego Testamentu były natchnione przez Boga, i czytano je oraz omawiano podczas cotygodniowych zgromadzeń. Argumentowanie, że pierwsi chrześcijanie mylili się w tym rozumieniu, byłoby nie na temat. To rozumienie (błędne lub nie) determinowało ich stosunek do pism Nowego Testamentu, a ten kontrolował sporządzanie kopii. Jeśli większość osób sporządzających kopie stanowili szczerzy (mniej lub bardziej) chrześcijanie, wykonywali swoją pracę z należytą starannością (jedni większą, inni mniejszą). Ci, którzy mieli mocne przekonanie o natchnieniu, byliby szczególnie staranni.</w:t>
      </w:r>
    </w:p>
    <w:p>
      <w:pPr>
        <w:pStyle w:val="BodyText"/>
      </w:pPr>
      <w:r>
        <w:t xml:space="preserve">Przedkładam, że zachowane manuskrypty odzwierciedlają powyższy opis.</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zdecydowanie największa i najbardziej spójna grupa (być może jedyna grupa istniejąca we wszystkich 27 księgach), reprezentuje rdzeń przekazu, a jej przedstawiciele zostali sporządzeni przez kopistów mających wysokie przekonanie o natchnieniu (o czym świadczy nadzwyczajna staranność ich pracy). Poza tym rdzeniem istnieje wiele odnóg lub strumyków, które w różnym stopniu od niego odbiegają i które powstały w różnych czasach i miejscach. Mnich jedynie wypełniający religijny obowiązek sporządzał „przeciętną” kopię bizantyjską, wystarczająco dobrą do praktycznie wszystkich celów praktycznych, lecz niespełniającą standardu</w:t>
      </w:r>
      <w:r>
        <w:t xml:space="preserve"> </w:t>
      </w:r>
      <w:r>
        <w:rPr>
          <w:bCs/>
          <w:b/>
        </w:rPr>
        <w:t xml:space="preserve">f</w:t>
      </w:r>
      <w:r>
        <w:rPr>
          <w:vertAlign w:val="superscript"/>
          <w:bCs/>
          <w:b/>
        </w:rPr>
        <w:t xml:space="preserve">35</w:t>
      </w:r>
      <w:r>
        <w:t xml:space="preserve">.</w:t>
      </w:r>
    </w:p>
    <w:p>
      <w:pPr>
        <w:pStyle w:val="BodyText"/>
      </w:pPr>
      <w:r>
        <w:t xml:space="preserve">Czy tekst bizantyjski był zatem „kontrolowany”? Oczywiście nie w żadnym ścisłym sensie. Kontrolę sprawowało wspólne przekonanie (wewnątrz wspólnoty chrześcijańskiej), że Nowy Testament był natchniony przez Boga. To przekonanie podyktowało mnożenie kopii sporządzanych z należytą starannością. Ta należyta staranność znajduje odzwierciedlenie w podstawowej jednolitości masy bizantyjskiej. Wyjaśnienie niewiarygodnie starannego przekazu odzwierciedlonego w przedstawicielach</w:t>
      </w:r>
      <w:r>
        <w:t xml:space="preserve"> </w:t>
      </w:r>
      <w:r>
        <w:rPr>
          <w:bCs/>
          <w:b/>
        </w:rPr>
        <w:t xml:space="preserve">f</w:t>
      </w:r>
      <w:r>
        <w:rPr>
          <w:vertAlign w:val="superscript"/>
          <w:bCs/>
          <w:b/>
        </w:rPr>
        <w:t xml:space="preserve">35</w:t>
      </w:r>
      <w:r>
        <w:t xml:space="preserve"> </w:t>
      </w:r>
      <w:r>
        <w:t xml:space="preserve">wymaga jednak czegoś więcej.</w:t>
      </w:r>
    </w:p>
    <w:p>
      <w:pPr>
        <w:pStyle w:val="BodyText"/>
      </w:pPr>
      <w:r>
        <w:t xml:space="preserve">Spośród manuskryptów</w:t>
      </w:r>
      <w:r>
        <w:t xml:space="preserve"> </w:t>
      </w:r>
      <w:r>
        <w:rPr>
          <w:bCs/>
          <w:b/>
        </w:rPr>
        <w:t xml:space="preserve">f</w:t>
      </w:r>
      <w:r>
        <w:rPr>
          <w:vertAlign w:val="superscript"/>
          <w:bCs/>
          <w:b/>
        </w:rPr>
        <w:t xml:space="preserve">35</w:t>
      </w:r>
      <w:r>
        <w:t xml:space="preserve">, które sam skolacjonowałem, mam doskonałe kopie archetypu rodziny (ustalonego empirycznie) w następującej liczbie: 29 dla Listu do Filemona, 15 dla 2 Listu do Tesaloniczan, 9 dla Listu do Tytusa, 6 dla Listu do Galacjan, 4 dla Listu do Efezjan i co najmniej jedną dla 22 spośród 27 ksiąg Nowego Testamentu (a o wiele więcej różni się jedną literą!). Są to manuskrypty z całego świata śródziemnomorskiego, reprezentujące pięć stuleci. Jaki zatem rodzaj kontroli mógł wytworzyć tak niewiarygodny poziom doskonałości — kontroli sprawowanej w odizolowanych klasztorach rozsianych po świecie śródziemnomorskim i przez pięć stuleci? Nie znamy żadnego ludzkiego czynnika, który mógłby tego dokonać. Jeśli czynnik ten nie był ludzki, musiał być Boski. Ponieważ von Soden z pewnością nie myślał o kontroli nadprzyrodzonej, ponownie całkowicie się mylił.</w:t>
      </w:r>
    </w:p>
    <w:p>
      <w:pPr>
        <w:numPr>
          <w:ilvl w:val="0"/>
          <w:numId w:val="1014"/>
        </w:numPr>
        <w:pStyle w:val="Compact"/>
      </w:pPr>
      <w:r>
        <w:t xml:space="preserve">Von Soden miał obsesję na punkcie fragmentu o kobiecie cudzołożnej (Ewangelia Jana 7,53-8,11) (najwyraźniej sądził, że dostarczy on klucza do całego Nowego Testamentu). On i jego zespół skolacjonowali ponad 900 manuskryptów dla tych dwunastu wersetów (znacznie więcej niż dla jakiegokolwiek innego fragmentu Nowego Testamentu). Sprowadził te 900 manuskryptów do siedmiu rodzin lub linii przekazu, które nazwał</w:t>
      </w:r>
      <w:r>
        <w:t xml:space="preserve"> </w:t>
      </w:r>
      <w:r>
        <w:rPr>
          <w:bCs/>
          <w:b/>
        </w:rPr>
        <w:t xml:space="preserve">M</w:t>
      </w:r>
      <w:r>
        <w:rPr>
          <w:vertAlign w:val="superscript"/>
          <w:bCs/>
          <w:b/>
        </w:rPr>
        <w:t xml:space="preserve">1,2,3,4,5,6,7</w:t>
      </w:r>
      <w:r>
        <w:t xml:space="preserve"> </w:t>
      </w:r>
      <w:r>
        <w:t xml:space="preserve">(M jest pierwszą literą słowa „cudzołóstwo” po grecku). Na stronie 524 przedstawił stemma, w którym jego</w:t>
      </w:r>
      <w:r>
        <w:t xml:space="preserve"> </w:t>
      </w:r>
      <w:r>
        <w:rPr>
          <w:bCs/>
          <w:b/>
        </w:rPr>
        <w:t xml:space="preserve">M</w:t>
      </w:r>
      <w:r>
        <w:rPr>
          <w:vertAlign w:val="superscript"/>
          <w:bCs/>
          <w:b/>
        </w:rPr>
        <w:t xml:space="preserve">1</w:t>
      </w:r>
      <w:r>
        <w:t xml:space="preserve"> </w:t>
      </w:r>
      <w:r>
        <w:t xml:space="preserve">znajdowała się najbliżej Źródła, a</w:t>
      </w:r>
      <w:r>
        <w:t xml:space="preserve"> </w:t>
      </w:r>
      <w:r>
        <w:rPr>
          <w:bCs/>
          <w:b/>
        </w:rPr>
        <w:t xml:space="preserve">M</w:t>
      </w:r>
      <w:r>
        <w:rPr>
          <w:vertAlign w:val="superscript"/>
          <w:bCs/>
          <w:b/>
        </w:rPr>
        <w:t xml:space="preserve">7</w:t>
      </w:r>
      <w:r>
        <w:t xml:space="preserve"> </w:t>
      </w:r>
      <w:r>
        <w:t xml:space="preserve">najdalej od tego Źródła. Trzy ostatnie rodziny były zdecydowanie największe, każda z nich była większa niż pierwsze cztery razem wzięte, do tego stopnia, że dowolne dwie spośród tych trzech stanowiły większość całości. Von Soden argumentował, że jego</w:t>
      </w:r>
      <w:r>
        <w:t xml:space="preserve"> </w:t>
      </w:r>
      <w:r>
        <w:rPr>
          <w:bCs/>
          <w:b/>
        </w:rPr>
        <w:t xml:space="preserve">M</w:t>
      </w:r>
      <w:r>
        <w:rPr>
          <w:vertAlign w:val="superscript"/>
          <w:bCs/>
          <w:b/>
        </w:rPr>
        <w:t xml:space="preserve">7</w:t>
      </w:r>
      <w:r>
        <w:t xml:space="preserve"> </w:t>
      </w:r>
      <w:r>
        <w:t xml:space="preserve">była kompozycją opartą na jego</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zatem była od nich późniejsza i gorsza.</w:t>
      </w:r>
    </w:p>
    <w:p>
      <w:pPr>
        <w:pStyle w:val="FirstParagraph"/>
      </w:pPr>
      <w:r>
        <w:t xml:space="preserve">Przypomina to sposób traktowania przez Horta jego tekstu „syryjskiego”. Hort przedstawił jednak osiem rzekomych „konflacji” w obrębie swojego tekstu syryjskiego i na tej podstawie potępił go dla całego Nowego Testamentu. Otóż prawdziwa konflacja jest z definicji wtórna (jeśli można udowodnić, że dwa krótsze odczyty nie są niezależnymi uproszczeniami oryginalnego, dłuższego odczytu). W „Perykopie”</w:t>
      </w:r>
      <w:r>
        <w:t xml:space="preserve"> </w:t>
      </w:r>
      <w:r>
        <w:rPr>
          <w:bCs/>
          <w:b/>
        </w:rPr>
        <w:t xml:space="preserve">M</w:t>
      </w:r>
      <w:r>
        <w:rPr>
          <w:vertAlign w:val="superscript"/>
          <w:bCs/>
          <w:b/>
        </w:rPr>
        <w:t xml:space="preserve">7</w:t>
      </w:r>
      <w:r>
        <w:t xml:space="preserve"> </w:t>
      </w:r>
      <w:r>
        <w:t xml:space="preserve">nie zawiera jednak żadnych „konflacji”, na jakiej więc obiektywnej podstawie von Soden twierdził, że opierała się na</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 obrębie Perykopy istnieją 32 zestawy wariantów istotne dla tych trzech dużych grup, które teraz odtworzę. Proszę czytelnika, aby spróbował przeanalizować dowody bez uprzednich założeń.</w:t>
      </w:r>
    </w:p>
    <w:p>
      <w:pPr>
        <w:pStyle w:val="BodyText"/>
      </w:pPr>
      <w:r>
        <w:t xml:space="preserve">Poniższe informacje opierają się na pełnym kolacjonowaniu przez Maurice’a A. Robinsona 1389 manuskryptów zawierających Perykopę, Ewangelię Jana 7,53-8,11.</w:t>
      </w:r>
      <w:r>
        <w:rPr>
          <w:rStyle w:val="FootnoteReference"/>
        </w:rPr>
        <w:footnoteReference w:id="263"/>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Werset</w:t>
            </w:r>
          </w:p>
        </w:tc>
        <w:tc>
          <w:tcPr/>
          <w:p>
            <w:pPr>
              <w:pStyle w:val="Compact"/>
              <w:jc w:val="right"/>
            </w:pPr>
            <w:r>
              <w:t xml:space="preserve">Zestaw</w:t>
            </w:r>
          </w:p>
        </w:tc>
        <w:tc>
          <w:tcPr/>
          <w:p>
            <w:pPr>
              <w:pStyle w:val="Compact"/>
              <w:jc w:val="left"/>
            </w:pPr>
            <w:r>
              <w:rPr>
                <w:bCs/>
                <w:b/>
              </w:rPr>
              <w:t xml:space="preserve">M</w:t>
            </w:r>
            <w:r>
              <w:rPr>
                <w:vertAlign w:val="superscript"/>
                <w:bCs/>
                <w:b/>
              </w:rPr>
              <w:t xml:space="preserve">7</w:t>
            </w:r>
          </w:p>
        </w:tc>
        <w:tc>
          <w:tcPr/>
          <w:p>
            <w:pPr>
              <w:pStyle w:val="Compact"/>
              <w:jc w:val="left"/>
            </w:pPr>
            <w:r>
              <w:rPr>
                <w:bCs/>
                <w:b/>
              </w:rPr>
              <w:t xml:space="preserve">M</w:t>
            </w:r>
            <w:r>
              <w:rPr>
                <w:vertAlign w:val="superscript"/>
                <w:bCs/>
                <w:b/>
              </w:rPr>
              <w:t xml:space="preserve">6</w:t>
            </w:r>
          </w:p>
        </w:tc>
        <w:tc>
          <w:tcPr/>
          <w:p>
            <w:pPr>
              <w:pStyle w:val="Compact"/>
              <w:jc w:val="left"/>
            </w:pPr>
            <w:r>
              <w:rPr>
                <w:bCs/>
                <w:b/>
              </w:rPr>
              <w:t xml:space="preserve">M</w:t>
            </w:r>
            <w:r>
              <w:rPr>
                <w:vertAlign w:val="superscript"/>
                <w:bCs/>
                <w:b/>
              </w:rPr>
              <w:t xml:space="preserve">5</w:t>
            </w:r>
          </w:p>
        </w:tc>
      </w:tr>
      <w:tr>
        <w:tc>
          <w:tcPr/>
          <w:p>
            <w:pPr>
              <w:pStyle w:val="Compact"/>
              <w:jc w:val="left"/>
            </w:pPr>
            <w:r>
              <w:t xml:space="preserve">7,53</w:t>
            </w:r>
          </w:p>
        </w:tc>
        <w:tc>
          <w:tcPr/>
          <w:p>
            <w:pPr>
              <w:pStyle w:val="Compact"/>
              <w:jc w:val="right"/>
            </w:pPr>
            <w:r>
              <w:t xml:space="preserve">01</w:t>
            </w:r>
          </w:p>
        </w:tc>
        <w:tc>
          <w:tcPr/>
          <w:p>
            <w:pPr>
              <w:pStyle w:val="Compact"/>
              <w:jc w:val="left"/>
            </w:pPr>
            <w:r>
              <w:t xml:space="preserve">απηλθεν</w:t>
            </w:r>
          </w:p>
        </w:tc>
        <w:tc>
          <w:tcPr/>
          <w:p>
            <w:pPr>
              <w:pStyle w:val="Compact"/>
              <w:jc w:val="left"/>
            </w:pPr>
            <w:r>
              <w:t xml:space="preserve">απηλθεν / απηλθον</w:t>
            </w:r>
          </w:p>
        </w:tc>
        <w:tc>
          <w:tcPr/>
          <w:p>
            <w:pPr>
              <w:pStyle w:val="Compact"/>
              <w:jc w:val="left"/>
            </w:pPr>
            <w:r>
              <w:t xml:space="preserve">**επορευθη / επορευθησαν</w:t>
            </w:r>
          </w:p>
        </w:tc>
      </w:tr>
      <w:tr>
        <w:tc>
          <w:tcPr/>
          <w:p>
            <w:pPr>
              <w:pStyle w:val="Compact"/>
              <w:jc w:val="left"/>
            </w:pPr>
            <w:r>
              <w:t xml:space="preserve">8,1</w:t>
            </w:r>
          </w:p>
        </w:tc>
        <w:tc>
          <w:tcPr/>
          <w:p>
            <w:pPr>
              <w:pStyle w:val="Compact"/>
              <w:jc w:val="right"/>
            </w:pPr>
            <w:r>
              <w:t xml:space="preserve">02</w:t>
            </w:r>
          </w:p>
        </w:tc>
        <w:tc>
          <w:tcPr/>
          <w:p>
            <w:pPr>
              <w:pStyle w:val="Compact"/>
              <w:jc w:val="left"/>
            </w:pPr>
            <w:r>
              <w:t xml:space="preserve">Ιησους δε</w:t>
            </w:r>
          </w:p>
        </w:tc>
        <w:tc>
          <w:tcPr/>
          <w:p>
            <w:pPr>
              <w:pStyle w:val="Compact"/>
              <w:jc w:val="left"/>
            </w:pPr>
            <w:r>
              <w:t xml:space="preserve">**και ο Ιησους δε / και ο Ιησους</w:t>
            </w:r>
          </w:p>
        </w:tc>
        <w:tc>
          <w:tcPr/>
          <w:p>
            <w:pPr>
              <w:pStyle w:val="Compact"/>
              <w:jc w:val="left"/>
            </w:pPr>
            <w:r>
              <w:t xml:space="preserve">Ιησους δε</w:t>
            </w:r>
          </w:p>
        </w:tc>
      </w:tr>
      <w:tr>
        <w:tc>
          <w:tcPr/>
          <w:p>
            <w:pPr>
              <w:pStyle w:val="Compact"/>
              <w:jc w:val="left"/>
            </w:pPr>
            <w:r>
              <w:t xml:space="preserve">8,2</w:t>
            </w:r>
          </w:p>
        </w:tc>
        <w:tc>
          <w:tcPr/>
          <w:p>
            <w:pPr>
              <w:pStyle w:val="Compact"/>
              <w:jc w:val="right"/>
            </w:pPr>
            <w:r>
              <w:t xml:space="preserve">03</w:t>
            </w:r>
          </w:p>
        </w:tc>
        <w:tc>
          <w:tcPr/>
          <w:p>
            <w:pPr>
              <w:pStyle w:val="Compact"/>
              <w:jc w:val="left"/>
            </w:pPr>
            <w:r>
              <w:t xml:space="preserve">(βαθεως) = pominięcie</w:t>
            </w:r>
          </w:p>
        </w:tc>
        <w:tc>
          <w:tcPr/>
          <w:p>
            <w:pPr>
              <w:pStyle w:val="Compact"/>
              <w:jc w:val="left"/>
            </w:pPr>
            <w:r>
              <w:t xml:space="preserve">**βαθεως / βαθεος</w:t>
            </w:r>
          </w:p>
        </w:tc>
        <w:tc>
          <w:tcPr/>
          <w:p>
            <w:pPr>
              <w:pStyle w:val="Compact"/>
              <w:jc w:val="left"/>
            </w:pPr>
            <w:r>
              <w:t xml:space="preserve">(βαθεως)</w:t>
            </w:r>
          </w:p>
        </w:tc>
      </w:tr>
      <w:tr>
        <w:tc>
          <w:tcPr/>
          <w:p>
            <w:pPr>
              <w:pStyle w:val="Compact"/>
              <w:jc w:val="left"/>
            </w:pPr>
            <w:r>
              <w:t xml:space="preserve">8,2</w:t>
            </w:r>
          </w:p>
        </w:tc>
        <w:tc>
          <w:tcPr/>
          <w:p>
            <w:pPr>
              <w:pStyle w:val="Compact"/>
              <w:jc w:val="right"/>
            </w:pPr>
            <w:r>
              <w:t xml:space="preserve">04</w:t>
            </w:r>
          </w:p>
        </w:tc>
        <w:tc>
          <w:tcPr/>
          <w:p>
            <w:pPr>
              <w:pStyle w:val="Compact"/>
              <w:jc w:val="left"/>
            </w:pPr>
            <w:r>
              <w:t xml:space="preserve">παρεγενετο</w:t>
            </w:r>
          </w:p>
        </w:tc>
        <w:tc>
          <w:tcPr/>
          <w:p>
            <w:pPr>
              <w:pStyle w:val="Compact"/>
              <w:jc w:val="left"/>
            </w:pPr>
            <w:r>
              <w:t xml:space="preserve">**ηλθεν ο Ιησους</w:t>
            </w:r>
          </w:p>
        </w:tc>
        <w:tc>
          <w:tcPr/>
          <w:p>
            <w:pPr>
              <w:pStyle w:val="Compact"/>
              <w:jc w:val="left"/>
            </w:pPr>
            <w:r>
              <w:t xml:space="preserve">παρεγενετο</w:t>
            </w:r>
          </w:p>
        </w:tc>
      </w:tr>
      <w:tr>
        <w:tc>
          <w:tcPr/>
          <w:p>
            <w:pPr>
              <w:pStyle w:val="Compact"/>
              <w:jc w:val="left"/>
            </w:pPr>
            <w:r>
              <w:t xml:space="preserve">8,2</w:t>
            </w:r>
          </w:p>
        </w:tc>
        <w:tc>
          <w:tcPr/>
          <w:p>
            <w:pPr>
              <w:pStyle w:val="Compact"/>
              <w:jc w:val="right"/>
            </w:pPr>
            <w:r>
              <w:t xml:space="preserve">05</w:t>
            </w:r>
          </w:p>
        </w:tc>
        <w:tc>
          <w:tcPr/>
          <w:p>
            <w:pPr>
              <w:pStyle w:val="Compact"/>
              <w:jc w:val="left"/>
            </w:pPr>
            <w:r>
              <w:t xml:space="preserve">προς αυτον</w:t>
            </w:r>
          </w:p>
        </w:tc>
        <w:tc>
          <w:tcPr/>
          <w:p>
            <w:pPr>
              <w:pStyle w:val="Compact"/>
              <w:jc w:val="left"/>
            </w:pPr>
            <w:r>
              <w:t xml:space="preserve">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06</w:t>
            </w:r>
          </w:p>
        </w:tc>
        <w:tc>
          <w:tcPr/>
          <w:p>
            <w:pPr>
              <w:pStyle w:val="Compact"/>
              <w:jc w:val="left"/>
            </w:pPr>
            <w:r>
              <w:t xml:space="preserve">προς αυτον</w:t>
            </w:r>
          </w:p>
        </w:tc>
        <w:tc>
          <w:tcPr/>
          <w:p>
            <w:pPr>
              <w:pStyle w:val="Compact"/>
              <w:jc w:val="left"/>
            </w:pPr>
            <w:r>
              <w:t xml:space="preserve">(προς αυτον) / 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07</w:t>
            </w:r>
          </w:p>
        </w:tc>
        <w:tc>
          <w:tcPr/>
          <w:p>
            <w:pPr>
              <w:pStyle w:val="Compact"/>
              <w:jc w:val="left"/>
            </w:pPr>
            <w:r>
              <w:t xml:space="preserve">επι</w:t>
            </w:r>
          </w:p>
        </w:tc>
        <w:tc>
          <w:tcPr/>
          <w:p>
            <w:pPr>
              <w:pStyle w:val="Compact"/>
              <w:jc w:val="left"/>
            </w:pPr>
            <w:r>
              <w:t xml:space="preserve">επι</w:t>
            </w:r>
          </w:p>
        </w:tc>
        <w:tc>
          <w:tcPr/>
          <w:p>
            <w:pPr>
              <w:pStyle w:val="Compact"/>
              <w:jc w:val="left"/>
            </w:pPr>
            <w:r>
              <w:t xml:space="preserve">**εν</w:t>
            </w:r>
          </w:p>
        </w:tc>
      </w:tr>
      <w:tr>
        <w:tc>
          <w:tcPr/>
          <w:p>
            <w:pPr>
              <w:pStyle w:val="Compact"/>
              <w:jc w:val="left"/>
            </w:pPr>
            <w:r>
              <w:t xml:space="preserve">8,3</w:t>
            </w:r>
          </w:p>
        </w:tc>
        <w:tc>
          <w:tcPr/>
          <w:p>
            <w:pPr>
              <w:pStyle w:val="Compact"/>
              <w:jc w:val="right"/>
            </w:pPr>
            <w:r>
              <w:t xml:space="preserve">08</w:t>
            </w:r>
          </w:p>
        </w:tc>
        <w:tc>
          <w:tcPr/>
          <w:p>
            <w:pPr>
              <w:pStyle w:val="Compact"/>
              <w:jc w:val="left"/>
            </w:pPr>
            <w:r>
              <w:t xml:space="preserve">κατειλημμενην</w:t>
            </w:r>
          </w:p>
        </w:tc>
        <w:tc>
          <w:tcPr/>
          <w:p>
            <w:pPr>
              <w:pStyle w:val="Compact"/>
              <w:jc w:val="left"/>
            </w:pPr>
            <w:r>
              <w:t xml:space="preserve">κατειλημμενην</w:t>
            </w:r>
          </w:p>
        </w:tc>
        <w:tc>
          <w:tcPr/>
          <w:p>
            <w:pPr>
              <w:pStyle w:val="Compact"/>
              <w:jc w:val="left"/>
            </w:pPr>
            <w:r>
              <w:t xml:space="preserve">**καταληφθεισαν</w:t>
            </w:r>
          </w:p>
        </w:tc>
      </w:tr>
      <w:tr>
        <w:tc>
          <w:tcPr/>
          <w:p>
            <w:pPr>
              <w:pStyle w:val="Compact"/>
              <w:jc w:val="left"/>
            </w:pPr>
            <w:r>
              <w:t xml:space="preserve">8,3</w:t>
            </w:r>
          </w:p>
        </w:tc>
        <w:tc>
          <w:tcPr/>
          <w:p>
            <w:pPr>
              <w:pStyle w:val="Compact"/>
              <w:jc w:val="right"/>
            </w:pPr>
            <w:r>
              <w:t xml:space="preserve">09</w:t>
            </w:r>
          </w:p>
        </w:tc>
        <w:tc>
          <w:tcPr/>
          <w:p>
            <w:pPr>
              <w:pStyle w:val="Compact"/>
              <w:jc w:val="left"/>
            </w:pPr>
            <w:r>
              <w:t xml:space="preserve">εν μεσω</w:t>
            </w:r>
          </w:p>
        </w:tc>
        <w:tc>
          <w:tcPr/>
          <w:p>
            <w:pPr>
              <w:pStyle w:val="Compact"/>
              <w:jc w:val="left"/>
            </w:pPr>
            <w:r>
              <w:t xml:space="preserve">εν τω μεσω / εν μεσω</w:t>
            </w:r>
          </w:p>
        </w:tc>
        <w:tc>
          <w:tcPr/>
          <w:p>
            <w:pPr>
              <w:pStyle w:val="Compact"/>
              <w:jc w:val="left"/>
            </w:pPr>
            <w:r>
              <w:t xml:space="preserve">εν μεσω</w:t>
            </w:r>
          </w:p>
        </w:tc>
      </w:tr>
      <w:tr>
        <w:tc>
          <w:tcPr/>
          <w:p>
            <w:pPr>
              <w:pStyle w:val="Compact"/>
              <w:jc w:val="left"/>
            </w:pPr>
            <w:r>
              <w:t xml:space="preserve">8,4</w:t>
            </w:r>
          </w:p>
        </w:tc>
        <w:tc>
          <w:tcPr/>
          <w:p>
            <w:pPr>
              <w:pStyle w:val="Compact"/>
              <w:jc w:val="right"/>
            </w:pPr>
            <w:r>
              <w:t xml:space="preserve">10</w:t>
            </w:r>
          </w:p>
        </w:tc>
        <w:tc>
          <w:tcPr/>
          <w:p>
            <w:pPr>
              <w:pStyle w:val="Compact"/>
              <w:jc w:val="left"/>
            </w:pPr>
            <w:r>
              <w:t xml:space="preserve">λεγουσιν</w:t>
            </w:r>
          </w:p>
        </w:tc>
        <w:tc>
          <w:tcPr/>
          <w:p>
            <w:pPr>
              <w:pStyle w:val="Compact"/>
              <w:jc w:val="left"/>
            </w:pPr>
            <w:r>
              <w:t xml:space="preserve">**ειπον</w:t>
            </w:r>
          </w:p>
        </w:tc>
        <w:tc>
          <w:tcPr/>
          <w:p>
            <w:pPr>
              <w:pStyle w:val="Compact"/>
              <w:jc w:val="left"/>
            </w:pPr>
            <w:r>
              <w:t xml:space="preserve">λεγουσιν</w:t>
            </w:r>
          </w:p>
        </w:tc>
      </w:tr>
      <w:tr>
        <w:tc>
          <w:tcPr/>
          <w:p>
            <w:pPr>
              <w:pStyle w:val="Compact"/>
              <w:jc w:val="left"/>
            </w:pPr>
            <w:r>
              <w:t xml:space="preserve">8,4</w:t>
            </w:r>
          </w:p>
        </w:tc>
        <w:tc>
          <w:tcPr/>
          <w:p>
            <w:pPr>
              <w:pStyle w:val="Compact"/>
              <w:jc w:val="right"/>
            </w:pPr>
            <w:r>
              <w:t xml:space="preserve">11</w:t>
            </w:r>
          </w:p>
        </w:tc>
        <w:tc>
          <w:tcPr/>
          <w:p>
            <w:pPr>
              <w:pStyle w:val="Compact"/>
              <w:jc w:val="left"/>
            </w:pPr>
            <w:r>
              <w:t xml:space="preserve">(πειραζοντες)</w:t>
            </w:r>
          </w:p>
        </w:tc>
        <w:tc>
          <w:tcPr/>
          <w:p>
            <w:pPr>
              <w:pStyle w:val="Compact"/>
              <w:jc w:val="left"/>
            </w:pPr>
            <w:r>
              <w:t xml:space="preserve">(πειραζοντες)</w:t>
            </w:r>
          </w:p>
        </w:tc>
        <w:tc>
          <w:tcPr/>
          <w:p>
            <w:pPr>
              <w:pStyle w:val="Compact"/>
              <w:jc w:val="left"/>
            </w:pPr>
            <w:r>
              <w:t xml:space="preserve">**πειραζοντες</w:t>
            </w:r>
          </w:p>
        </w:tc>
      </w:tr>
      <w:tr>
        <w:tc>
          <w:tcPr/>
          <w:p>
            <w:pPr>
              <w:pStyle w:val="Compact"/>
              <w:jc w:val="left"/>
            </w:pPr>
            <w:r>
              <w:t xml:space="preserve">8,4</w:t>
            </w:r>
          </w:p>
        </w:tc>
        <w:tc>
          <w:tcPr/>
          <w:p>
            <w:pPr>
              <w:pStyle w:val="Compact"/>
              <w:jc w:val="right"/>
            </w:pPr>
            <w:r>
              <w:t xml:space="preserve">12</w:t>
            </w:r>
          </w:p>
        </w:tc>
        <w:tc>
          <w:tcPr/>
          <w:p>
            <w:pPr>
              <w:pStyle w:val="Compact"/>
              <w:jc w:val="left"/>
            </w:pPr>
            <w:r>
              <w:t xml:space="preserve">ταυτην ευρομεν</w:t>
            </w:r>
          </w:p>
        </w:tc>
        <w:tc>
          <w:tcPr/>
          <w:p>
            <w:pPr>
              <w:pStyle w:val="Compact"/>
              <w:jc w:val="left"/>
            </w:pPr>
            <w:r>
              <w:t xml:space="preserve">ταυτην ευρομεν</w:t>
            </w:r>
          </w:p>
        </w:tc>
        <w:tc>
          <w:tcPr/>
          <w:p>
            <w:pPr>
              <w:pStyle w:val="Compact"/>
              <w:jc w:val="left"/>
            </w:pPr>
            <w:r>
              <w:t xml:space="preserve">**αυτη η γυνη κατεληφθη / ειληπται / κατειληπται</w:t>
            </w:r>
          </w:p>
        </w:tc>
      </w:tr>
      <w:tr>
        <w:tc>
          <w:tcPr/>
          <w:p>
            <w:pPr>
              <w:pStyle w:val="Compact"/>
              <w:jc w:val="left"/>
            </w:pPr>
            <w:r>
              <w:t xml:space="preserve">8,4</w:t>
            </w:r>
          </w:p>
        </w:tc>
        <w:tc>
          <w:tcPr/>
          <w:p>
            <w:pPr>
              <w:pStyle w:val="Compact"/>
              <w:jc w:val="right"/>
            </w:pPr>
            <w:r>
              <w:t xml:space="preserve">13</w:t>
            </w:r>
          </w:p>
        </w:tc>
        <w:tc>
          <w:tcPr/>
          <w:p>
            <w:pPr>
              <w:pStyle w:val="Compact"/>
              <w:jc w:val="left"/>
            </w:pPr>
            <w:r>
              <w:t xml:space="preserve">επαυτοφωρω</w:t>
            </w:r>
          </w:p>
        </w:tc>
        <w:tc>
          <w:tcPr/>
          <w:p>
            <w:pPr>
              <w:pStyle w:val="Compact"/>
              <w:jc w:val="left"/>
            </w:pPr>
            <w:r>
              <w:t xml:space="preserve">επαυτοφωρω / -φορω / -φορως</w:t>
            </w:r>
          </w:p>
        </w:tc>
        <w:tc>
          <w:tcPr/>
          <w:p>
            <w:pPr>
              <w:pStyle w:val="Compact"/>
              <w:jc w:val="left"/>
            </w:pPr>
            <w:r>
              <w:t xml:space="preserve">επαυτοφωρω / -φορω</w:t>
            </w:r>
          </w:p>
        </w:tc>
      </w:tr>
      <w:tr>
        <w:tc>
          <w:tcPr/>
          <w:p>
            <w:pPr>
              <w:pStyle w:val="Compact"/>
              <w:jc w:val="left"/>
            </w:pPr>
            <w:r>
              <w:t xml:space="preserve">8,4</w:t>
            </w:r>
          </w:p>
        </w:tc>
        <w:tc>
          <w:tcPr/>
          <w:p>
            <w:pPr>
              <w:pStyle w:val="Compact"/>
              <w:jc w:val="right"/>
            </w:pPr>
            <w:r>
              <w:t xml:space="preserve">14</w:t>
            </w:r>
          </w:p>
        </w:tc>
        <w:tc>
          <w:tcPr/>
          <w:p>
            <w:pPr>
              <w:pStyle w:val="Compact"/>
              <w:jc w:val="left"/>
            </w:pPr>
            <w:r>
              <w:t xml:space="preserve">μοιχευομενην</w:t>
            </w:r>
          </w:p>
        </w:tc>
        <w:tc>
          <w:tcPr/>
          <w:p>
            <w:pPr>
              <w:pStyle w:val="Compact"/>
              <w:jc w:val="left"/>
            </w:pPr>
            <w:r>
              <w:t xml:space="preserve">μοιχευομενην / -νη</w:t>
            </w:r>
          </w:p>
        </w:tc>
        <w:tc>
          <w:tcPr/>
          <w:p>
            <w:pPr>
              <w:pStyle w:val="Compact"/>
              <w:jc w:val="left"/>
            </w:pPr>
            <w:r>
              <w:t xml:space="preserve">**μοιχευομενη</w:t>
            </w:r>
          </w:p>
        </w:tc>
      </w:tr>
      <w:tr>
        <w:tc>
          <w:tcPr/>
          <w:p>
            <w:pPr>
              <w:pStyle w:val="Compact"/>
              <w:jc w:val="left"/>
            </w:pPr>
            <w:r>
              <w:t xml:space="preserve">8,5</w:t>
            </w:r>
          </w:p>
        </w:tc>
        <w:tc>
          <w:tcPr/>
          <w:p>
            <w:pPr>
              <w:pStyle w:val="Compact"/>
              <w:jc w:val="right"/>
            </w:pPr>
            <w:r>
              <w:t xml:space="preserve">15</w:t>
            </w:r>
          </w:p>
        </w:tc>
        <w:tc>
          <w:tcPr/>
          <w:p>
            <w:pPr>
              <w:pStyle w:val="Compact"/>
              <w:jc w:val="left"/>
            </w:pPr>
            <w:r>
              <w:t xml:space="preserve">ημων Μωσης</w:t>
            </w:r>
          </w:p>
        </w:tc>
        <w:tc>
          <w:tcPr/>
          <w:p>
            <w:pPr>
              <w:pStyle w:val="Compact"/>
              <w:jc w:val="left"/>
            </w:pPr>
            <w:r>
              <w:t xml:space="preserve">ημων Μωσης / υμων Μωσης / Μ. ενετ. ημιν / Μωση</w:t>
            </w:r>
          </w:p>
        </w:tc>
        <w:tc>
          <w:tcPr/>
          <w:p>
            <w:pPr>
              <w:pStyle w:val="Compact"/>
              <w:jc w:val="left"/>
            </w:pPr>
            <w:r>
              <w:t xml:space="preserve">**Μωσης ημιν</w:t>
            </w:r>
          </w:p>
        </w:tc>
      </w:tr>
      <w:tr>
        <w:tc>
          <w:tcPr/>
          <w:p>
            <w:pPr>
              <w:pStyle w:val="Compact"/>
              <w:jc w:val="left"/>
            </w:pPr>
            <w:r>
              <w:t xml:space="preserve">8,5</w:t>
            </w:r>
          </w:p>
        </w:tc>
        <w:tc>
          <w:tcPr/>
          <w:p>
            <w:pPr>
              <w:pStyle w:val="Compact"/>
              <w:jc w:val="right"/>
            </w:pPr>
            <w:r>
              <w:t xml:space="preserve">16</w:t>
            </w:r>
          </w:p>
        </w:tc>
        <w:tc>
          <w:tcPr/>
          <w:p>
            <w:pPr>
              <w:pStyle w:val="Compact"/>
              <w:jc w:val="left"/>
            </w:pPr>
            <w:r>
              <w:t xml:space="preserve">λιθοβολεισθαι</w:t>
            </w:r>
          </w:p>
        </w:tc>
        <w:tc>
          <w:tcPr/>
          <w:p>
            <w:pPr>
              <w:pStyle w:val="Compact"/>
              <w:jc w:val="left"/>
            </w:pPr>
            <w:r>
              <w:t xml:space="preserve">**λιθαζειν</w:t>
            </w:r>
          </w:p>
        </w:tc>
        <w:tc>
          <w:tcPr/>
          <w:p>
            <w:pPr>
              <w:pStyle w:val="Compact"/>
              <w:jc w:val="left"/>
            </w:pPr>
            <w:r>
              <w:t xml:space="preserve">λιθοβολεισθαι</w:t>
            </w:r>
          </w:p>
        </w:tc>
      </w:tr>
      <w:tr>
        <w:tc>
          <w:tcPr/>
          <w:p>
            <w:pPr>
              <w:pStyle w:val="Compact"/>
              <w:jc w:val="left"/>
            </w:pPr>
            <w:r>
              <w:t xml:space="preserve">8,5</w:t>
            </w:r>
          </w:p>
        </w:tc>
        <w:tc>
          <w:tcPr/>
          <w:p>
            <w:pPr>
              <w:pStyle w:val="Compact"/>
              <w:jc w:val="right"/>
            </w:pPr>
            <w:r>
              <w:t xml:space="preserve">17</w:t>
            </w:r>
          </w:p>
        </w:tc>
        <w:tc>
          <w:tcPr/>
          <w:p>
            <w:pPr>
              <w:pStyle w:val="Compact"/>
              <w:jc w:val="left"/>
            </w:pPr>
            <w:r>
              <w:t xml:space="preserve">(περι αυτης)</w:t>
            </w:r>
          </w:p>
        </w:tc>
        <w:tc>
          <w:tcPr/>
          <w:p>
            <w:pPr>
              <w:pStyle w:val="Compact"/>
              <w:jc w:val="left"/>
            </w:pPr>
            <w:r>
              <w:t xml:space="preserve">(περι αυτης) / περι αυτης</w:t>
            </w:r>
          </w:p>
        </w:tc>
        <w:tc>
          <w:tcPr/>
          <w:p>
            <w:pPr>
              <w:pStyle w:val="Compact"/>
              <w:jc w:val="left"/>
            </w:pPr>
            <w:r>
              <w:t xml:space="preserve">(περι αυτης)</w:t>
            </w:r>
          </w:p>
        </w:tc>
      </w:tr>
      <w:tr>
        <w:tc>
          <w:tcPr/>
          <w:p>
            <w:pPr>
              <w:pStyle w:val="Compact"/>
              <w:jc w:val="left"/>
            </w:pPr>
            <w:r>
              <w:t xml:space="preserve">8,6</w:t>
            </w:r>
          </w:p>
        </w:tc>
        <w:tc>
          <w:tcPr/>
          <w:p>
            <w:pPr>
              <w:pStyle w:val="Compact"/>
              <w:jc w:val="right"/>
            </w:pPr>
            <w:r>
              <w:t xml:space="preserve">18</w:t>
            </w:r>
          </w:p>
        </w:tc>
        <w:tc>
          <w:tcPr/>
          <w:p>
            <w:pPr>
              <w:pStyle w:val="Compact"/>
              <w:jc w:val="left"/>
            </w:pPr>
            <w:r>
              <w:t xml:space="preserve">κατηγοριαν κατ</w:t>
            </w:r>
          </w:p>
        </w:tc>
        <w:tc>
          <w:tcPr/>
          <w:p>
            <w:pPr>
              <w:pStyle w:val="Compact"/>
              <w:jc w:val="left"/>
            </w:pPr>
            <w:r>
              <w:t xml:space="preserve">κατηγοριαν κατ</w:t>
            </w:r>
          </w:p>
        </w:tc>
        <w:tc>
          <w:tcPr/>
          <w:p>
            <w:pPr>
              <w:pStyle w:val="Compact"/>
              <w:jc w:val="left"/>
            </w:pPr>
            <w:r>
              <w:t xml:space="preserve">**κατηγορειν</w:t>
            </w:r>
          </w:p>
        </w:tc>
      </w:tr>
      <w:tr>
        <w:tc>
          <w:tcPr/>
          <w:p>
            <w:pPr>
              <w:pStyle w:val="Compact"/>
              <w:jc w:val="left"/>
            </w:pPr>
            <w:r>
              <w:t xml:space="preserve">8,6</w:t>
            </w:r>
          </w:p>
        </w:tc>
        <w:tc>
          <w:tcPr/>
          <w:p>
            <w:pPr>
              <w:pStyle w:val="Compact"/>
              <w:jc w:val="right"/>
            </w:pPr>
            <w:r>
              <w:t xml:space="preserve">19</w:t>
            </w:r>
          </w:p>
        </w:tc>
        <w:tc>
          <w:tcPr/>
          <w:p>
            <w:pPr>
              <w:pStyle w:val="Compact"/>
              <w:jc w:val="left"/>
            </w:pPr>
            <w:r>
              <w:t xml:space="preserve">μη προσποιουμενος</w:t>
            </w:r>
          </w:p>
        </w:tc>
        <w:tc>
          <w:tcPr/>
          <w:p>
            <w:pPr>
              <w:pStyle w:val="Compact"/>
              <w:jc w:val="left"/>
            </w:pPr>
            <w:r>
              <w:t xml:space="preserve">(μη προσποιουμενος) / μη προσποιουμενος</w:t>
            </w:r>
          </w:p>
        </w:tc>
        <w:tc>
          <w:tcPr/>
          <w:p>
            <w:pPr>
              <w:pStyle w:val="Compact"/>
              <w:jc w:val="left"/>
            </w:pPr>
            <w:r>
              <w:t xml:space="preserve">μη προσποιουμενος</w:t>
            </w:r>
          </w:p>
        </w:tc>
      </w:tr>
      <w:tr>
        <w:tc>
          <w:tcPr/>
          <w:p>
            <w:pPr>
              <w:pStyle w:val="Compact"/>
              <w:jc w:val="left"/>
            </w:pPr>
            <w:r>
              <w:t xml:space="preserve">8,7</w:t>
            </w:r>
          </w:p>
        </w:tc>
        <w:tc>
          <w:tcPr/>
          <w:p>
            <w:pPr>
              <w:pStyle w:val="Compact"/>
              <w:jc w:val="right"/>
            </w:pPr>
            <w:r>
              <w:t xml:space="preserve">20</w:t>
            </w:r>
          </w:p>
        </w:tc>
        <w:tc>
          <w:tcPr/>
          <w:p>
            <w:pPr>
              <w:pStyle w:val="Compact"/>
              <w:jc w:val="left"/>
            </w:pPr>
            <w:r>
              <w:t xml:space="preserve">ερωτωντες</w:t>
            </w:r>
          </w:p>
        </w:tc>
        <w:tc>
          <w:tcPr/>
          <w:p>
            <w:pPr>
              <w:pStyle w:val="Compact"/>
              <w:jc w:val="left"/>
            </w:pPr>
            <w:r>
              <w:t xml:space="preserve">ερωτωντες / επερωτωντες</w:t>
            </w:r>
          </w:p>
        </w:tc>
        <w:tc>
          <w:tcPr/>
          <w:p>
            <w:pPr>
              <w:pStyle w:val="Compact"/>
              <w:jc w:val="left"/>
            </w:pPr>
            <w:r>
              <w:t xml:space="preserve">ερωτωντες</w:t>
            </w:r>
          </w:p>
        </w:tc>
      </w:tr>
      <w:tr>
        <w:tc>
          <w:tcPr/>
          <w:p>
            <w:pPr>
              <w:pStyle w:val="Compact"/>
              <w:jc w:val="left"/>
            </w:pPr>
            <w:r>
              <w:t xml:space="preserve">8,7</w:t>
            </w:r>
          </w:p>
        </w:tc>
        <w:tc>
          <w:tcPr/>
          <w:p>
            <w:pPr>
              <w:pStyle w:val="Compact"/>
              <w:jc w:val="right"/>
            </w:pPr>
            <w:r>
              <w:t xml:space="preserve">21</w:t>
            </w:r>
          </w:p>
        </w:tc>
        <w:tc>
          <w:tcPr/>
          <w:p>
            <w:pPr>
              <w:pStyle w:val="Compact"/>
              <w:jc w:val="left"/>
            </w:pPr>
            <w:r>
              <w:t xml:space="preserve">ανακυψας</w:t>
            </w:r>
          </w:p>
        </w:tc>
        <w:tc>
          <w:tcPr/>
          <w:p>
            <w:pPr>
              <w:pStyle w:val="Compact"/>
              <w:jc w:val="left"/>
            </w:pPr>
            <w:r>
              <w:t xml:space="preserve">αναβλεψας / ανακυψας</w:t>
            </w:r>
          </w:p>
        </w:tc>
        <w:tc>
          <w:tcPr/>
          <w:p>
            <w:pPr>
              <w:pStyle w:val="Compact"/>
              <w:jc w:val="left"/>
            </w:pPr>
            <w:r>
              <w:t xml:space="preserve">ανακυψας</w:t>
            </w:r>
          </w:p>
        </w:tc>
      </w:tr>
      <w:tr>
        <w:tc>
          <w:tcPr/>
          <w:p>
            <w:pPr>
              <w:pStyle w:val="Compact"/>
              <w:jc w:val="left"/>
            </w:pPr>
            <w:r>
              <w:t xml:space="preserve">8,7</w:t>
            </w:r>
          </w:p>
        </w:tc>
        <w:tc>
          <w:tcPr/>
          <w:p>
            <w:pPr>
              <w:pStyle w:val="Compact"/>
              <w:jc w:val="right"/>
            </w:pPr>
            <w:r>
              <w:t xml:space="preserve">22</w:t>
            </w:r>
          </w:p>
        </w:tc>
        <w:tc>
          <w:tcPr/>
          <w:p>
            <w:pPr>
              <w:pStyle w:val="Compact"/>
              <w:jc w:val="left"/>
            </w:pPr>
            <w:r>
              <w:t xml:space="preserve">προς αυτους</w:t>
            </w:r>
          </w:p>
        </w:tc>
        <w:tc>
          <w:tcPr/>
          <w:p>
            <w:pPr>
              <w:pStyle w:val="Compact"/>
              <w:jc w:val="left"/>
            </w:pPr>
            <w:r>
              <w:t xml:space="preserve">**αυτοις</w:t>
            </w:r>
          </w:p>
        </w:tc>
        <w:tc>
          <w:tcPr/>
          <w:p>
            <w:pPr>
              <w:pStyle w:val="Compact"/>
              <w:jc w:val="left"/>
            </w:pPr>
            <w:r>
              <w:t xml:space="preserve">προς αυτους</w:t>
            </w:r>
          </w:p>
        </w:tc>
      </w:tr>
      <w:tr>
        <w:tc>
          <w:tcPr/>
          <w:p>
            <w:pPr>
              <w:pStyle w:val="Compact"/>
              <w:jc w:val="left"/>
            </w:pPr>
            <w:r>
              <w:t xml:space="preserve">8,7</w:t>
            </w:r>
          </w:p>
        </w:tc>
        <w:tc>
          <w:tcPr/>
          <w:p>
            <w:pPr>
              <w:pStyle w:val="Compact"/>
              <w:jc w:val="right"/>
            </w:pPr>
            <w:r>
              <w:t xml:space="preserve">23</w:t>
            </w:r>
          </w:p>
        </w:tc>
        <w:tc>
          <w:tcPr/>
          <w:p>
            <w:pPr>
              <w:pStyle w:val="Compact"/>
              <w:jc w:val="left"/>
            </w:pPr>
            <w:r>
              <w:t xml:space="preserve">**τον λιθον επ αυτη βαλετω</w:t>
            </w:r>
          </w:p>
        </w:tc>
        <w:tc>
          <w:tcPr/>
          <w:p>
            <w:pPr>
              <w:pStyle w:val="Compact"/>
              <w:jc w:val="left"/>
            </w:pPr>
            <w:r>
              <w:t xml:space="preserve">**λιθον βαλετω επ αυτην</w:t>
            </w:r>
          </w:p>
        </w:tc>
        <w:tc>
          <w:tcPr/>
          <w:p>
            <w:pPr>
              <w:pStyle w:val="Compact"/>
              <w:jc w:val="left"/>
            </w:pPr>
            <w:r>
              <w:t xml:space="preserve">**επ αυτην τον λιθον βαλετω</w:t>
            </w:r>
          </w:p>
        </w:tc>
      </w:tr>
      <w:tr>
        <w:tc>
          <w:tcPr/>
          <w:p>
            <w:pPr>
              <w:pStyle w:val="Compact"/>
              <w:jc w:val="left"/>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c>
          <w:tcPr/>
          <w:p>
            <w:pPr>
              <w:pStyle w:val="Compact"/>
              <w:jc w:val="left"/>
            </w:pPr>
            <w:r>
              <w:t xml:space="preserve">(και υπο της συνειδησεως ελεγχομενοι) / και υπο της συνειδησεως ελεγχομενοι</w:t>
            </w:r>
          </w:p>
        </w:tc>
        <w:tc>
          <w:tcPr/>
          <w:p>
            <w:pPr>
              <w:pStyle w:val="Compact"/>
              <w:jc w:val="left"/>
            </w:pPr>
            <w:r>
              <w:t xml:space="preserve">και υπο της συνειδησεως ελεγχομενοι</w:t>
            </w:r>
          </w:p>
        </w:tc>
      </w:tr>
      <w:tr>
        <w:tc>
          <w:tcPr/>
          <w:p>
            <w:pPr>
              <w:pStyle w:val="Compact"/>
              <w:jc w:val="left"/>
            </w:pPr>
            <w:r>
              <w:t xml:space="preserve">8,9</w:t>
            </w:r>
          </w:p>
        </w:tc>
        <w:tc>
          <w:tcPr/>
          <w:p>
            <w:pPr>
              <w:pStyle w:val="Compact"/>
              <w:jc w:val="right"/>
            </w:pPr>
            <w:r>
              <w:t xml:space="preserve">25</w:t>
            </w:r>
          </w:p>
        </w:tc>
        <w:tc>
          <w:tcPr/>
          <w:p>
            <w:pPr>
              <w:pStyle w:val="Compact"/>
              <w:jc w:val="left"/>
            </w:pPr>
            <w:r>
              <w:t xml:space="preserve">εως των εσχατων</w:t>
            </w:r>
          </w:p>
        </w:tc>
        <w:tc>
          <w:tcPr/>
          <w:p>
            <w:pPr>
              <w:pStyle w:val="Compact"/>
              <w:jc w:val="left"/>
            </w:pPr>
            <w:r>
              <w:t xml:space="preserve">εως των εσχατων</w:t>
            </w:r>
          </w:p>
        </w:tc>
        <w:tc>
          <w:tcPr/>
          <w:p>
            <w:pPr>
              <w:pStyle w:val="Compact"/>
              <w:jc w:val="left"/>
            </w:pPr>
            <w:r>
              <w:t xml:space="preserve">**(εως των εσχατων)</w:t>
            </w:r>
          </w:p>
        </w:tc>
      </w:tr>
      <w:tr>
        <w:tc>
          <w:tcPr/>
          <w:p>
            <w:pPr>
              <w:pStyle w:val="Compact"/>
              <w:jc w:val="left"/>
            </w:pPr>
            <w:r>
              <w:t xml:space="preserve">8,9</w:t>
            </w:r>
          </w:p>
        </w:tc>
        <w:tc>
          <w:tcPr/>
          <w:p>
            <w:pPr>
              <w:pStyle w:val="Compact"/>
              <w:jc w:val="right"/>
            </w:pPr>
            <w:r>
              <w:t xml:space="preserve">26</w:t>
            </w:r>
          </w:p>
        </w:tc>
        <w:tc>
          <w:tcPr/>
          <w:p>
            <w:pPr>
              <w:pStyle w:val="Compact"/>
              <w:jc w:val="left"/>
            </w:pPr>
            <w:r>
              <w:t xml:space="preserve">μονος ο Ιησους</w:t>
            </w:r>
          </w:p>
        </w:tc>
        <w:tc>
          <w:tcPr/>
          <w:p>
            <w:pPr>
              <w:pStyle w:val="Compact"/>
              <w:jc w:val="left"/>
            </w:pPr>
            <w:r>
              <w:t xml:space="preserve">ο Ιησους μονος / μονος</w:t>
            </w:r>
          </w:p>
        </w:tc>
        <w:tc>
          <w:tcPr/>
          <w:p>
            <w:pPr>
              <w:pStyle w:val="Compact"/>
              <w:jc w:val="left"/>
            </w:pPr>
            <w:r>
              <w:t xml:space="preserve">μονος ο Ιησους</w:t>
            </w:r>
          </w:p>
        </w:tc>
      </w:tr>
      <w:tr>
        <w:tc>
          <w:tcPr/>
          <w:p>
            <w:pPr>
              <w:pStyle w:val="Compact"/>
              <w:jc w:val="left"/>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c>
          <w:tcPr/>
          <w:p>
            <w:pPr>
              <w:pStyle w:val="Compact"/>
              <w:jc w:val="left"/>
            </w:pPr>
            <w:r>
              <w:t xml:space="preserve">**ειδεν αυτην και</w:t>
            </w:r>
          </w:p>
        </w:tc>
        <w:tc>
          <w:tcPr/>
          <w:p>
            <w:pPr>
              <w:pStyle w:val="Compact"/>
              <w:jc w:val="left"/>
            </w:pPr>
            <w:r>
              <w:t xml:space="preserve">και μηδενα θεασαμενος πλην της γυναικος</w:t>
            </w:r>
          </w:p>
        </w:tc>
      </w:tr>
      <w:tr>
        <w:tc>
          <w:tcPr/>
          <w:p>
            <w:pPr>
              <w:pStyle w:val="Compact"/>
              <w:jc w:val="left"/>
            </w:pPr>
            <w:r>
              <w:t xml:space="preserve">8,10</w:t>
            </w:r>
          </w:p>
        </w:tc>
        <w:tc>
          <w:tcPr/>
          <w:p>
            <w:pPr>
              <w:pStyle w:val="Compact"/>
              <w:jc w:val="right"/>
            </w:pPr>
            <w:r>
              <w:t xml:space="preserve">28</w:t>
            </w:r>
          </w:p>
        </w:tc>
        <w:tc>
          <w:tcPr/>
          <w:p>
            <w:pPr>
              <w:pStyle w:val="Compact"/>
              <w:jc w:val="left"/>
            </w:pPr>
            <w:r>
              <w:t xml:space="preserve">αυτη</w:t>
            </w:r>
          </w:p>
        </w:tc>
        <w:tc>
          <w:tcPr/>
          <w:p>
            <w:pPr>
              <w:pStyle w:val="Compact"/>
              <w:jc w:val="left"/>
            </w:pPr>
            <w:r>
              <w:t xml:space="preserve">**(αυτη) γυναι</w:t>
            </w:r>
          </w:p>
        </w:tc>
        <w:tc>
          <w:tcPr/>
          <w:p>
            <w:pPr>
              <w:pStyle w:val="Compact"/>
              <w:jc w:val="left"/>
            </w:pPr>
            <w:r>
              <w:t xml:space="preserve">αυτη / αυτη γυναι</w:t>
            </w:r>
          </w:p>
        </w:tc>
      </w:tr>
      <w:tr>
        <w:tc>
          <w:tcPr/>
          <w:p>
            <w:pPr>
              <w:pStyle w:val="Compact"/>
              <w:jc w:val="left"/>
            </w:pPr>
            <w:r>
              <w:t xml:space="preserve">8,10</w:t>
            </w:r>
          </w:p>
        </w:tc>
        <w:tc>
          <w:tcPr/>
          <w:p>
            <w:pPr>
              <w:pStyle w:val="Compact"/>
              <w:jc w:val="right"/>
            </w:pPr>
            <w:r>
              <w:t xml:space="preserve">29</w:t>
            </w:r>
          </w:p>
        </w:tc>
        <w:tc>
          <w:tcPr/>
          <w:p>
            <w:pPr>
              <w:pStyle w:val="Compact"/>
              <w:jc w:val="left"/>
            </w:pPr>
            <w:r>
              <w:t xml:space="preserve">εκεινοι οι κατηγοροι σου</w:t>
            </w:r>
          </w:p>
        </w:tc>
        <w:tc>
          <w:tcPr/>
          <w:p>
            <w:pPr>
              <w:pStyle w:val="Compact"/>
              <w:jc w:val="left"/>
            </w:pPr>
            <w:r>
              <w:t xml:space="preserve">εκεινοι οι κατηγοροι σου / οι κατηγοροισου</w:t>
            </w:r>
          </w:p>
        </w:tc>
        <w:tc>
          <w:tcPr/>
          <w:p>
            <w:pPr>
              <w:pStyle w:val="Compact"/>
              <w:jc w:val="left"/>
            </w:pPr>
            <w:r>
              <w:t xml:space="preserve">εκεινοι οι κατηγοροι σου</w:t>
            </w:r>
          </w:p>
        </w:tc>
      </w:tr>
      <w:tr>
        <w:tc>
          <w:tcPr/>
          <w:p>
            <w:pPr>
              <w:pStyle w:val="Compact"/>
              <w:jc w:val="left"/>
            </w:pPr>
            <w:r>
              <w:t xml:space="preserve">8,11</w:t>
            </w:r>
          </w:p>
        </w:tc>
        <w:tc>
          <w:tcPr/>
          <w:p>
            <w:pPr>
              <w:pStyle w:val="Compact"/>
              <w:jc w:val="right"/>
            </w:pPr>
            <w:r>
              <w:t xml:space="preserve">30</w:t>
            </w:r>
          </w:p>
        </w:tc>
        <w:tc>
          <w:tcPr/>
          <w:p>
            <w:pPr>
              <w:pStyle w:val="Compact"/>
              <w:jc w:val="left"/>
            </w:pPr>
            <w:r>
              <w:t xml:space="preserve">ειπεν δε αυτη ο Ιησους</w:t>
            </w:r>
          </w:p>
        </w:tc>
        <w:tc>
          <w:tcPr/>
          <w:p>
            <w:pPr>
              <w:pStyle w:val="Compact"/>
              <w:jc w:val="left"/>
            </w:pPr>
            <w:r>
              <w:t xml:space="preserve">ειπεν δε αυτη ο Ιησους</w:t>
            </w:r>
          </w:p>
        </w:tc>
        <w:tc>
          <w:tcPr/>
          <w:p>
            <w:pPr>
              <w:pStyle w:val="Compact"/>
              <w:jc w:val="left"/>
            </w:pPr>
            <w:r>
              <w:t xml:space="preserve">**ειπεν δε ο Ιησους</w:t>
            </w:r>
          </w:p>
        </w:tc>
      </w:tr>
      <w:tr>
        <w:tc>
          <w:tcPr/>
          <w:p>
            <w:pPr>
              <w:pStyle w:val="Compact"/>
              <w:jc w:val="left"/>
            </w:pPr>
            <w:r>
              <w:t xml:space="preserve">8,11</w:t>
            </w:r>
          </w:p>
        </w:tc>
        <w:tc>
          <w:tcPr/>
          <w:p>
            <w:pPr>
              <w:pStyle w:val="Compact"/>
              <w:jc w:val="right"/>
            </w:pPr>
            <w:r>
              <w:t xml:space="preserve">31</w:t>
            </w:r>
          </w:p>
        </w:tc>
        <w:tc>
          <w:tcPr/>
          <w:p>
            <w:pPr>
              <w:pStyle w:val="Compact"/>
              <w:jc w:val="left"/>
            </w:pPr>
            <w:r>
              <w:t xml:space="preserve">κατακρινω</w:t>
            </w:r>
          </w:p>
        </w:tc>
        <w:tc>
          <w:tcPr/>
          <w:p>
            <w:pPr>
              <w:pStyle w:val="Compact"/>
              <w:jc w:val="left"/>
            </w:pPr>
            <w:r>
              <w:t xml:space="preserve">κατακρινω</w:t>
            </w:r>
          </w:p>
        </w:tc>
        <w:tc>
          <w:tcPr/>
          <w:p>
            <w:pPr>
              <w:pStyle w:val="Compact"/>
              <w:jc w:val="left"/>
            </w:pPr>
            <w:r>
              <w:t xml:space="preserve">**κρινω / κατακρινω</w:t>
            </w:r>
          </w:p>
        </w:tc>
      </w:tr>
      <w:tr>
        <w:tc>
          <w:tcPr/>
          <w:p>
            <w:pPr>
              <w:pStyle w:val="Compact"/>
              <w:jc w:val="left"/>
            </w:pPr>
            <w:r>
              <w:t xml:space="preserve">8,11</w:t>
            </w:r>
          </w:p>
        </w:tc>
        <w:tc>
          <w:tcPr/>
          <w:p>
            <w:pPr>
              <w:pStyle w:val="Compact"/>
              <w:jc w:val="right"/>
            </w:pPr>
            <w:r>
              <w:t xml:space="preserve">32</w:t>
            </w:r>
          </w:p>
        </w:tc>
        <w:tc>
          <w:tcPr/>
          <w:p>
            <w:pPr>
              <w:pStyle w:val="Compact"/>
              <w:jc w:val="left"/>
            </w:pPr>
            <w:r>
              <w:t xml:space="preserve">και απο του νυν</w:t>
            </w:r>
          </w:p>
        </w:tc>
        <w:tc>
          <w:tcPr/>
          <w:p>
            <w:pPr>
              <w:pStyle w:val="Compact"/>
              <w:jc w:val="left"/>
            </w:pPr>
            <w:r>
              <w:t xml:space="preserve">και απο του νυν / απο του νυν και</w:t>
            </w:r>
          </w:p>
        </w:tc>
        <w:tc>
          <w:tcPr/>
          <w:p>
            <w:pPr>
              <w:pStyle w:val="Compact"/>
              <w:jc w:val="left"/>
            </w:pPr>
            <w:r>
              <w:t xml:space="preserve">**και</w:t>
            </w:r>
          </w:p>
        </w:tc>
      </w:tr>
    </w:tbl>
    <w:p>
      <w:pPr>
        <w:pStyle w:val="BodyText"/>
      </w:pPr>
      <w:r>
        <w:rPr>
          <w:bCs/>
          <w:b/>
        </w:rPr>
        <w:t xml:space="preserve">M</w:t>
      </w:r>
      <w:r>
        <w:rPr>
          <w:vertAlign w:val="superscript"/>
          <w:bCs/>
          <w:b/>
        </w:rPr>
        <w:t xml:space="preserve">7</w:t>
      </w:r>
      <w:r>
        <w:t xml:space="preserve"> </w:t>
      </w:r>
      <w:r>
        <w:t xml:space="preserve">ma jeden wyraźny, jednoznaczny i niebudzący wątpliwości profil/mozaikę, określony przez 127 manuskryptów — nie ma między nimi żadnego zróżnicowania wewnętrznego (wszystkie 127 są dokładnie takie same we wszystkich dwunastu wersetach).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Na potrzeby odróżnienia ich od siebie nawzajem oraz od</w:t>
      </w:r>
      <w:r>
        <w:t xml:space="preserve"> </w:t>
      </w:r>
      <w:r>
        <w:rPr>
          <w:bCs/>
          <w:b/>
        </w:rPr>
        <w:t xml:space="preserve">7</w:t>
      </w:r>
      <w:r>
        <w:t xml:space="preserve"> </w:t>
      </w:r>
      <w:r>
        <w:t xml:space="preserve">można uzyskać częściowy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rodziny. Użyłem **, aby wyróżnić warianty, które można by nazwać „kręgosłupem” rodziny, w celu odróżnienia jej od pozostałych. Jak czytelnik może sprawdzić,</w:t>
      </w:r>
      <w:r>
        <w:t xml:space="preserve"> </w:t>
      </w:r>
      <w:r>
        <w:rPr>
          <w:bCs/>
          <w:b/>
        </w:rPr>
        <w:t xml:space="preserve">6</w:t>
      </w:r>
      <w:r>
        <w:t xml:space="preserve"> </w:t>
      </w:r>
      <w:r>
        <w:t xml:space="preserve">ma podział wewnętrzny nie mniej niż 15 razy na 32, co nie podnosi jej współczynnika wiarygodności.</w:t>
      </w:r>
      <w:r>
        <w:t xml:space="preserve"> </w:t>
      </w:r>
      <w:r>
        <w:rPr>
          <w:bCs/>
          <w:b/>
        </w:rPr>
        <w:t xml:space="preserve">5</w:t>
      </w:r>
      <w:r>
        <w:t xml:space="preserve"> </w:t>
      </w:r>
      <w:r>
        <w:t xml:space="preserve">ma ich „tylko” cztery, jest więc znacznie mniej „grząska” niż</w:t>
      </w:r>
      <w:r>
        <w:t xml:space="preserve"> </w:t>
      </w:r>
      <w:r>
        <w:rPr>
          <w:bCs/>
          <w:b/>
        </w:rPr>
        <w:t xml:space="preserve">6</w:t>
      </w:r>
      <w:r>
        <w:t xml:space="preserve">, lecz natura tych czterech nie pozwala na ustalenie jednej formy archetypalnej. (Nie uwzględniłem wyżej zestawu 13 z powodu ogólnego pomieszania wśród manuskryptów).</w:t>
      </w:r>
    </w:p>
    <w:p>
      <w:pPr>
        <w:pStyle w:val="BodyText"/>
      </w:pPr>
      <w:r>
        <w:t xml:space="preserve">Otóż</w:t>
      </w:r>
      <w:r>
        <w:t xml:space="preserve"> </w:t>
      </w:r>
      <w:r>
        <w:rPr>
          <w:bCs/>
          <w:b/>
        </w:rPr>
        <w:t xml:space="preserve">7</w:t>
      </w:r>
      <w:r>
        <w:t xml:space="preserve"> </w:t>
      </w:r>
      <w:r>
        <w:t xml:space="preserve">i</w:t>
      </w:r>
      <w:r>
        <w:t xml:space="preserve"> </w:t>
      </w:r>
      <w:r>
        <w:rPr>
          <w:bCs/>
          <w:b/>
        </w:rPr>
        <w:t xml:space="preserve">6</w:t>
      </w:r>
      <w:r>
        <w:t xml:space="preserve"> </w:t>
      </w:r>
      <w:r>
        <w:t xml:space="preserve">łączą się przeciwko</w:t>
      </w:r>
      <w:r>
        <w:t xml:space="preserve"> </w:t>
      </w:r>
      <w:r>
        <w:rPr>
          <w:bCs/>
          <w:b/>
        </w:rPr>
        <w:t xml:space="preserve">5</w:t>
      </w:r>
      <w:r>
        <w:t xml:space="preserve"> </w:t>
      </w:r>
      <w:r>
        <w:t xml:space="preserve">czternaście razy,</w:t>
      </w:r>
      <w:r>
        <w:t xml:space="preserve"> </w:t>
      </w:r>
      <w:r>
        <w:rPr>
          <w:bCs/>
          <w:b/>
        </w:rPr>
        <w:t xml:space="preserve">7</w:t>
      </w:r>
      <w:r>
        <w:t xml:space="preserve"> </w:t>
      </w:r>
      <w:r>
        <w:t xml:space="preserve">i</w:t>
      </w:r>
      <w:r>
        <w:t xml:space="preserve"> </w:t>
      </w:r>
      <w:r>
        <w:rPr>
          <w:bCs/>
          <w:b/>
        </w:rPr>
        <w:t xml:space="preserve">5</w:t>
      </w:r>
      <w:r>
        <w:t xml:space="preserve"> </w:t>
      </w:r>
      <w:r>
        <w:t xml:space="preserve">łączą się przeciwko</w:t>
      </w:r>
      <w:r>
        <w:t xml:space="preserve"> </w:t>
      </w:r>
      <w:r>
        <w:rPr>
          <w:bCs/>
          <w:b/>
        </w:rPr>
        <w:t xml:space="preserve">6</w:t>
      </w:r>
      <w:r>
        <w:t xml:space="preserve"> </w:t>
      </w:r>
      <w:r>
        <w:t xml:space="preserve">dziewięć razy,</w:t>
      </w:r>
      <w:r>
        <w:t xml:space="preserve"> </w:t>
      </w:r>
      <w:r>
        <w:rPr>
          <w:bCs/>
          <w:b/>
        </w:rPr>
        <w:t xml:space="preserve">6</w:t>
      </w:r>
      <w:r>
        <w:t xml:space="preserve"> </w:t>
      </w:r>
      <w:r>
        <w:t xml:space="preserve">i</w:t>
      </w:r>
      <w:r>
        <w:t xml:space="preserve"> </w:t>
      </w:r>
      <w:r>
        <w:rPr>
          <w:bCs/>
          <w:b/>
        </w:rPr>
        <w:t xml:space="preserve">5</w:t>
      </w:r>
      <w:r>
        <w:t xml:space="preserve"> </w:t>
      </w:r>
      <w:r>
        <w:t xml:space="preserve">zaś</w:t>
      </w:r>
      <w:r>
        <w:t xml:space="preserve"> </w:t>
      </w:r>
      <w:r>
        <w:rPr>
          <w:u w:val="single"/>
        </w:rPr>
        <w:t xml:space="preserve">ani jeden jedyny raz nie łączą się przeciwko</w:t>
      </w:r>
      <w:r>
        <w:rPr>
          <w:u w:val="single"/>
        </w:rPr>
        <w:t xml:space="preserve"> </w:t>
      </w:r>
      <w:r>
        <w:rPr>
          <w:bCs/>
          <w:b/>
          <w:u w:val="single"/>
        </w:rPr>
        <w:t xml:space="preserve">7</w:t>
      </w:r>
      <w:r>
        <w:t xml:space="preserve">. Czy oznacza to, że</w:t>
      </w:r>
      <w:r>
        <w:t xml:space="preserve"> </w:t>
      </w:r>
      <w:r>
        <w:rPr>
          <w:bCs/>
          <w:b/>
        </w:rPr>
        <w:t xml:space="preserve">7</w:t>
      </w:r>
      <w:r>
        <w:t xml:space="preserve"> </w:t>
      </w:r>
      <w:r>
        <w:t xml:space="preserve">zależy od</w:t>
      </w:r>
      <w:r>
        <w:t xml:space="preserve"> </w:t>
      </w:r>
      <w:r>
        <w:rPr>
          <w:bCs/>
          <w:b/>
        </w:rPr>
        <w:t xml:space="preserve">5</w:t>
      </w:r>
      <w:r>
        <w:t xml:space="preserve"> </w:t>
      </w:r>
      <w:r>
        <w:t xml:space="preserve">i</w:t>
      </w:r>
      <w:r>
        <w:t xml:space="preserve"> </w:t>
      </w:r>
      <w:r>
        <w:rPr>
          <w:bCs/>
          <w:b/>
        </w:rPr>
        <w:t xml:space="preserve">6</w:t>
      </w:r>
      <w:r>
        <w:t xml:space="preserve"> </w:t>
      </w:r>
      <w:r>
        <w:t xml:space="preserve">(von Soden), czy że</w:t>
      </w:r>
      <w:r>
        <w:t xml:space="preserve"> </w:t>
      </w:r>
      <w:r>
        <w:rPr>
          <w:bCs/>
          <w:b/>
        </w:rPr>
        <w:t xml:space="preserve">5</w:t>
      </w:r>
      <w:r>
        <w:t xml:space="preserve"> </w:t>
      </w:r>
      <w:r>
        <w:t xml:space="preserve">i</w:t>
      </w:r>
      <w:r>
        <w:t xml:space="preserve"> </w:t>
      </w:r>
      <w:r>
        <w:rPr>
          <w:bCs/>
          <w:b/>
        </w:rPr>
        <w:t xml:space="preserve">6</w:t>
      </w:r>
      <w:r>
        <w:t xml:space="preserve"> </w:t>
      </w:r>
      <w:r>
        <w:t xml:space="preserve">stanowią niezależne odejścia od</w:t>
      </w:r>
      <w:r>
        <w:t xml:space="preserve"> </w:t>
      </w:r>
      <w:r>
        <w:rPr>
          <w:bCs/>
          <w:b/>
        </w:rPr>
        <w:t xml:space="preserve">7</w:t>
      </w:r>
      <w:r>
        <w:t xml:space="preserve"> </w:t>
      </w:r>
      <w:r>
        <w:t xml:space="preserve">(WNP)? Tylko w zestawie 23 wszystkie trzy grupy są całkowicie odmienne, lecz przynajmniej w tym zestawie</w:t>
      </w:r>
      <w:r>
        <w:t xml:space="preserve"> </w:t>
      </w:r>
      <w:r>
        <w:rPr>
          <w:bCs/>
          <w:b/>
        </w:rPr>
        <w:t xml:space="preserve">7</w:t>
      </w:r>
      <w:r>
        <w:t xml:space="preserve"> </w:t>
      </w:r>
      <w:r>
        <w:t xml:space="preserve">nie zależy od dwóch pozostałych. (Co ciekawe, manuskrypty przedstawiają nam co najmniej siedem różnych układów pięciu słów w zestawie 23, a główna grupa lekcjonarzowa opowiada się za czwartym odczytem, innym niż odczyty wielkiej trójki). Według mnie</w:t>
      </w:r>
      <w:r>
        <w:t xml:space="preserve"> </w:t>
      </w:r>
      <w:r>
        <w:rPr>
          <w:bCs/>
          <w:b/>
        </w:rPr>
        <w:t xml:space="preserve">7</w:t>
      </w:r>
      <w:r>
        <w:t xml:space="preserve"> </w:t>
      </w:r>
      <w:r>
        <w:t xml:space="preserve">stanowi najniższy wspólny mianownik, a zatem jest starsza i lepsza niż dwie pozostałe. Jaki jest więc sens tego wszystkiego? Chodzi o to, że</w:t>
      </w:r>
      <w:r>
        <w:t xml:space="preserve"> </w:t>
      </w:r>
      <w:r>
        <w:rPr>
          <w:bCs/>
          <w:b/>
        </w:rPr>
        <w:t xml:space="preserve">M</w:t>
      </w:r>
      <w:r>
        <w:rPr>
          <w:vertAlign w:val="superscript"/>
          <w:bCs/>
          <w:b/>
        </w:rPr>
        <w:t xml:space="preserve">7</w:t>
      </w:r>
      <w:r>
        <w:t xml:space="preserve"> </w:t>
      </w:r>
      <w:r>
        <w:t xml:space="preserve">równa się</w:t>
      </w:r>
      <w:r>
        <w:t xml:space="preserve"> </w:t>
      </w:r>
      <w:r>
        <w:rPr>
          <w:bCs/>
          <w:b/>
        </w:rPr>
        <w:t xml:space="preserve">K</w:t>
      </w:r>
      <w:r>
        <w:rPr>
          <w:vertAlign w:val="superscript"/>
          <w:bCs/>
          <w:b/>
        </w:rPr>
        <w:t xml:space="preserve">r</w:t>
      </w:r>
      <w:r>
        <w:t xml:space="preserve"> </w:t>
      </w:r>
      <w:r>
        <w:t xml:space="preserve">von Sodena (mojej</w:t>
      </w:r>
      <w:r>
        <w:t xml:space="preserve"> </w:t>
      </w:r>
      <w:r>
        <w:rPr>
          <w:bCs/>
          <w:b/>
        </w:rPr>
        <w:t xml:space="preserve">f</w:t>
      </w:r>
      <w:r>
        <w:rPr>
          <w:vertAlign w:val="superscript"/>
          <w:bCs/>
          <w:b/>
        </w:rPr>
        <w:t xml:space="preserve">35</w:t>
      </w:r>
      <w:r>
        <w:t xml:space="preserve">), a on wykorzystał swoją analizę</w:t>
      </w:r>
      <w:r>
        <w:t xml:space="preserve"> </w:t>
      </w:r>
      <w:r>
        <w:rPr>
          <w:bCs/>
          <w:b/>
        </w:rPr>
        <w:t xml:space="preserve">M</w:t>
      </w:r>
      <w:r>
        <w:rPr>
          <w:vertAlign w:val="superscript"/>
          <w:bCs/>
          <w:b/>
        </w:rPr>
        <w:t xml:space="preserve">7</w:t>
      </w:r>
      <w:r>
        <w:t xml:space="preserve">, aby scharakteryzować swój</w:t>
      </w:r>
      <w:r>
        <w:t xml:space="preserve"> </w:t>
      </w:r>
      <w:r>
        <w:rPr>
          <w:bCs/>
          <w:b/>
        </w:rPr>
        <w:t xml:space="preserve">K</w:t>
      </w:r>
      <w:r>
        <w:rPr>
          <w:vertAlign w:val="superscript"/>
          <w:bCs/>
          <w:b/>
        </w:rPr>
        <w:t xml:space="preserve">r</w:t>
      </w:r>
      <w:r>
        <w:t xml:space="preserve"> </w:t>
      </w:r>
      <w:r>
        <w:t xml:space="preserve">dla całego Nowego Testamentu! Wielokrotnie przedstawiał</w:t>
      </w:r>
      <w:r>
        <w:t xml:space="preserve"> </w:t>
      </w:r>
      <w:r>
        <w:rPr>
          <w:bCs/>
          <w:b/>
        </w:rPr>
        <w:t xml:space="preserve">M</w:t>
      </w:r>
      <w:r>
        <w:rPr>
          <w:vertAlign w:val="superscript"/>
          <w:bCs/>
          <w:b/>
        </w:rPr>
        <w:t xml:space="preserve">7</w:t>
      </w:r>
      <w:r>
        <w:t xml:space="preserve"> </w:t>
      </w:r>
      <w:r>
        <w:t xml:space="preserve">jako „dowód”, że</w:t>
      </w:r>
      <w:r>
        <w:t xml:space="preserve"> </w:t>
      </w:r>
      <w:r>
        <w:rPr>
          <w:bCs/>
          <w:b/>
        </w:rPr>
        <w:t xml:space="preserve">K</w:t>
      </w:r>
      <w:r>
        <w:rPr>
          <w:vertAlign w:val="superscript"/>
          <w:bCs/>
          <w:b/>
        </w:rPr>
        <w:t xml:space="preserve">r</w:t>
      </w:r>
      <w:r>
        <w:t xml:space="preserve"> </w:t>
      </w:r>
      <w:r>
        <w:t xml:space="preserve">był późny. Jak wie każdy choćby pobieżnie zaznajomiony z manuskryptami, charakteryzowanie nawet jednej księgi, nie mówiąc o całym Nowym Testamencie, na podstawie dwunastu wersetów jest po prostu błędne.</w:t>
      </w:r>
      <w:r>
        <w:rPr>
          <w:rStyle w:val="FootnoteReference"/>
        </w:rPr>
        <w:footnoteReference w:id="264"/>
      </w:r>
    </w:p>
    <w:p>
      <w:pPr>
        <w:numPr>
          <w:ilvl w:val="0"/>
          <w:numId w:val="1015"/>
        </w:numPr>
        <w:pStyle w:val="Compact"/>
      </w:pPr>
      <w:r>
        <w:t xml:space="preserve">Z jakiegoś tajemniczego powodu von Soden wydawał się zdeterminowany, by jego</w:t>
      </w:r>
      <w:r>
        <w:t xml:space="preserve"> </w:t>
      </w:r>
      <w:r>
        <w:rPr>
          <w:bCs/>
          <w:b/>
        </w:rPr>
        <w:t xml:space="preserve">K</w:t>
      </w:r>
      <w:r>
        <w:rPr>
          <w:vertAlign w:val="superscript"/>
          <w:bCs/>
          <w:b/>
        </w:rPr>
        <w:t xml:space="preserve">r</w:t>
      </w:r>
      <w:r>
        <w:t xml:space="preserve"> </w:t>
      </w:r>
      <w:r>
        <w:t xml:space="preserve">powstał w XII wieku, usilnie więc zmieniał datowanie trzech znanych mu manuskryptów</w:t>
      </w:r>
      <w:r>
        <w:t xml:space="preserve"> </w:t>
      </w:r>
      <w:r>
        <w:rPr>
          <w:bCs/>
          <w:b/>
        </w:rPr>
        <w:t xml:space="preserve">K</w:t>
      </w:r>
      <w:r>
        <w:rPr>
          <w:vertAlign w:val="superscript"/>
          <w:bCs/>
          <w:b/>
        </w:rPr>
        <w:t xml:space="preserve">r</w:t>
      </w:r>
      <w:r>
        <w:t xml:space="preserve"> </w:t>
      </w:r>
      <w:r>
        <w:t xml:space="preserve">z XI wieku. Skoro jednak te trzy są kopiami, nie zaś oryginalnymi tworami, ich egzemplarze z konieczności były starsze (podobnie jak egzemplarze tych egzemplarzy), czego więc von Soden — jak sądził — „dowodził”? Najwyraźniej według niego typ tekstu nie mógł istnieć przed swoim najwcześniejszym zachowanym przedstawicielem (!). Od wielu lat słyszę, jak ludzie powtarzają oczywistą głupotę, że ponieważ nie ma wczesnych manuskryptów bizantyjskich, tekst bizantyjski nie może być wczesny, i nadal to robią. Opiera się to na jawnie fałszywym założeniu, że zachowane manuskrypty z najwcześniejszych wieków są reprezentatywne dla całej ówczesnej sytuacji manuskryptowej.</w:t>
      </w:r>
    </w:p>
    <w:p>
      <w:pPr>
        <w:pStyle w:val="FirstParagraph"/>
      </w:pPr>
      <w:r>
        <w:t xml:space="preserve">Jedynymi zachowanymi w Egipcie „budowlami”, które mają 4000 lat, są piramidy. Czy ktoś będzie tak niedorzeczny, by twierdzić, że piramida była jedynym rodzajem budowli używanym wówczas w Egipcie? Ilu Egipcjan mieszkało w tamtym czasie w piramidach? Absolutnie nikt, ponieważ piramidy przeznaczone były wyłącznie dla zmarłych. Czy jednak zwykli ludzie otrzymywali piramidę jako grobowiec? Tylko faraon mógł sobie na nią pozwolić. Możemy z całkowitą pewnością stwierdzić, że piramidy nie są reprezentatywne dla ogółu budowli w Egipcie sprzed 4000 lat, chociaż są jedynymi, które przetrwały. Powiedziałbym, że równie pewne jest, iż najwcześniejsze manuskrypty nie są reprezentatywne dla ówczesnej sytuacji manuskryptowej. (Są miejscem spoczynku „martwych” form Tekstu Nowego Testamentu, podobnie jak piramidy).</w:t>
      </w:r>
    </w:p>
    <w:p>
      <w:pPr>
        <w:pStyle w:val="BodyText"/>
      </w:pPr>
      <w:r>
        <w:t xml:space="preserve">Nie znam nawet imienia żadnego z moich prapradziadków i nie mam żadnych używanych przez nich przedmiotów. Mogę jednak z całkowitą pewnością stwierdzić, że istnieli. Jak mogę to zrobić? Mogę to zrobić, ponieważ jestem tutaj, ponieważ istnieję. Nie mógłbym istnieć bez prapradziadków. Moje ciało zawiera część ich genów, ich DNA. To, że nie istniałem 400 lat temu, nie oznacza, że nie istniał żaden z moich przodków. Czy nie jest to zupełnie oczywiste?</w:t>
      </w:r>
    </w:p>
    <w:p>
      <w:pPr>
        <w:pStyle w:val="BodyText"/>
      </w:pPr>
      <w:r>
        <w:t xml:space="preserve">W 1976 roku dr Jakob van Bruggen opublikował</w:t>
      </w:r>
      <w:r>
        <w:t xml:space="preserve"> </w:t>
      </w:r>
      <w:r>
        <w:rPr>
          <w:iCs/>
          <w:i/>
        </w:rPr>
        <w:t xml:space="preserve">The Ancient Text of the New Testament</w:t>
      </w:r>
      <w:r>
        <w:t xml:space="preserve"> </w:t>
      </w:r>
      <w:r>
        <w:t xml:space="preserve">(Winnipeg: Premier Printing Ltd.). Książka zawiera rozdział „Wiek typu bizantyjskiego”, zajmujący strony 22-29. Przytacza on rozmaite argumenty pokazujące, że typ tekstu bizantyjskiego musi być starszy niż jego zachowani przedstawiciele. Ograniczę się do zacytowania tylko jednego akapitu (strona 25).</w:t>
      </w:r>
    </w:p>
    <w:p>
      <w:pPr>
        <w:pStyle w:val="BlockText"/>
      </w:pPr>
      <w:r>
        <w:t xml:space="preserve">Jakie warunki muszą zostać spełnione, jeśli chcemy przyznać pierwszeństwo starszym majuskułom? Zadając to pytanie, świadomie lub nieświadomie zakładaliśmy, że jesteśmy zdolni dokonać sprawiedliwego porównania między manuskryptami z wcześniejszego okresu a tymi z okresu późniejszego. W końcu tylko w takim przypadku możemy dojść do twierdzeń pozytywnych. Wyobraźmy sobie, że ktoś powiedział: w średniowieczu budowano głównie katedry, lecz w czasach nowożytnych buduje się wiele małych i skromniejszych kościołów. Gdy rozglądamy się dziś po miastach i wsiach, stwierdzenie to wydaje się całkowicie prawdziwe. A jednak się mylimy. Błąd jest zrozumiały: wiele małych średniowiecznych kościołów zniknęło, a zazwyczaj odnawiano tylko katedry. Powstaje w ten sposób wielkie historyczne zafałszowanie perspektywy w odniesieniu do historii budownictwa kościelnego. Na podstawie zachowanych materiałów nie jesteśmy w stanie sformułować ogólnego twierdzenia o budownictwie kościelnym w średniowieczu. Gdybyśmy mimo to odważyli się je sformułować, błędnie założylibyśmy, że zachowane materiały umożliwiają nam dokonanie sprawiedliwego porównania. Jak jednak wygląda sytuacja w dziedzinie manuskryptów Nowego Testamentu? Czy mamy</w:t>
      </w:r>
      <w:r>
        <w:t xml:space="preserve"> </w:t>
      </w:r>
      <w:r>
        <w:rPr>
          <w:iCs/>
          <w:i/>
        </w:rPr>
        <w:t xml:space="preserve">reprezentatywną</w:t>
      </w:r>
      <w:r>
        <w:t xml:space="preserve"> </w:t>
      </w:r>
      <w:r>
        <w:t xml:space="preserve">liczbę manuskryptów z pierwszych wieków? Tylko jeśli tak jest, mamy prawo wyciągać wnioski i formułować twierdzenia pozytywne. Trudności pojawiają się jednak właśnie w tym punkcie. Sytuacja jest wręcz taka, że wiemy z całą pewnością, iż</w:t>
      </w:r>
      <w:r>
        <w:t xml:space="preserve"> </w:t>
      </w:r>
      <w:r>
        <w:rPr>
          <w:iCs/>
          <w:i/>
        </w:rPr>
        <w:t xml:space="preserve">nie mamy</w:t>
      </w:r>
      <w:r>
        <w:t xml:space="preserve"> </w:t>
      </w:r>
      <w:r>
        <w:t xml:space="preserve">reprezentatywnej liczby manuskryptów z pierwszych wieków. Wynika to z trzech przyczyn, które teraz zasługują kolejno na naszą uwagę (wyróżnienie w oryginale).</w:t>
      </w:r>
    </w:p>
    <w:p>
      <w:pPr>
        <w:pStyle w:val="FirstParagraph"/>
      </w:pPr>
      <w:r>
        <w:t xml:space="preserve">Następnie omawia te trzy przyczyny. (Znam dr. van Bruggena osobiście i mogę powiedzieć, że jest autorytetem w dziedzinie katedr). Strony 137-154 mojego</w:t>
      </w:r>
      <w:r>
        <w:t xml:space="preserve"> </w:t>
      </w:r>
      <w:r>
        <w:rPr>
          <w:iCs/>
          <w:i/>
        </w:rPr>
        <w:t xml:space="preserve">The Identity of the New Testament Text IV</w:t>
      </w:r>
      <w:r>
        <w:t xml:space="preserve"> </w:t>
      </w:r>
      <w:r>
        <w:t xml:space="preserve">zawierają szczegółowe omówienie dowodów na rzecz wczesnego typu tekstu bizantyjskiego.</w:t>
      </w:r>
    </w:p>
    <w:p>
      <w:pPr>
        <w:pStyle w:val="BodyText"/>
      </w:pPr>
      <w:r>
        <w:t xml:space="preserve">Nadal utrzymuję, że większość wczesnych manuskryptów przetrwała, ponieważ były nieznośnie złe, używanie ich było psychologicznie niemożliwe, a poza tym kopiowanie ich stanowiłoby przestępcze marnotrawstwo dobrego pergaminu (czy uncjał 06 nie jest jedynym, który ma zachowane „dziecko”?). Jakiś czas temu skolacjonowałem rękopis kursywny GA 789 (Ateny: Biblioteka Narodowa) dla Ewangelii Jana, wcześniej uczyniwszy to już dla Ewangelii Łukasza. Chociaż kopista popełnił od czasu do czasu jakiś błąd, oceniam, że jego egzemplarz był niemal doskonałym przedstawicielem Rodziny 35. Obecnie w 789 brakuje jednak Ewangelii Jana 19,12 aż do końca. Późniejsza ręka, 789</w:t>
      </w:r>
      <w:r>
        <w:rPr>
          <w:vertAlign w:val="superscript"/>
        </w:rPr>
        <w:t xml:space="preserve">s</w:t>
      </w:r>
      <w:r>
        <w:t xml:space="preserve">, zawiera 19,26 aż do końca, lecz ten kopista fatalnie pisał, popełniając przeciętnie niemal jeden błąd na werset — przypominał P</w:t>
      </w:r>
      <w:r>
        <w:rPr>
          <w:vertAlign w:val="superscript"/>
        </w:rPr>
        <w:t xml:space="preserve">66</w:t>
      </w:r>
      <w:r>
        <w:t xml:space="preserve"> </w:t>
      </w:r>
      <w:r>
        <w:t xml:space="preserve">(chociaż P</w:t>
      </w:r>
      <w:r>
        <w:rPr>
          <w:vertAlign w:val="superscript"/>
        </w:rPr>
        <w:t xml:space="preserve">66</w:t>
      </w:r>
      <w:r>
        <w:t xml:space="preserve"> </w:t>
      </w:r>
      <w:r>
        <w:t xml:space="preserve">jest gorszy, ze średnią około dwóch błędów na werset). Zauważyłem, że zaczynam gniewać się na kopistę — byłem gotów ściągać na jego głowę przekleństwa! Zakładając, że przyczyną błędów była niewiedza, nie zaś przewrotność, kopista nie powinien był podejmować zadania, do którego był tak żałośnie nieprzygotowany. Używanie 789</w:t>
      </w:r>
      <w:r>
        <w:rPr>
          <w:vertAlign w:val="superscript"/>
        </w:rPr>
        <w:t xml:space="preserve">s</w:t>
      </w:r>
      <w:r>
        <w:t xml:space="preserve"> </w:t>
      </w:r>
      <w:r>
        <w:t xml:space="preserve">do rozważań duchowych lub studiowania byłoby dla mnie psychologicznie niemożliwe. Zbyt bym się gniewał, aby kontynuować. Zakładam, że szczerzy chrześcijanie w pierwszych wiekach reagowaliby w ten sam sposób.</w:t>
      </w:r>
    </w:p>
    <w:p>
      <w:pPr>
        <w:pStyle w:val="BodyText"/>
      </w:pPr>
      <w:r>
        <w:t xml:space="preserve">Co dziwne, ten sam INTF, który założył Kurt Aland — ten, który oświadczył, że manuskrypty bizantyjskie są nieistotne dla poszukiwania tekstu oryginalnego — opublikował obecnie następujące słowa:</w:t>
      </w:r>
    </w:p>
    <w:p>
      <w:pPr>
        <w:pStyle w:val="BlockText"/>
      </w:pPr>
      <w:r>
        <w:t xml:space="preserve">Odkąd Textus Receptus został przezwyciężony przez naukową krytykę tekstu XIX wieku, utrzymuje się uporczywe negatywne uprzedzenie wobec bizantyjskiego tekstu większościowego. Wszędzie tam, gdzie dobrze znani, starsi świadkowie tekstu, tacy jak Watykański i Synajski, a tym bardziej w połączeniu z papirusem, stoją przeciwko większości minuskułów, decyzję przeciwko tekstowi większościowemu często podejmowano łatwo, bez poważnego rozważenia jakości omawianych wariantów. Dlatego redaktorzy niniejszego wydania uznali dwa czynniki za najważniejsze.</w:t>
      </w:r>
    </w:p>
    <w:p>
      <w:pPr>
        <w:pStyle w:val="BlockText"/>
      </w:pPr>
      <w:r>
        <w:t xml:space="preserve">Po pierwsze, często przeocza się, że w zdecydowanej większości miejsc wariantowych tylko kilku świadków różni się od wszystkich pozostałych. Z reguły popularni świadkowie z IV/V wieku oraz, jeśli istnieją, z jeszcze wcześniejszych papirusów, zgadzają się z większością wszystkich świadków. Wynika z tego, że we wszystkich tych miejscach starożytność tekstu większościowego nie budzi wątpliwości.</w:t>
      </w:r>
    </w:p>
    <w:p>
      <w:pPr>
        <w:pStyle w:val="BlockText"/>
      </w:pPr>
      <w:r>
        <w:t xml:space="preserve">Po drugie, trzeba konsekwentnie rozróżniać manuskrypt od przekazywanego w nim tekstu. „</w:t>
      </w:r>
      <w:r>
        <w:rPr>
          <w:iCs/>
          <w:i/>
        </w:rPr>
        <w:t xml:space="preserve">Recentiores non deteriores</w:t>
      </w:r>
      <w:r>
        <w:t xml:space="preserve">” jest zasadą szeroko przyjętą w filologii edytorskiej, lecz w badaniach nad Nowym Testamentem stosowano ją jedynie do kilku młodszych manuskryptów wykazujących podobne osobliwości tekstowe jak Watykański i Synajski. Z podanej wyżej przyczyny niewątpliwie prawdą jest, że tradycja tekstowa jako całość sięga bardzo wczesnego okresu i że spójny przekaz większości wszystkich świadków tekstu stanowi mocny argument</w:t>
      </w:r>
      <w:r>
        <w:t xml:space="preserve"> </w:t>
      </w:r>
      <w:r>
        <w:rPr>
          <w:iCs/>
          <w:i/>
        </w:rPr>
        <w:t xml:space="preserve">za</w:t>
      </w:r>
      <w:r>
        <w:t xml:space="preserve">, nie</w:t>
      </w:r>
      <w:r>
        <w:t xml:space="preserve"> </w:t>
      </w:r>
      <w:r>
        <w:rPr>
          <w:iCs/>
          <w:i/>
        </w:rPr>
        <w:t xml:space="preserve">przeciwko</w:t>
      </w:r>
      <w:r>
        <w:t xml:space="preserve"> </w:t>
      </w:r>
      <w:r>
        <w:t xml:space="preserve">danemu wariantowi (wyróżnienie w oryginale). (Strona 30* niedawnej (2017)</w:t>
      </w:r>
      <w:r>
        <w:t xml:space="preserve"> </w:t>
      </w:r>
      <w:r>
        <w:rPr>
          <w:iCs/>
          <w:i/>
        </w:rPr>
        <w:t xml:space="preserve">Editio Critica Maior</w:t>
      </w:r>
      <w:r>
        <w:t xml:space="preserve"> </w:t>
      </w:r>
      <w:r>
        <w:t xml:space="preserve">Dziejów Apostolskich).</w:t>
      </w:r>
    </w:p>
    <w:p>
      <w:pPr>
        <w:pStyle w:val="FirstParagraph"/>
      </w:pPr>
      <w:r>
        <w:t xml:space="preserve">No, no, no, lepiej późno niż wcale! „Tradycja tekstowa jako całość” z konieczności obejmuje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Seria</w:t>
      </w:r>
      <w:r>
        <w:t xml:space="preserve"> </w:t>
      </w:r>
      <w:r>
        <w:rPr>
          <w:iCs/>
          <w:i/>
        </w:rPr>
        <w:t xml:space="preserve">Text und Textwert</w:t>
      </w:r>
      <w:r>
        <w:rPr>
          <w:rStyle w:val="FootnoteReference"/>
        </w:rPr>
        <w:footnoteReference w:id="265"/>
      </w:r>
      <w:r>
        <w:t xml:space="preserve"> </w:t>
      </w:r>
      <w:r>
        <w:t xml:space="preserve">jest obecnie kompletna dla całego Nowego Testamentu, z wyjątkiem Ewangelii Jana 11-21. Dostarczone przez nią obiektywne dowody jasno i empirycznie pokazują, że Rodzina 35 (</w:t>
      </w:r>
      <w:r>
        <w:rPr>
          <w:bCs/>
          <w:b/>
        </w:rPr>
        <w:t xml:space="preserve">K</w:t>
      </w:r>
      <w:r>
        <w:rPr>
          <w:vertAlign w:val="superscript"/>
          <w:bCs/>
          <w:b/>
        </w:rPr>
        <w:t xml:space="preserve">r</w:t>
      </w:r>
      <w:r>
        <w:t xml:space="preserve">) jest niezależna od masy bizantyjskiej (</w:t>
      </w:r>
      <w:r>
        <w:rPr>
          <w:bCs/>
          <w:b/>
        </w:rPr>
        <w:t xml:space="preserve">K</w:t>
      </w:r>
      <w:r>
        <w:rPr>
          <w:vertAlign w:val="superscript"/>
          <w:bCs/>
          <w:b/>
        </w:rPr>
        <w:t xml:space="preserve">x</w:t>
      </w:r>
      <w:r>
        <w:t xml:space="preserve"> </w:t>
      </w:r>
      <w:r>
        <w:t xml:space="preserve">Sodena) w całym Nowym Testamencie. Wynika z tego, że</w:t>
      </w:r>
      <w:r>
        <w:t xml:space="preserve"> </w:t>
      </w:r>
      <w:r>
        <w:rPr>
          <w:u w:val="single"/>
        </w:rPr>
        <w:t xml:space="preserve">nie może</w:t>
      </w:r>
      <w:r>
        <w:t xml:space="preserve"> </w:t>
      </w:r>
      <w:r>
        <w:t xml:space="preserve">być rewizją tej masy. Każdy, kto nadal twierdzi, że</w:t>
      </w:r>
      <w:r>
        <w:t xml:space="preserve"> </w:t>
      </w:r>
      <w:r>
        <w:rPr>
          <w:bCs/>
          <w:b/>
        </w:rPr>
        <w:t xml:space="preserve">K</w:t>
      </w:r>
      <w:r>
        <w:rPr>
          <w:vertAlign w:val="superscript"/>
          <w:bCs/>
          <w:b/>
        </w:rPr>
        <w:t xml:space="preserve">r</w:t>
      </w:r>
      <w:r>
        <w:t xml:space="preserve"> </w:t>
      </w:r>
      <w:r>
        <w:t xml:space="preserve">von Sodena był rewizją jego</w:t>
      </w:r>
      <w:r>
        <w:t xml:space="preserve"> </w:t>
      </w:r>
      <w:r>
        <w:rPr>
          <w:bCs/>
          <w:b/>
        </w:rPr>
        <w:t xml:space="preserve">K</w:t>
      </w:r>
      <w:r>
        <w:rPr>
          <w:vertAlign w:val="superscript"/>
          <w:bCs/>
          <w:b/>
        </w:rPr>
        <w:t xml:space="preserve">x</w:t>
      </w:r>
      <w:r>
        <w:t xml:space="preserve">, jest albo niedoinformowany, albo przewrotny.</w:t>
      </w:r>
      <w:r>
        <w:rPr>
          <w:rStyle w:val="FootnoteReference"/>
        </w:rPr>
        <w:footnoteReference w:id="266"/>
      </w:r>
    </w:p>
    <w:p>
      <w:pPr>
        <w:numPr>
          <w:ilvl w:val="0"/>
          <w:numId w:val="1016"/>
        </w:numPr>
        <w:pStyle w:val="Compact"/>
      </w:pPr>
      <w:r>
        <w:t xml:space="preserve">Pozostaje podjąć kwestię aparatu liturgicznego charakterystycznego dla</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Sporządzenie kopii lekcjonarzowej byłoby znacznie łatwiejsze i szybsze niż sporządzenie pełnej kopii tekstu ciągłego, zupełnie niezależnie od aparatu w innym kolorze. Skoro mamy zachowane lekcjonarze z IV wieku i ze wszystkich następnych stuleci, dlaczego ktokolwiek miałby podejmować dodatkowy wysiłek, aby dodać aparat liturgiczny do kopii tekstu ciągłego? I dlaczego aparat ten dodano tylko do jednego typu tekstu?</w:t>
      </w:r>
    </w:p>
    <w:p>
      <w:pPr>
        <w:pStyle w:val="FirstParagraph"/>
      </w:pPr>
      <w:r>
        <w:t xml:space="preserve">Najpierw jednak, dlaczego sporządzano lekcjonarze zamiast manuskryptów tekstu ciągłego? Gdy upowszechniła się praktyka czytania i objaśniania ustalonych fragmentów w określone niedziele, posługiwanie się manuskryptem pełnego tekstu stało się niewygodne, dlaczego nie sporządzić manuskryptów zawierających wyłącznie ustalone lekcje? Przypomnij sobie, że większość ludzi nie umiała czytać i była ograniczona do słuchania Pisma podczas cotygodniowych zgromadzeń. Bardzo niewielu potrafiło czytać i studiować Pismo w domu. Jeszcze mniej osób było w stanie sporządzać pisemne kopie czegokolwiek. Skryba był zawodem. Przedkładam jednak czytelnikowi do rozważenia, że sama mentalność, która uznawała lekcjonarz za coś dobrego, sama w sobie oznaczała rozluźnienie pobożnego przywiązania do precyzyjnej formy Świętego Tekstu.</w:t>
      </w:r>
    </w:p>
    <w:p>
      <w:pPr>
        <w:pStyle w:val="BodyText"/>
      </w:pPr>
      <w:r>
        <w:t xml:space="preserve">Od IV wieku, jeśli nie wcześniej, Kościół rzymski posługiwał się łaciną, nie greką. Kto zatem zachował grecki Nowy Testament w średniowieczu? W coraz większym stopniu byłyby to greckojęzyczne wspólnoty monastyczne. Z definicji klasztor jest wspólnotą religijną, jego codzienne życie i samo istnienie wywodzą się z religii i od niej zależą. Dla wspólnot chrześcijańskich pisma Nowego Testamentu zajmowałyby centralne miejsce w wierze. Z biegiem czasu tradycja przejęła jednak władzę i następowało rozluźnienie pobożnego przywiązania do precyzyjnej formy Świętego Tekstu. Znajdowałoby to odzwierciedlenie w poziomie kontroli jakości obowiązującym w każdym klasztorze przy kopiowaniu manuskryptów Nowego Testamentu. Znajdowałoby też odzwierciedlenie w zwiększonej produkcji lekcjonarzy w klasztorach.</w:t>
      </w:r>
    </w:p>
    <w:p>
      <w:pPr>
        <w:pStyle w:val="BodyText"/>
      </w:pPr>
      <w:r>
        <w:t xml:space="preserve">Rozluźnienie kontroli jakości przy kopiowaniu manuskryptów Nowego Testamentu znajduje odzwierciedlenie w różnorodności odczytów występujących w manuskryptach tworzących tradycję bizantyjską. Dla trzech rozdziałów Ewangelii Łukasza F. Wisse zidentyfikował w obrębie tej tradycji 36 linii przekazu. Przeciętny manuskrypt bizantyjski ma od 3 do 5 wariantów na stronę drukowanego Tekstu greckiego (w porównaniu z 15 do 20 w przypadku manuskryptu aleksandryjskiego). Mnich wykonywał religijny obowiązek, lecz bez osobistego przywiązania do Tekstu. Zupełnie „przeciętny” manuskrypt</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ma jeden wariant na dwie strony drukowanego Tekstu greckiego, lepsze mają natomiast tylko jeden wariant na cztery lub więcej stron drukowanego Tekstu greckiego (naprawdę dobre są doskonałe w krótszych księgach). Skolacjonowałem manuskrypt mający tylko jeden wariant w 21 rozdziałach Ewangelii Jana, ten sam manuskrypt (GA 586) ma tylko jeden wariant w 16 rozdziałach Ewangelii Marka. Co ten obraz mówi nam o mentalności kopistów? Jak możemy wyjaśnić nadzwyczajną staranność wykazaną przez kopistów</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Zachowane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pochodzą z odizolowanych klasztorów rozmieszczonych po świecie śródziemnomorskim i zostały sporządzone na przestrzeni pięciu stuleci (XI-XV). (Na razie pomijam pokolenia egzemplarzy, które reprezentują). Po prostu nie istniał żaden ludzki czynnik zdolny sprawować taką kontrolę. Najwyraźniej niektóre klasztory były bardziej konserwatywne w doktrynie i postawie niż inne, a w konserwatywnym klasztorze poszczególny kopista mógł być oddany Boskiemu autorytetowi kopiowanego egzemplarza. Niezależnie od nadprzyrodzonego udziału w tym procesie panująca postawa w pewnych klasztorach oraz osobiste przekonanie poszczególnych kopistów to jedyne wyjaśnienie, jakie widzę dla niewiarygodnej wewnętrznej zgodności wykazywanej przez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Dlaczego jednak ktokolwiek miałby podejmować dodatkowy wysiłek, aby dodać aparat liturgiczny do kopii tekstu ciągłego, skoro lekcjonarzy było pod dostatkiem? I dlaczego aparat ten dodano tylko do jednego typu tekstu, właśnie tego o największej wewnętrznej zgodności? Cóż, co zrobiłby konserwatywny klasztor, gdyby chciał używać ustalonych lekcji do głośnego czytania podczas wspólnych posiłków, lecz czynić to z manuskryptu tekstu ciągłego (z szacunku dla Tekstu)? Początek i koniec lekcji musiałyby zostać w jakiś sposób oznaczone. Szacunek dla Tekstu nakazuje jednak, aby takich oznaczeń lekcji nie można było pomylić z samym Tekstem — stąd atrament innego koloru (który pomagałby też czytelnikowi rozpoczynać i kończyć we właściwych miejscach).</w:t>
      </w:r>
    </w:p>
    <w:p>
      <w:pPr>
        <w:pStyle w:val="BodyText"/>
      </w:pPr>
      <w:r>
        <w:t xml:space="preserve">Dobrze, lecz dlaczego wybierać</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Cóż, jeśli szacunek dla Tekstu skłania cię do używania manuskryptów tekstu ciągłego zamiast lekcjonarzy, jakiego rodzaju tekstu będziesz używać? Jeśli wiesz, że różne manuskrypty wykazują pewne różnice w sformułowaniach, jak dokonasz wyboru? Sama ta świadomość będzie wynikać z panującego w klasztorze przekonania co do tego, która linia przekazu wśród manuskryptów ma najlepszy rodowód, i to właśnie ta linia będzie zasługiwać na największy szacunek. Tego rodzaju tekstu będziesz więc używać. Jak jednak odizolowane klasztory dokonały tego samego wyboru? W tym właśnie tkwi szkopuł, jak to się stało, że odizolowane klasztory dokonały tego samego wyboru? Von Soden wyraził opinię, że władza centralna zarządziła rewizję i narzuciła ją klasztorom. Skoro można wykazać, że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nie jest rewizją, na jakiej podstawie ta wyimaginowana władza dokonałaby wyboru tekstu, który miała narzucić? Jeśli władza ta była szczerym chrześcijaninem, czy nie wybrałaby tekstu, który uważała za najlepszy? Ponieważ żadna taka władza nie istniała, nadal pozostaje nam pytanie: jak to się stało, że odizolowane klasztory dokonały tego samego wyboru?</w:t>
      </w:r>
    </w:p>
    <w:p>
      <w:pPr>
        <w:pStyle w:val="BodyText"/>
      </w:pPr>
      <w:r>
        <w:t xml:space="preserve">Jedyna odpowiedź, jaką widzę, jest taka, że w całej ogólnoświatowej wspólnocie chrześcijańskiej istniało powszechne przekonanie co do tożsamości linii przekazu o najlepszym rodowodzie. Ponieważ przekazywanie Tekstu Nowego Testamentu przez stulecia było od samego początku zasadniczo normalne, przekonanie o rodowodzie opierałoby się na dowodach historycznych. Gdy spisywano Autografy, nie istniały lekcje Nowego Testamentu. Pomysł dodawania oznaczeń lekcji musiał pojawić się później, jak dużo później — nie mamy sposobu, by to ustalić. Gdzieś po drodze sporządzono pierwszy taki manuskrypt. Czy pomysł był tak znakomity, że rozprzestrzenił się lotem błyskawicy? Czy też rozprzestrzeniał się powoli? Nie mamy sposobu, by to ustalić.</w:t>
      </w:r>
    </w:p>
    <w:p>
      <w:pPr>
        <w:pStyle w:val="BodyText"/>
      </w:pPr>
      <w:r>
        <w:t xml:space="preserve">Dla każdego powinno być oczywiste, że sporządzenie kopii w dwóch kolorach, z rozbudowanym aparatem, wymaga więcej czasu i wysiłku niż sporządzenie kopii w jednym kolorze, bez takiego aparatu. Dlaczego więc ludzie to robili? Musiał istnieć popyt na takie kopie. 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W każdym razie używane książki się zużywają. Do tego stopnia, że klasztory, które używały określonego typu tekstu do publicznego czytania, z pewnością sporządzały i przechowywały pewną liczbę kopii zapasowych. W przypadku typów tekstu, których nie używano, nie istniała taka sama motywacja. Może właśnie dlatego</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jest zdecydowanie największą rodziną w obrębie tradycji bizantyjskiej i jedyną rodziną, której istnienie wykazano dotąd we wszystkich 27 księgach.</w:t>
      </w:r>
      <w:r>
        <w:rPr>
          <w:rStyle w:val="FootnoteReference"/>
        </w:rPr>
        <w:footnoteReference w:id="267"/>
      </w:r>
    </w:p>
    <w:p>
      <w:pPr>
        <w:pStyle w:val="BodyText"/>
      </w:pPr>
      <w:r>
        <w:t xml:space="preserve">WNIOSEK: Charakterystyka</w:t>
      </w:r>
      <w:r>
        <w:t xml:space="preserve"> </w:t>
      </w:r>
      <w:r>
        <w:rPr>
          <w:bCs/>
          <w:b/>
        </w:rPr>
        <w:t xml:space="preserve">K</w:t>
      </w:r>
      <w:r>
        <w:rPr>
          <w:vertAlign w:val="superscript"/>
          <w:bCs/>
          <w:b/>
        </w:rPr>
        <w:t xml:space="preserve">r</w:t>
      </w:r>
      <w:r>
        <w:t xml:space="preserve"> </w:t>
      </w:r>
      <w:r>
        <w:t xml:space="preserve">von Sodena jako późnej rewizji jest po prostu fałszywa. Wynika z tego, że wszystkie dobrze poinformowane osoby powinny przestać używać symbolu</w:t>
      </w:r>
      <w:r>
        <w:t xml:space="preserve"> </w:t>
      </w:r>
      <w:r>
        <w:rPr>
          <w:bCs/>
          <w:b/>
        </w:rPr>
        <w:t xml:space="preserve">K</w:t>
      </w:r>
      <w:r>
        <w:rPr>
          <w:vertAlign w:val="superscript"/>
          <w:bCs/>
          <w:b/>
        </w:rPr>
        <w:t xml:space="preserve">r</w:t>
      </w:r>
      <w:r>
        <w:t xml:space="preserve">.</w:t>
      </w:r>
    </w:p>
    <w:bookmarkEnd w:id="268"/>
    <w:bookmarkStart w:id="300" w:name="współczynnik-staranności-kopisty"/>
    <w:p>
      <w:pPr>
        <w:pStyle w:val="Heading2"/>
      </w:pPr>
      <w:r>
        <w:t xml:space="preserve">Współczynnik staranności kopisty</w:t>
      </w:r>
    </w:p>
    <w:p>
      <w:pPr>
        <w:pStyle w:val="FirstParagraph"/>
      </w:pPr>
      <w:r>
        <w:t xml:space="preserve">Od pewnego czasu jestem zdania, że kwestia mentalności, z jaką kopista przystępował do swojego zadania, zasługuje na znacznie więcej uwagi, niż dotąd jej poświęcano. Jeśli możemy się zgodzić, że zadaniem kopisty jest odtworzenie kopiowanego przez niego egzemplarza, powinno być możliwe ocenienie jego niepowodzeń w tym zakresie. Oczywiście taka ocena zależy od znanego istnienia jego egzemplarza albo archetypu rodziny, do której należy kopia (ustalonego na podstawie jej mozaiki lub profilu). Tam, gdzie istnieje linia przekazu wywodząca się z archetypu, dany wariant mógł oczywiście znajdować się w egzemplarzu, lecz obecnie nie widzę sposobu kontrolowania tej możliwości. „Wariant” definiuje się jako odejście od formy archetypalnej, ustalonej empirycznie na podstawie zgodności przedstawicieli rodziny.</w:t>
      </w:r>
      <w:r>
        <w:rPr>
          <w:rStyle w:val="FootnoteReference"/>
        </w:rPr>
        <w:footnoteReference w:id="269"/>
      </w:r>
      <w:r>
        <w:t xml:space="preserve"> </w:t>
      </w:r>
      <w:r>
        <w:t xml:space="preserve">Wariant można ocenić niezależnie od tego, kiedy został wprowadzony.</w:t>
      </w:r>
    </w:p>
    <w:p>
      <w:pPr>
        <w:pStyle w:val="BodyText"/>
      </w:pPr>
      <w:r>
        <w:t xml:space="preserve">Trzeba jednak zastanowić się nad dokładną definicją „wariantu”. Jestem zdania, że ostatecznie termin „wariant” powinien być zastrzeżony dla odczytów, które powodują różnicę w znaczeniu, a nawet wtedy tylko wówczas, gdy zostały wprowadzone celowo. Oczywiście ponieważ niezamierzona zmiana również może zmienić znaczenie, musimy postępować powoli, dlatego użyłem słowa „ostatecznie”. Tymczasem w poniższej tabeli pominąłem alternatywne pisownie tego samego słowa, zostały one jednak należycie odnotowane w moim pełnym aparacie</w:t>
      </w:r>
      <w:r>
        <w:t xml:space="preserve"> </w:t>
      </w:r>
      <w:r>
        <w:rPr>
          <w:bCs/>
          <w:b/>
        </w:rPr>
        <w:t xml:space="preserve">f</w:t>
      </w:r>
      <w:r>
        <w:rPr>
          <w:vertAlign w:val="superscript"/>
          <w:bCs/>
          <w:b/>
        </w:rPr>
        <w:t xml:space="preserve">35</w:t>
      </w:r>
      <w:r>
        <w:t xml:space="preserve"> </w:t>
      </w:r>
      <w:r>
        <w:t xml:space="preserve">dla Ewangelii Marka.</w:t>
      </w:r>
    </w:p>
    <w:bookmarkStart w:id="283" w:name="ewangelia-marka"/>
    <w:p>
      <w:pPr>
        <w:pStyle w:val="Heading3"/>
      </w:pPr>
      <w:r>
        <w:t xml:space="preserve">Ewangelia Marka</w:t>
      </w:r>
    </w:p>
    <w:p>
      <w:pPr>
        <w:pStyle w:val="FirstParagraph"/>
      </w:pPr>
      <w:r>
        <w:t xml:space="preserve">Zwracam uwagę na poniższe dowody z Ewangelii Marka. Posłużę się analizą trzynastu „aleksandryjskich” manuskryptów w pierwszym rozdziale, dokonaną przez E.C. Colwella, oraz własnym kolacjonowaniem pięćdziesięciu trzech manuskryptów Rodziny 35 w całej księdze.</w:t>
      </w:r>
      <w:r>
        <w:rPr>
          <w:rStyle w:val="FootnoteReference"/>
        </w:rPr>
        <w:footnoteReference w:id="270"/>
      </w:r>
      <w:r>
        <w:t xml:space="preserve"> </w:t>
      </w:r>
      <w:r>
        <w:t xml:space="preserve">Oto własne stwierdzenie Colwella:</w:t>
      </w:r>
    </w:p>
    <w:p>
      <w:pPr>
        <w:pStyle w:val="BlockText"/>
      </w:pPr>
      <w:r>
        <w:t xml:space="preserve">Po starannym zbadaniu wszystkich domniemanych świadków typu tekstu Beta w pierwszym rozdziale Ewangelii Marka jako główni świadkowie wyłonili się sześć greckich manuskryptów: ℵ, B, L, 33, 892, 2427. Dlatego słabsze manuskrypty Beta, C, D, 157, 517, 579, 1241 i 1342, odłożono na bok. Następnie na podstawie sześciu głównych świadków odtworzono „przeciętny”, czyli średni tekst, obejmujący wszystkie odczyty poświadczone przez większość głównych świadków.</w:t>
      </w:r>
      <w:r>
        <w:rPr>
          <w:rStyle w:val="FootnoteReference"/>
        </w:rPr>
        <w:footnoteReference w:id="271"/>
      </w:r>
      <w:r>
        <w:t xml:space="preserve"> </w:t>
      </w:r>
      <w:r>
        <w:t xml:space="preserve">Nawet na tej ograniczonej podstawie ilość zróżnicowania odnotowanego w aparacie była przygnębiająca. W tym pierwszym rozdziale każdy z sześciu świadków różnił się od „przeciętnego” typu tekstu Beta następującą liczbę razy: L — dziewiętnaście razy (Westcott i Hort — dwadzieścia jeden razy), Alef — dwadzieścia sześć razy, 2427 — trzydzieści dwa razy, 33 — trzydzieści trzy razy, B — trzydzieści cztery razy, a 892 — czterdzieści jeden razy. Wyniki te przekonująco pokazują, że każda próba odtworzenia archetypu typu tekstu Beta na podstawie ilościowej jest skazana na niepowodzenie. Tak odtworzony tekst nie jest odtworzony, lecz skonstruowany, jest sztucznym tworem, który nigdy nie istniał.</w:t>
      </w:r>
      <w:r>
        <w:rPr>
          <w:rStyle w:val="FootnoteReference"/>
        </w:rPr>
        <w:footnoteReference w:id="272"/>
      </w:r>
      <w:r>
        <w:t xml:space="preserve"> </w:t>
      </w:r>
      <w:r>
        <w:t xml:space="preserve">(Typ tekstu bez archetypu nie może reprezentować Oryginału).</w:t>
      </w:r>
    </w:p>
    <w:p>
      <w:pPr>
        <w:pStyle w:val="FirstParagraph"/>
      </w:pPr>
      <w:r>
        <w:t xml:space="preserve">Rozważmy uważnie, co zrobił Colwell, pamiętając, że był zwolennikiem „aleksandryjskiego” typu tekstu (jego „typu tekstu Beta”). Próbował dojść do archetypalnej formy tego typu tekstu dla jednego rozdziału, poprzez głosowanie większościowe jego znanych przedstawicieli, za których uważał wymienionych trzynaście.</w:t>
      </w:r>
      <w:r>
        <w:rPr>
          <w:rStyle w:val="FootnoteReference"/>
        </w:rPr>
        <w:footnoteReference w:id="273"/>
      </w:r>
      <w:r>
        <w:t xml:space="preserve"> </w:t>
      </w:r>
      <w:r>
        <w:t xml:space="preserve">Wynik był tak niemożliwie zły, że odrzucił siedmiu „słabszych” przedstawicieli i spróbował ponownie, używając tylko sześciu „głównych” świadków. Jego własnymi słowami: „Nawet na tej ograniczonej podstawie ilość zróżnicowania odnotowanego w aparacie była przygnębiająca”. Wielki Kodeks Watykański różnił się od swojej formy archetypalnej nie mniej niż trzydzieści cztery razy w jednym rozdziale. No proszę, czy manuskrypt, który różni się od swojego archetypu 34 razy w jednym rozdziale, można nazwać dobrą kopią? Na jakiej obiektywnej podstawie ktokolwiek mógłby tak uczynić? Dla porównania lub kontrastu zwracam uwagę na poniższe dowody z Rodziny 35, obejmujące wszystkie szesnaście rozdziałów Ewangelii Marka, łącznie z ostatnimi dwunastoma wersetami.</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 ponadto łatwe błędy przepisywania mogło popełnić niezależnie więcej niż jeden kopista)</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 lecz przez żadnego innego członka rodziny, co może wskazywać na domieszkę)</w:t>
            </w:r>
          </w:p>
        </w:tc>
      </w:tr>
      <w:tr>
        <w:tc>
          <w:tcPr/>
          <w:p>
            <w:pPr>
              <w:pStyle w:val="Compact"/>
              <w:jc w:val="center"/>
            </w:pPr>
            <w:r>
              <w:t xml:space="preserve">y</w:t>
            </w:r>
          </w:p>
        </w:tc>
        <w:tc>
          <w:tcPr/>
          <w:p>
            <w:pPr>
              <w:pStyle w:val="Compact"/>
              <w:jc w:val="left"/>
            </w:pPr>
            <w:r>
              <w:t xml:space="preserve">rodzina jest podzielona, lecz wariant jest także poświadczony przez manuskrypty spoza rodziny (może to być domieszka ze strony tego, kto wprowadził wariant)</w:t>
            </w:r>
          </w:p>
        </w:tc>
      </w:tr>
      <w:tr>
        <w:tc>
          <w:tcPr/>
          <w:p>
            <w:pPr>
              <w:pStyle w:val="Compact"/>
              <w:jc w:val="center"/>
            </w:pPr>
            <w:r>
              <w:t xml:space="preserve">/</w:t>
            </w:r>
          </w:p>
        </w:tc>
        <w:tc>
          <w:tcPr/>
          <w:p>
            <w:pPr>
              <w:pStyle w:val="Compact"/>
              <w:jc w:val="left"/>
            </w:pPr>
            <w:r>
              <w:t xml:space="preserve">rodzina jest podzielona, a wariant nie ma poświadczenia zewnętrznego (grupa odłamowa)</w:t>
            </w:r>
          </w:p>
        </w:tc>
      </w:tr>
      <w:tr>
        <w:tc>
          <w:tcPr/>
          <w:p>
            <w:pPr>
              <w:pStyle w:val="Compact"/>
              <w:jc w:val="center"/>
            </w:pPr>
            <w:r>
              <w:t xml:space="preserve">h</w:t>
            </w:r>
          </w:p>
        </w:tc>
        <w:tc>
          <w:tcPr/>
          <w:p>
            <w:pPr>
              <w:pStyle w:val="Compact"/>
              <w:jc w:val="left"/>
            </w:pPr>
            <w:r>
              <w:t xml:space="preserve">oczywisty przypadek homoioteleutonu (lub homoioarktonu) (nie uważam tego za właściwy „wariant”, lecz uwzględniam go poniżej)</w:t>
            </w:r>
          </w:p>
        </w:tc>
      </w:tr>
      <w:tr>
        <w:tc>
          <w:tcPr/>
          <w:p>
            <w:pPr>
              <w:pStyle w:val="Compact"/>
              <w:jc w:val="center"/>
            </w:pPr>
            <w:r>
              <w:t xml:space="preserve">i</w:t>
            </w:r>
          </w:p>
        </w:tc>
        <w:tc>
          <w:tcPr/>
          <w:p>
            <w:pPr>
              <w:pStyle w:val="Compact"/>
              <w:jc w:val="left"/>
            </w:pPr>
            <w:r>
              <w:t xml:space="preserve">zwykła nieuwaga (często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pPr>
        <w:pStyle w:val="BodyText"/>
      </w:pPr>
      <w:r>
        <w:t xml:space="preserve">Można zauważyć, że domniemanemu egzemplarzowi przypisuję mniejszą liczbę wariantów niż kopii — pomijam „c”, „s”, „h” i „i”, przypisując je kopiście, „c” mogło zostać wykonane przez kogoś innego, lecz rezultat jest poprawny. Oczywiście każdy z nich mógł znajdować się w egzemplarzu, a egzemplarz mógł mieć błąd poprawiony przez kopistę, liczby w kolumnie „egzemplarz” są więc jedynie przybliżeniem (prawdopodobnie jednak niezbyt odległym od rzeczywistości). Prawdą jest również, że wariant sklasyfikowany jako „x”, „y” lub „/” mógł być niezależnym błędem kopisty, którego nie było w egzemplarzu. Mimo wszystko uważam, że ogólny kształt poniższych dowodów jest zasadny i istotny.</w:t>
      </w:r>
    </w:p>
    <w:bookmarkStart w:id="276" w:name="f35-w-ewangelii-marka-dane-surowe"/>
    <w:p>
      <w:pPr>
        <w:pStyle w:val="Heading4"/>
      </w:pPr>
      <w:r>
        <w:rPr>
          <w:iCs/>
          <w:i/>
        </w:rPr>
        <w:t xml:space="preserve">f</w:t>
      </w:r>
      <w:r>
        <w:rPr>
          <w:vertAlign w:val="superscript"/>
          <w:iCs/>
          <w:i/>
        </w:rPr>
        <w:t xml:space="preserve">35</w:t>
      </w:r>
      <w:r>
        <w:rPr>
          <w:iCs/>
          <w:i/>
        </w:rPr>
        <w:t xml:space="preserve"> </w:t>
      </w:r>
      <w:r>
        <w:rPr>
          <w:iCs/>
          <w:i/>
        </w:rPr>
        <w:t xml:space="preserve">w Ewangelii Marka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74"/>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5y, 1/, 7s, 2i</w:t>
            </w:r>
          </w:p>
        </w:tc>
        <w:tc>
          <w:tcPr/>
          <w:p>
            <w:pPr>
              <w:pStyle w:val="Compact"/>
              <w:jc w:val="right"/>
            </w:pPr>
            <w:r>
              <w:t xml:space="preserve">15</w:t>
            </w:r>
          </w:p>
        </w:tc>
        <w:tc>
          <w:tcPr/>
          <w:p>
            <w:pPr>
              <w:pStyle w:val="Compact"/>
              <w:jc w:val="right"/>
            </w:pPr>
            <w:r>
              <w:t xml:space="preserve">6</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5c</w:t>
            </w:r>
          </w:p>
        </w:tc>
        <w:tc>
          <w:tcPr/>
          <w:p>
            <w:pPr>
              <w:pStyle w:val="Compact"/>
              <w:jc w:val="right"/>
            </w:pPr>
            <w:r>
              <w:t xml:space="preserve">5</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128</w:t>
            </w:r>
          </w:p>
        </w:tc>
        <w:tc>
          <w:tcPr/>
          <w:p>
            <w:pPr>
              <w:pStyle w:val="Compact"/>
              <w:jc w:val="left"/>
            </w:pPr>
            <w:r>
              <w:t xml:space="preserve">1y, 1/, 2s, 1h, 2i</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w:t>
            </w:r>
          </w:p>
        </w:tc>
      </w:tr>
      <w:tr>
        <w:tc>
          <w:tcPr/>
          <w:p>
            <w:pPr>
              <w:pStyle w:val="Compact"/>
              <w:jc w:val="right"/>
            </w:pPr>
            <w:r>
              <w:t xml:space="preserve">141</w:t>
            </w:r>
          </w:p>
        </w:tc>
        <w:tc>
          <w:tcPr/>
          <w:p>
            <w:pPr>
              <w:pStyle w:val="Compact"/>
              <w:jc w:val="left"/>
            </w:pPr>
            <w:r>
              <w:t xml:space="preserve">2x, 2y, 4/, 3c, 9s, 2h</w:t>
            </w:r>
          </w:p>
        </w:tc>
        <w:tc>
          <w:tcPr/>
          <w:p>
            <w:pPr>
              <w:pStyle w:val="Compact"/>
              <w:jc w:val="right"/>
            </w:pPr>
            <w:r>
              <w:t xml:space="preserve">22</w:t>
            </w:r>
          </w:p>
        </w:tc>
        <w:tc>
          <w:tcPr/>
          <w:p>
            <w:pPr>
              <w:pStyle w:val="Compact"/>
              <w:jc w:val="right"/>
            </w:pPr>
            <w:r>
              <w:t xml:space="preserve">8</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3y, 2/, 3s, 1i</w:t>
            </w:r>
          </w:p>
        </w:tc>
        <w:tc>
          <w:tcPr/>
          <w:p>
            <w:pPr>
              <w:pStyle w:val="Compact"/>
              <w:jc w:val="right"/>
            </w:pPr>
            <w:r>
              <w:t xml:space="preserve">9</w:t>
            </w:r>
          </w:p>
        </w:tc>
        <w:tc>
          <w:tcPr/>
          <w:p>
            <w:pPr>
              <w:pStyle w:val="Compact"/>
              <w:jc w:val="right"/>
            </w:pPr>
            <w:r>
              <w:t xml:space="preserve">5</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510</w:t>
            </w:r>
          </w:p>
        </w:tc>
        <w:tc>
          <w:tcPr/>
          <w:p>
            <w:pPr>
              <w:pStyle w:val="Compact"/>
              <w:jc w:val="left"/>
            </w:pPr>
            <w:r>
              <w:t xml:space="preserve">1x, 1y, 9s, 3i</w:t>
            </w:r>
          </w:p>
        </w:tc>
        <w:tc>
          <w:tcPr/>
          <w:p>
            <w:pPr>
              <w:pStyle w:val="Compact"/>
              <w:jc w:val="right"/>
            </w:pPr>
            <w:r>
              <w:t xml:space="preserve">14</w:t>
            </w:r>
          </w:p>
        </w:tc>
        <w:tc>
          <w:tcPr/>
          <w:p>
            <w:pPr>
              <w:pStyle w:val="Compact"/>
              <w:jc w:val="right"/>
            </w:pPr>
            <w:r>
              <w:t xml:space="preserve">2</w:t>
            </w:r>
          </w:p>
        </w:tc>
        <w:tc>
          <w:tcPr/>
          <w:p>
            <w:pPr>
              <w:pStyle w:val="Compact"/>
              <w:jc w:val="center"/>
            </w:pPr>
            <w:r>
              <w:t xml:space="preserve">XII</w:t>
            </w:r>
          </w:p>
        </w:tc>
        <w:tc>
          <w:tcPr/>
          <w:p>
            <w:pPr>
              <w:pStyle w:val="Compact"/>
              <w:jc w:val="left"/>
            </w:pPr>
            <w:r>
              <w:t xml:space="preserve">Oksford-cc</w:t>
            </w:r>
          </w:p>
        </w:tc>
        <w:tc>
          <w:tcPr/>
          <w:p>
            <w:pPr>
              <w:pStyle w:val="Compact"/>
              <w:jc w:val="center"/>
            </w:pPr>
            <w:r>
              <w:t xml:space="preserve">e</w:t>
            </w:r>
          </w:p>
        </w:tc>
      </w:tr>
      <w:tr>
        <w:tc>
          <w:tcPr/>
          <w:p>
            <w:pPr>
              <w:pStyle w:val="Compact"/>
              <w:jc w:val="right"/>
            </w:pPr>
            <w:r>
              <w:t xml:space="preserve">547</w:t>
            </w:r>
          </w:p>
        </w:tc>
        <w:tc>
          <w:tcPr/>
          <w:p>
            <w:pPr>
              <w:pStyle w:val="Compact"/>
              <w:jc w:val="left"/>
            </w:pPr>
            <w:r>
              <w:t xml:space="preserve">10y, 1/, 4s</w:t>
            </w:r>
          </w:p>
        </w:tc>
        <w:tc>
          <w:tcPr/>
          <w:p>
            <w:pPr>
              <w:pStyle w:val="Compact"/>
              <w:jc w:val="right"/>
            </w:pPr>
            <w:r>
              <w:t xml:space="preserve">15</w:t>
            </w:r>
          </w:p>
        </w:tc>
        <w:tc>
          <w:tcPr/>
          <w:p>
            <w:pPr>
              <w:pStyle w:val="Compact"/>
              <w:jc w:val="right"/>
            </w:pPr>
            <w:r>
              <w:t xml:space="preserve">11</w:t>
            </w:r>
          </w:p>
        </w:tc>
        <w:tc>
          <w:tcPr/>
          <w:p>
            <w:pPr>
              <w:pStyle w:val="Compact"/>
              <w:jc w:val="center"/>
            </w:pPr>
            <w:r>
              <w:t xml:space="preserve">XI</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553</w:t>
            </w:r>
          </w:p>
        </w:tc>
        <w:tc>
          <w:tcPr/>
          <w:p>
            <w:pPr>
              <w:pStyle w:val="Compact"/>
              <w:jc w:val="left"/>
            </w:pPr>
            <w:r>
              <w:t xml:space="preserve">2x, 9y, 2/, 1c, 4s, 3i</w:t>
            </w:r>
          </w:p>
        </w:tc>
        <w:tc>
          <w:tcPr/>
          <w:p>
            <w:pPr>
              <w:pStyle w:val="Compact"/>
              <w:jc w:val="right"/>
            </w:pPr>
            <w:r>
              <w:t xml:space="preserve">21</w:t>
            </w:r>
          </w:p>
        </w:tc>
        <w:tc>
          <w:tcPr/>
          <w:p>
            <w:pPr>
              <w:pStyle w:val="Compact"/>
              <w:jc w:val="right"/>
            </w:pPr>
            <w:r>
              <w:t xml:space="preserve">13</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586</w:t>
            </w:r>
          </w:p>
        </w:tc>
        <w:tc>
          <w:tcPr/>
          <w:p>
            <w:pPr>
              <w:pStyle w:val="Compact"/>
              <w:jc w:val="left"/>
            </w:pPr>
            <w:r>
              <w:t xml:space="preserve">1i</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XIV</w:t>
            </w:r>
          </w:p>
        </w:tc>
        <w:tc>
          <w:tcPr/>
          <w:p>
            <w:pPr>
              <w:pStyle w:val="Compact"/>
              <w:jc w:val="left"/>
            </w:pPr>
            <w:r>
              <w:t xml:space="preserve">Modena</w:t>
            </w:r>
          </w:p>
        </w:tc>
        <w:tc>
          <w:tcPr/>
          <w:p>
            <w:pPr>
              <w:pStyle w:val="Compact"/>
              <w:jc w:val="center"/>
            </w:pPr>
            <w:r>
              <w:t xml:space="preserve">e</w:t>
            </w:r>
          </w:p>
        </w:tc>
      </w:tr>
      <w:tr>
        <w:tc>
          <w:tcPr/>
          <w:p>
            <w:pPr>
              <w:pStyle w:val="Compact"/>
              <w:jc w:val="right"/>
            </w:pPr>
            <w:r>
              <w:t xml:space="preserve">645</w:t>
            </w:r>
          </w:p>
        </w:tc>
        <w:tc>
          <w:tcPr/>
          <w:p>
            <w:pPr>
              <w:pStyle w:val="Compact"/>
              <w:jc w:val="left"/>
            </w:pPr>
            <w:r>
              <w:t xml:space="preserve">2x, 8y, 4/, 3c, 16s, 2h, 13i</w:t>
            </w:r>
          </w:p>
        </w:tc>
        <w:tc>
          <w:tcPr/>
          <w:p>
            <w:pPr>
              <w:pStyle w:val="Compact"/>
              <w:jc w:val="right"/>
            </w:pPr>
            <w:r>
              <w:t xml:space="preserve">48</w:t>
            </w:r>
          </w:p>
        </w:tc>
        <w:tc>
          <w:tcPr/>
          <w:p>
            <w:pPr>
              <w:pStyle w:val="Compact"/>
              <w:jc w:val="right"/>
            </w:pPr>
            <w:r>
              <w:t xml:space="preserve">14</w:t>
            </w:r>
          </w:p>
        </w:tc>
        <w:tc>
          <w:tcPr/>
          <w:p>
            <w:pPr>
              <w:pStyle w:val="Compact"/>
              <w:jc w:val="center"/>
            </w:pPr>
            <w:r>
              <w:t xml:space="preserve">1304</w:t>
            </w:r>
          </w:p>
        </w:tc>
        <w:tc>
          <w:tcPr/>
          <w:p>
            <w:pPr>
              <w:pStyle w:val="Compact"/>
              <w:jc w:val="left"/>
            </w:pPr>
            <w:r>
              <w:t xml:space="preserve">Cypr</w:t>
            </w:r>
          </w:p>
        </w:tc>
        <w:tc>
          <w:tcPr/>
          <w:p>
            <w:pPr>
              <w:pStyle w:val="Compact"/>
              <w:jc w:val="center"/>
            </w:pPr>
            <w:r>
              <w:t xml:space="preserve">e</w:t>
            </w:r>
          </w:p>
        </w:tc>
      </w:tr>
      <w:tr>
        <w:tc>
          <w:tcPr/>
          <w:p>
            <w:pPr>
              <w:pStyle w:val="Compact"/>
              <w:jc w:val="right"/>
            </w:pPr>
            <w:r>
              <w:t xml:space="preserve">689</w:t>
            </w:r>
          </w:p>
        </w:tc>
        <w:tc>
          <w:tcPr/>
          <w:p>
            <w:pPr>
              <w:pStyle w:val="Compact"/>
              <w:jc w:val="left"/>
            </w:pPr>
            <w:r>
              <w:t xml:space="preserve">5x, 5y, 1/, 1c, 7s, 3i</w:t>
            </w:r>
          </w:p>
        </w:tc>
        <w:tc>
          <w:tcPr/>
          <w:p>
            <w:pPr>
              <w:pStyle w:val="Compact"/>
              <w:jc w:val="right"/>
            </w:pPr>
            <w:r>
              <w:t xml:space="preserve">22</w:t>
            </w:r>
          </w:p>
        </w:tc>
        <w:tc>
          <w:tcPr/>
          <w:p>
            <w:pPr>
              <w:pStyle w:val="Compact"/>
              <w:jc w:val="right"/>
            </w:pPr>
            <w:r>
              <w:t xml:space="preserve">11</w:t>
            </w:r>
          </w:p>
        </w:tc>
        <w:tc>
          <w:tcPr/>
          <w:p>
            <w:pPr>
              <w:pStyle w:val="Compact"/>
              <w:jc w:val="center"/>
            </w:pPr>
            <w:r>
              <w:t xml:space="preserve">XIII</w:t>
            </w:r>
          </w:p>
        </w:tc>
        <w:tc>
          <w:tcPr/>
          <w:p>
            <w:pPr>
              <w:pStyle w:val="Compact"/>
              <w:jc w:val="left"/>
            </w:pPr>
            <w:r>
              <w:t xml:space="preserve">Londyn</w:t>
            </w:r>
          </w:p>
        </w:tc>
        <w:tc>
          <w:tcPr/>
          <w:p>
            <w:pPr>
              <w:pStyle w:val="Compact"/>
              <w:jc w:val="center"/>
            </w:pPr>
            <w:r>
              <w:t xml:space="preserve">e</w:t>
            </w:r>
          </w:p>
        </w:tc>
      </w:tr>
      <w:tr>
        <w:tc>
          <w:tcPr/>
          <w:p>
            <w:pPr>
              <w:pStyle w:val="Compact"/>
              <w:jc w:val="right"/>
            </w:pPr>
            <w:r>
              <w:t xml:space="preserve">789</w:t>
            </w:r>
          </w:p>
        </w:tc>
        <w:tc>
          <w:tcPr/>
          <w:p>
            <w:pPr>
              <w:pStyle w:val="Compact"/>
              <w:jc w:val="left"/>
            </w:pPr>
            <w:r>
              <w:t xml:space="preserve">1y,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824</w:t>
            </w:r>
          </w:p>
        </w:tc>
        <w:tc>
          <w:tcPr/>
          <w:p>
            <w:pPr>
              <w:pStyle w:val="Compact"/>
              <w:jc w:val="left"/>
            </w:pPr>
            <w:r>
              <w:t xml:space="preserve">2x, 3y, 3s, 2i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3y, 1/, 1c, 1s</w:t>
            </w:r>
          </w:p>
        </w:tc>
        <w:tc>
          <w:tcPr/>
          <w:p>
            <w:pPr>
              <w:pStyle w:val="Compact"/>
              <w:jc w:val="right"/>
            </w:pPr>
            <w:r>
              <w:t xml:space="preserve">6</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1023</w:t>
            </w:r>
          </w:p>
        </w:tc>
        <w:tc>
          <w:tcPr/>
          <w:p>
            <w:pPr>
              <w:pStyle w:val="Compact"/>
              <w:jc w:val="left"/>
            </w:pPr>
            <w:r>
              <w:t xml:space="preserve">1x, 4y, 2/, 1c, 1s, 1i</w:t>
            </w:r>
          </w:p>
        </w:tc>
        <w:tc>
          <w:tcPr/>
          <w:p>
            <w:pPr>
              <w:pStyle w:val="Compact"/>
              <w:jc w:val="right"/>
            </w:pPr>
            <w:r>
              <w:t xml:space="preserve">10</w:t>
            </w:r>
          </w:p>
        </w:tc>
        <w:tc>
          <w:tcPr/>
          <w:p>
            <w:pPr>
              <w:pStyle w:val="Compact"/>
              <w:jc w:val="right"/>
            </w:pPr>
            <w:r>
              <w:t xml:space="preserve">7</w:t>
            </w:r>
          </w:p>
        </w:tc>
        <w:tc>
          <w:tcPr/>
          <w:p>
            <w:pPr>
              <w:pStyle w:val="Compact"/>
              <w:jc w:val="center"/>
            </w:pPr>
            <w:r>
              <w:t xml:space="preserve">1338</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1040</w:t>
            </w:r>
          </w:p>
        </w:tc>
        <w:tc>
          <w:tcPr/>
          <w:p>
            <w:pPr>
              <w:pStyle w:val="Compact"/>
              <w:jc w:val="left"/>
            </w:pPr>
            <w:r>
              <w:t xml:space="preserve">2x, 3y, 1/, 2s, 1h</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1y, 2i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4y, 2/, 1s, 2i</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1111</w:t>
            </w:r>
          </w:p>
        </w:tc>
        <w:tc>
          <w:tcPr/>
          <w:p>
            <w:pPr>
              <w:pStyle w:val="Compact"/>
              <w:jc w:val="left"/>
            </w:pPr>
            <w:r>
              <w:t xml:space="preserve">4y, 3/, 1c, 1s</w:t>
            </w:r>
          </w:p>
        </w:tc>
        <w:tc>
          <w:tcPr/>
          <w:p>
            <w:pPr>
              <w:pStyle w:val="Compact"/>
              <w:jc w:val="right"/>
            </w:pPr>
            <w:r>
              <w:t xml:space="preserve">9</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Stavronikita</w:t>
            </w:r>
          </w:p>
        </w:tc>
        <w:tc>
          <w:tcPr/>
          <w:p>
            <w:pPr>
              <w:pStyle w:val="Compact"/>
              <w:jc w:val="center"/>
            </w:pPr>
            <w:r>
              <w:t xml:space="preserve">e</w:t>
            </w:r>
          </w:p>
        </w:tc>
      </w:tr>
      <w:tr>
        <w:tc>
          <w:tcPr/>
          <w:p>
            <w:pPr>
              <w:pStyle w:val="Compact"/>
              <w:jc w:val="right"/>
            </w:pPr>
            <w:r>
              <w:t xml:space="preserve">1117</w:t>
            </w:r>
          </w:p>
        </w:tc>
        <w:tc>
          <w:tcPr/>
          <w:p>
            <w:pPr>
              <w:pStyle w:val="Compact"/>
              <w:jc w:val="left"/>
            </w:pPr>
            <w:r>
              <w:t xml:space="preserve">1x, 3y, 7s, 1i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1133</w:t>
            </w:r>
          </w:p>
        </w:tc>
        <w:tc>
          <w:tcPr/>
          <w:p>
            <w:pPr>
              <w:pStyle w:val="Compact"/>
              <w:jc w:val="left"/>
            </w:pPr>
            <w:r>
              <w:t xml:space="preserve">10y, 12/, 1c, 10s, 1h</w:t>
            </w:r>
          </w:p>
        </w:tc>
        <w:tc>
          <w:tcPr/>
          <w:p>
            <w:pPr>
              <w:pStyle w:val="Compact"/>
              <w:jc w:val="right"/>
            </w:pPr>
            <w:r>
              <w:t xml:space="preserve">34</w:t>
            </w:r>
          </w:p>
        </w:tc>
        <w:tc>
          <w:tcPr/>
          <w:p>
            <w:pPr>
              <w:pStyle w:val="Compact"/>
              <w:jc w:val="right"/>
            </w:pPr>
            <w:r>
              <w:t xml:space="preserve">22</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1145</w:t>
            </w:r>
          </w:p>
        </w:tc>
        <w:tc>
          <w:tcPr/>
          <w:p>
            <w:pPr>
              <w:pStyle w:val="Compact"/>
              <w:jc w:val="left"/>
            </w:pPr>
            <w:r>
              <w:t xml:space="preserve">1x, 9y, 3/, 5c, 2s, 2i</w:t>
            </w:r>
          </w:p>
        </w:tc>
        <w:tc>
          <w:tcPr/>
          <w:p>
            <w:pPr>
              <w:pStyle w:val="Compact"/>
              <w:jc w:val="right"/>
            </w:pPr>
            <w:r>
              <w:t xml:space="preserve">22</w:t>
            </w:r>
          </w:p>
        </w:tc>
        <w:tc>
          <w:tcPr/>
          <w:p>
            <w:pPr>
              <w:pStyle w:val="Compact"/>
              <w:jc w:val="right"/>
            </w:pPr>
            <w:r>
              <w:t xml:space="preserve">13</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1147</w:t>
            </w:r>
          </w:p>
        </w:tc>
        <w:tc>
          <w:tcPr/>
          <w:p>
            <w:pPr>
              <w:pStyle w:val="Compact"/>
              <w:jc w:val="left"/>
            </w:pPr>
            <w:r>
              <w:t xml:space="preserve">1y, 3/, 1c, 5s, 2h, 3i</w:t>
            </w:r>
          </w:p>
        </w:tc>
        <w:tc>
          <w:tcPr/>
          <w:p>
            <w:pPr>
              <w:pStyle w:val="Compact"/>
              <w:jc w:val="right"/>
            </w:pPr>
            <w:r>
              <w:t xml:space="preserve">15</w:t>
            </w:r>
          </w:p>
        </w:tc>
        <w:tc>
          <w:tcPr/>
          <w:p>
            <w:pPr>
              <w:pStyle w:val="Compact"/>
              <w:jc w:val="right"/>
            </w:pPr>
            <w:r>
              <w:t xml:space="preserve">4</w:t>
            </w:r>
          </w:p>
        </w:tc>
        <w:tc>
          <w:tcPr/>
          <w:p>
            <w:pPr>
              <w:pStyle w:val="Compact"/>
              <w:jc w:val="center"/>
            </w:pPr>
            <w:r>
              <w:t xml:space="preserve">1370</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1199</w:t>
            </w:r>
          </w:p>
        </w:tc>
        <w:tc>
          <w:tcPr/>
          <w:p>
            <w:pPr>
              <w:pStyle w:val="Compact"/>
              <w:jc w:val="left"/>
            </w:pPr>
            <w:r>
              <w:t xml:space="preserve">8x, 12y, 10/, 24s, 19i</w:t>
            </w:r>
          </w:p>
        </w:tc>
        <w:tc>
          <w:tcPr/>
          <w:p>
            <w:pPr>
              <w:pStyle w:val="Compact"/>
              <w:jc w:val="right"/>
            </w:pPr>
            <w:r>
              <w:t xml:space="preserve">73</w:t>
            </w:r>
          </w:p>
        </w:tc>
        <w:tc>
          <w:tcPr/>
          <w:p>
            <w:pPr>
              <w:pStyle w:val="Compact"/>
              <w:jc w:val="right"/>
            </w:pPr>
            <w:r>
              <w:t xml:space="preserve">30</w:t>
            </w:r>
          </w:p>
        </w:tc>
        <w:tc>
          <w:tcPr/>
          <w:p>
            <w:pPr>
              <w:pStyle w:val="Compact"/>
              <w:jc w:val="center"/>
            </w:pPr>
            <w:r>
              <w:t xml:space="preserve">XII</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1251</w:t>
            </w:r>
          </w:p>
        </w:tc>
        <w:tc>
          <w:tcPr/>
          <w:p>
            <w:pPr>
              <w:pStyle w:val="Compact"/>
              <w:jc w:val="left"/>
            </w:pPr>
            <w:r>
              <w:t xml:space="preserve">1x, 9y, 4/, 7s, 1h, 7i</w:t>
            </w:r>
          </w:p>
        </w:tc>
        <w:tc>
          <w:tcPr/>
          <w:p>
            <w:pPr>
              <w:pStyle w:val="Compact"/>
              <w:jc w:val="right"/>
            </w:pPr>
            <w:r>
              <w:t xml:space="preserve">29</w:t>
            </w:r>
          </w:p>
        </w:tc>
        <w:tc>
          <w:tcPr/>
          <w:p>
            <w:pPr>
              <w:pStyle w:val="Compact"/>
              <w:jc w:val="right"/>
            </w:pPr>
            <w:r>
              <w:t xml:space="preserve">14</w:t>
            </w:r>
          </w:p>
        </w:tc>
        <w:tc>
          <w:tcPr/>
          <w:p>
            <w:pPr>
              <w:pStyle w:val="Compact"/>
              <w:jc w:val="center"/>
            </w:pPr>
            <w:r>
              <w:t xml:space="preserve">XIII</w:t>
            </w:r>
          </w:p>
        </w:tc>
        <w:tc>
          <w:tcPr/>
          <w:p>
            <w:pPr>
              <w:pStyle w:val="Compact"/>
              <w:jc w:val="left"/>
            </w:pPr>
            <w:r>
              <w:t xml:space="preserve">Synaj</w:t>
            </w:r>
          </w:p>
        </w:tc>
        <w:tc>
          <w:tcPr/>
          <w:p>
            <w:pPr>
              <w:pStyle w:val="Compact"/>
              <w:jc w:val="center"/>
            </w:pPr>
            <w:r>
              <w:t xml:space="preserve">eap</w:t>
            </w:r>
          </w:p>
        </w:tc>
      </w:tr>
      <w:tr>
        <w:tc>
          <w:tcPr/>
          <w:p>
            <w:pPr>
              <w:pStyle w:val="Compact"/>
              <w:jc w:val="right"/>
            </w:pPr>
            <w:r>
              <w:t xml:space="preserve">1339</w:t>
            </w:r>
          </w:p>
        </w:tc>
        <w:tc>
          <w:tcPr/>
          <w:p>
            <w:pPr>
              <w:pStyle w:val="Compact"/>
              <w:jc w:val="left"/>
            </w:pPr>
            <w:r>
              <w:t xml:space="preserve">2x, 1y, 1/, 1s, 1i</w:t>
            </w:r>
          </w:p>
        </w:tc>
        <w:tc>
          <w:tcPr/>
          <w:p>
            <w:pPr>
              <w:pStyle w:val="Compact"/>
              <w:jc w:val="right"/>
            </w:pPr>
            <w:r>
              <w:t xml:space="preserve">6</w:t>
            </w:r>
          </w:p>
        </w:tc>
        <w:tc>
          <w:tcPr/>
          <w:p>
            <w:pPr>
              <w:pStyle w:val="Compact"/>
              <w:jc w:val="right"/>
            </w:pPr>
            <w:r>
              <w:t xml:space="preserve">4</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1384</w:t>
            </w:r>
          </w:p>
        </w:tc>
        <w:tc>
          <w:tcPr/>
          <w:p>
            <w:pPr>
              <w:pStyle w:val="Compact"/>
              <w:jc w:val="left"/>
            </w:pPr>
            <w:r>
              <w:t xml:space="preserve">1x, 8y, 1/, 1c, 7s, 1h, 4i</w:t>
            </w:r>
          </w:p>
        </w:tc>
        <w:tc>
          <w:tcPr/>
          <w:p>
            <w:pPr>
              <w:pStyle w:val="Compact"/>
              <w:jc w:val="right"/>
            </w:pPr>
            <w:r>
              <w:t xml:space="preserve">23</w:t>
            </w:r>
          </w:p>
        </w:tc>
        <w:tc>
          <w:tcPr/>
          <w:p>
            <w:pPr>
              <w:pStyle w:val="Compact"/>
              <w:jc w:val="right"/>
            </w:pPr>
            <w:r>
              <w:t xml:space="preserve">10</w:t>
            </w:r>
          </w:p>
        </w:tc>
        <w:tc>
          <w:tcPr/>
          <w:p>
            <w:pPr>
              <w:pStyle w:val="Compact"/>
              <w:jc w:val="center"/>
            </w:pPr>
            <w:r>
              <w:t xml:space="preserve">XI</w:t>
            </w:r>
          </w:p>
        </w:tc>
        <w:tc>
          <w:tcPr/>
          <w:p>
            <w:pPr>
              <w:pStyle w:val="Compact"/>
              <w:jc w:val="left"/>
            </w:pPr>
            <w:r>
              <w:t xml:space="preserve">Andros</w:t>
            </w:r>
          </w:p>
        </w:tc>
        <w:tc>
          <w:tcPr/>
          <w:p>
            <w:pPr>
              <w:pStyle w:val="Compact"/>
              <w:jc w:val="center"/>
            </w:pPr>
            <w:r>
              <w:t xml:space="preserve">eapr</w:t>
            </w:r>
          </w:p>
        </w:tc>
      </w:tr>
      <w:tr>
        <w:tc>
          <w:tcPr/>
          <w:p>
            <w:pPr>
              <w:pStyle w:val="Compact"/>
              <w:jc w:val="right"/>
            </w:pPr>
            <w:r>
              <w:t xml:space="preserve">1435</w:t>
            </w:r>
          </w:p>
        </w:tc>
        <w:tc>
          <w:tcPr/>
          <w:p>
            <w:pPr>
              <w:pStyle w:val="Compact"/>
              <w:jc w:val="left"/>
            </w:pPr>
            <w:r>
              <w:t xml:space="preserve">4y, 1/, 10s</w:t>
            </w:r>
          </w:p>
        </w:tc>
        <w:tc>
          <w:tcPr/>
          <w:p>
            <w:pPr>
              <w:pStyle w:val="Compact"/>
              <w:jc w:val="right"/>
            </w:pPr>
            <w:r>
              <w:t xml:space="preserve">15</w:t>
            </w:r>
          </w:p>
        </w:tc>
        <w:tc>
          <w:tcPr/>
          <w:p>
            <w:pPr>
              <w:pStyle w:val="Compact"/>
              <w:jc w:val="right"/>
            </w:pPr>
            <w:r>
              <w:t xml:space="preserve">5</w:t>
            </w:r>
          </w:p>
        </w:tc>
        <w:tc>
          <w:tcPr/>
          <w:p>
            <w:pPr>
              <w:pStyle w:val="Compact"/>
              <w:jc w:val="center"/>
            </w:pPr>
            <w:r>
              <w:t xml:space="preserve">XI</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1461</w:t>
            </w:r>
          </w:p>
        </w:tc>
        <w:tc>
          <w:tcPr/>
          <w:p>
            <w:pPr>
              <w:pStyle w:val="Compact"/>
              <w:jc w:val="left"/>
            </w:pPr>
            <w:r>
              <w:t xml:space="preserve">1y, 3s</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1496</w:t>
            </w:r>
          </w:p>
        </w:tc>
        <w:tc>
          <w:tcPr/>
          <w:p>
            <w:pPr>
              <w:pStyle w:val="Compact"/>
              <w:jc w:val="left"/>
            </w:pPr>
            <w:r>
              <w:t xml:space="preserve">1y, 2s, 1i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1503</w:t>
            </w:r>
          </w:p>
        </w:tc>
        <w:tc>
          <w:tcPr/>
          <w:p>
            <w:pPr>
              <w:pStyle w:val="Compact"/>
              <w:jc w:val="left"/>
            </w:pPr>
            <w:r>
              <w:t xml:space="preserve">2/, 1c, 2s, 1i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1572</w:t>
            </w:r>
          </w:p>
        </w:tc>
        <w:tc>
          <w:tcPr/>
          <w:p>
            <w:pPr>
              <w:pStyle w:val="Compact"/>
              <w:jc w:val="left"/>
            </w:pPr>
            <w:r>
              <w:t xml:space="preserve">3y, 1/, 3s</w:t>
            </w:r>
          </w:p>
        </w:tc>
        <w:tc>
          <w:tcPr/>
          <w:p>
            <w:pPr>
              <w:pStyle w:val="Compact"/>
              <w:jc w:val="right"/>
            </w:pPr>
            <w:r>
              <w:t xml:space="preserve">7</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1628</w:t>
            </w:r>
          </w:p>
        </w:tc>
        <w:tc>
          <w:tcPr/>
          <w:p>
            <w:pPr>
              <w:pStyle w:val="Compact"/>
              <w:jc w:val="left"/>
            </w:pPr>
            <w:r>
              <w:t xml:space="preserve">1y, 5s, 1h, 2i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1400</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2y, 2s, 2i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1s, 2i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XVI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1667</w:t>
            </w:r>
          </w:p>
        </w:tc>
        <w:tc>
          <w:tcPr/>
          <w:p>
            <w:pPr>
              <w:pStyle w:val="Compact"/>
              <w:jc w:val="left"/>
            </w:pPr>
            <w:r>
              <w:t xml:space="preserve">5y, 2/, 1c, 8s</w:t>
            </w:r>
          </w:p>
        </w:tc>
        <w:tc>
          <w:tcPr/>
          <w:p>
            <w:pPr>
              <w:pStyle w:val="Compact"/>
              <w:jc w:val="right"/>
            </w:pPr>
            <w:r>
              <w:t xml:space="preserve">16</w:t>
            </w:r>
          </w:p>
        </w:tc>
        <w:tc>
          <w:tcPr/>
          <w:p>
            <w:pPr>
              <w:pStyle w:val="Compact"/>
              <w:jc w:val="right"/>
            </w:pPr>
            <w:r>
              <w:t xml:space="preserve">7</w:t>
            </w:r>
          </w:p>
        </w:tc>
        <w:tc>
          <w:tcPr/>
          <w:p>
            <w:pPr>
              <w:pStyle w:val="Compact"/>
              <w:jc w:val="center"/>
            </w:pPr>
            <w:r>
              <w:t xml:space="preserve">1309</w:t>
            </w:r>
          </w:p>
        </w:tc>
        <w:tc>
          <w:tcPr/>
          <w:p>
            <w:pPr>
              <w:pStyle w:val="Compact"/>
              <w:jc w:val="left"/>
            </w:pPr>
            <w:r>
              <w:t xml:space="preserve">Panteleimonos</w:t>
            </w:r>
          </w:p>
        </w:tc>
        <w:tc>
          <w:tcPr/>
          <w:p>
            <w:pPr>
              <w:pStyle w:val="Compact"/>
              <w:jc w:val="center"/>
            </w:pPr>
            <w:r>
              <w:t xml:space="preserve">e</w:t>
            </w:r>
          </w:p>
        </w:tc>
      </w:tr>
      <w:tr>
        <w:tc>
          <w:tcPr/>
          <w:p>
            <w:pPr>
              <w:pStyle w:val="Compact"/>
              <w:jc w:val="right"/>
            </w:pPr>
            <w:r>
              <w:t xml:space="preserve">1705</w:t>
            </w:r>
          </w:p>
        </w:tc>
        <w:tc>
          <w:tcPr/>
          <w:p>
            <w:pPr>
              <w:pStyle w:val="Compact"/>
              <w:jc w:val="left"/>
            </w:pPr>
            <w:r>
              <w:t xml:space="preserve">1x, 15y, 4/, 13s, 1h, 4i</w:t>
            </w:r>
          </w:p>
        </w:tc>
        <w:tc>
          <w:tcPr/>
          <w:p>
            <w:pPr>
              <w:pStyle w:val="Compact"/>
              <w:jc w:val="right"/>
            </w:pPr>
            <w:r>
              <w:t xml:space="preserve">38</w:t>
            </w:r>
          </w:p>
        </w:tc>
        <w:tc>
          <w:tcPr/>
          <w:p>
            <w:pPr>
              <w:pStyle w:val="Compact"/>
              <w:jc w:val="right"/>
            </w:pPr>
            <w:r>
              <w:t xml:space="preserve">20</w:t>
            </w:r>
          </w:p>
        </w:tc>
        <w:tc>
          <w:tcPr/>
          <w:p>
            <w:pPr>
              <w:pStyle w:val="Compact"/>
              <w:jc w:val="center"/>
            </w:pPr>
            <w:r>
              <w:t xml:space="preserve">XIV</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1713</w:t>
            </w:r>
          </w:p>
        </w:tc>
        <w:tc>
          <w:tcPr/>
          <w:p>
            <w:pPr>
              <w:pStyle w:val="Compact"/>
              <w:jc w:val="left"/>
            </w:pPr>
            <w:r>
              <w:t xml:space="preserve">1y, 2c, 2s</w:t>
            </w:r>
          </w:p>
        </w:tc>
        <w:tc>
          <w:tcPr/>
          <w:p>
            <w:pPr>
              <w:pStyle w:val="Compact"/>
              <w:jc w:val="right"/>
            </w:pPr>
            <w:r>
              <w:t xml:space="preserve">5</w:t>
            </w:r>
          </w:p>
        </w:tc>
        <w:tc>
          <w:tcPr/>
          <w:p>
            <w:pPr>
              <w:pStyle w:val="Compact"/>
              <w:jc w:val="right"/>
            </w:pPr>
            <w:r>
              <w:t xml:space="preserve">1</w:t>
            </w:r>
          </w:p>
        </w:tc>
        <w:tc>
          <w:tcPr/>
          <w:p>
            <w:pPr>
              <w:pStyle w:val="Compact"/>
              <w:jc w:val="center"/>
            </w:pPr>
            <w:r>
              <w:t xml:space="preserve">XV</w:t>
            </w:r>
          </w:p>
        </w:tc>
        <w:tc>
          <w:tcPr/>
          <w:p>
            <w:pPr>
              <w:pStyle w:val="Compact"/>
              <w:jc w:val="left"/>
            </w:pPr>
            <w:r>
              <w:t xml:space="preserve">Lesbos</w:t>
            </w:r>
          </w:p>
        </w:tc>
        <w:tc>
          <w:tcPr/>
          <w:p>
            <w:pPr>
              <w:pStyle w:val="Compact"/>
              <w:jc w:val="center"/>
            </w:pPr>
            <w:r>
              <w:t xml:space="preserve">e</w:t>
            </w:r>
          </w:p>
        </w:tc>
      </w:tr>
      <w:tr>
        <w:tc>
          <w:tcPr/>
          <w:p>
            <w:pPr>
              <w:pStyle w:val="Compact"/>
              <w:jc w:val="right"/>
            </w:pPr>
            <w:r>
              <w:t xml:space="preserve">2122</w:t>
            </w:r>
          </w:p>
        </w:tc>
        <w:tc>
          <w:tcPr/>
          <w:p>
            <w:pPr>
              <w:pStyle w:val="Compact"/>
              <w:jc w:val="left"/>
            </w:pPr>
            <w:r>
              <w:t xml:space="preserve">5y, 5s</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XII</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2221</w:t>
            </w:r>
          </w:p>
        </w:tc>
        <w:tc>
          <w:tcPr/>
          <w:p>
            <w:pPr>
              <w:pStyle w:val="Compact"/>
              <w:jc w:val="left"/>
            </w:pPr>
            <w:r>
              <w:t xml:space="preserve">6x, 15y, 1/, 2s, 1h</w:t>
            </w:r>
          </w:p>
        </w:tc>
        <w:tc>
          <w:tcPr/>
          <w:p>
            <w:pPr>
              <w:pStyle w:val="Compact"/>
              <w:jc w:val="right"/>
            </w:pPr>
            <w:r>
              <w:t xml:space="preserve">25</w:t>
            </w:r>
          </w:p>
        </w:tc>
        <w:tc>
          <w:tcPr/>
          <w:p>
            <w:pPr>
              <w:pStyle w:val="Compact"/>
              <w:jc w:val="right"/>
            </w:pPr>
            <w:r>
              <w:t xml:space="preserve">22</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eap</w:t>
            </w:r>
          </w:p>
        </w:tc>
      </w:tr>
      <w:tr>
        <w:tc>
          <w:tcPr/>
          <w:p>
            <w:pPr>
              <w:pStyle w:val="Compact"/>
              <w:jc w:val="right"/>
            </w:pPr>
            <w:r>
              <w:t xml:space="preserve">2253</w:t>
            </w:r>
          </w:p>
        </w:tc>
        <w:tc>
          <w:tcPr/>
          <w:p>
            <w:pPr>
              <w:pStyle w:val="Compact"/>
              <w:jc w:val="left"/>
            </w:pPr>
            <w:r>
              <w:t xml:space="preserve">1y, 1s,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2261</w:t>
            </w:r>
          </w:p>
        </w:tc>
        <w:tc>
          <w:tcPr/>
          <w:p>
            <w:pPr>
              <w:pStyle w:val="Compact"/>
              <w:jc w:val="left"/>
            </w:pPr>
            <w:r>
              <w:t xml:space="preserve">10y, 9/, 3c, 1s, 3i</w:t>
            </w:r>
          </w:p>
        </w:tc>
        <w:tc>
          <w:tcPr/>
          <w:p>
            <w:pPr>
              <w:pStyle w:val="Compact"/>
              <w:jc w:val="right"/>
            </w:pPr>
            <w:r>
              <w:t xml:space="preserve">26</w:t>
            </w:r>
          </w:p>
        </w:tc>
        <w:tc>
          <w:tcPr/>
          <w:p>
            <w:pPr>
              <w:pStyle w:val="Compact"/>
              <w:jc w:val="right"/>
            </w:pPr>
            <w:r>
              <w:t xml:space="preserve">19</w:t>
            </w:r>
          </w:p>
        </w:tc>
        <w:tc>
          <w:tcPr/>
          <w:p>
            <w:pPr>
              <w:pStyle w:val="Compact"/>
              <w:jc w:val="center"/>
            </w:pPr>
            <w:r>
              <w:t xml:space="preserve">XIV</w:t>
            </w:r>
          </w:p>
        </w:tc>
        <w:tc>
          <w:tcPr/>
          <w:p>
            <w:pPr>
              <w:pStyle w:val="Compact"/>
              <w:jc w:val="left"/>
            </w:pPr>
            <w:r>
              <w:t xml:space="preserve">Kalawrita</w:t>
            </w:r>
          </w:p>
        </w:tc>
        <w:tc>
          <w:tcPr/>
          <w:p>
            <w:pPr>
              <w:pStyle w:val="Compact"/>
              <w:jc w:val="center"/>
            </w:pPr>
            <w:r>
              <w:t xml:space="preserve">eap</w:t>
            </w:r>
          </w:p>
        </w:tc>
      </w:tr>
      <w:tr>
        <w:tc>
          <w:tcPr/>
          <w:p>
            <w:pPr>
              <w:pStyle w:val="Compact"/>
              <w:jc w:val="right"/>
            </w:pPr>
            <w:r>
              <w:t xml:space="preserve">2323</w:t>
            </w:r>
          </w:p>
        </w:tc>
        <w:tc>
          <w:tcPr/>
          <w:p>
            <w:pPr>
              <w:pStyle w:val="Compact"/>
              <w:jc w:val="left"/>
            </w:pPr>
            <w:r>
              <w:t xml:space="preserve">10y, 2/, 4c, 4s</w:t>
            </w:r>
          </w:p>
        </w:tc>
        <w:tc>
          <w:tcPr/>
          <w:p>
            <w:pPr>
              <w:pStyle w:val="Compact"/>
              <w:jc w:val="right"/>
            </w:pPr>
            <w:r>
              <w:t xml:space="preserve">20</w:t>
            </w:r>
          </w:p>
        </w:tc>
        <w:tc>
          <w:tcPr/>
          <w:p>
            <w:pPr>
              <w:pStyle w:val="Compact"/>
              <w:jc w:val="right"/>
            </w:pPr>
            <w:r>
              <w:t xml:space="preserve">12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er</w:t>
            </w:r>
          </w:p>
        </w:tc>
      </w:tr>
      <w:tr>
        <w:tc>
          <w:tcPr/>
          <w:p>
            <w:pPr>
              <w:pStyle w:val="Compact"/>
              <w:jc w:val="right"/>
            </w:pPr>
            <w:r>
              <w:t xml:space="preserve">2352</w:t>
            </w:r>
          </w:p>
        </w:tc>
        <w:tc>
          <w:tcPr/>
          <w:p>
            <w:pPr>
              <w:pStyle w:val="Compact"/>
              <w:jc w:val="left"/>
            </w:pPr>
            <w:r>
              <w:t xml:space="preserve">2y, 2/, 4c, 4i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eapr</w:t>
            </w:r>
          </w:p>
        </w:tc>
      </w:tr>
      <w:tr>
        <w:tc>
          <w:tcPr/>
          <w:p>
            <w:pPr>
              <w:pStyle w:val="Compact"/>
              <w:jc w:val="right"/>
            </w:pPr>
            <w:r>
              <w:t xml:space="preserve">2382</w:t>
            </w:r>
          </w:p>
        </w:tc>
        <w:tc>
          <w:tcPr/>
          <w:p>
            <w:pPr>
              <w:pStyle w:val="Compact"/>
              <w:jc w:val="left"/>
            </w:pPr>
            <w:r>
              <w:t xml:space="preserve">1/</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2466</w:t>
            </w:r>
          </w:p>
        </w:tc>
        <w:tc>
          <w:tcPr/>
          <w:p>
            <w:pPr>
              <w:pStyle w:val="Compact"/>
              <w:jc w:val="left"/>
            </w:pPr>
            <w:r>
              <w:t xml:space="preserve">3y, 1/, 3c, 12s, 4i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2503</w:t>
            </w:r>
          </w:p>
        </w:tc>
        <w:tc>
          <w:tcPr/>
          <w:p>
            <w:pPr>
              <w:pStyle w:val="Compact"/>
              <w:jc w:val="left"/>
            </w:pPr>
            <w:r>
              <w:t xml:space="preserve">3y, 1/, 5s, 1i</w:t>
            </w:r>
          </w:p>
        </w:tc>
        <w:tc>
          <w:tcPr/>
          <w:p>
            <w:pPr>
              <w:pStyle w:val="Compact"/>
              <w:jc w:val="right"/>
            </w:pPr>
            <w:r>
              <w:t xml:space="preserve">10</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2554</w:t>
            </w:r>
          </w:p>
        </w:tc>
        <w:tc>
          <w:tcPr/>
          <w:p>
            <w:pPr>
              <w:pStyle w:val="Compact"/>
              <w:jc w:val="left"/>
            </w:pPr>
            <w:r>
              <w:t xml:space="preserve">1/, 1c</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2765</w:t>
            </w:r>
          </w:p>
        </w:tc>
        <w:tc>
          <w:tcPr/>
          <w:p>
            <w:pPr>
              <w:pStyle w:val="Compact"/>
              <w:jc w:val="left"/>
            </w:pPr>
            <w:r>
              <w:t xml:space="preserve">4y, 1/, 1i</w:t>
            </w:r>
          </w:p>
        </w:tc>
        <w:tc>
          <w:tcPr/>
          <w:p>
            <w:pPr>
              <w:pStyle w:val="Compact"/>
              <w:jc w:val="right"/>
            </w:pPr>
            <w:r>
              <w:t xml:space="preserve">6</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Korynt? (Oksford)</w:t>
            </w:r>
          </w:p>
        </w:tc>
        <w:tc>
          <w:tcPr/>
          <w:p>
            <w:pPr>
              <w:pStyle w:val="Compact"/>
              <w:jc w:val="center"/>
            </w:pPr>
            <w:r>
              <w:t xml:space="preserve">e</w:t>
            </w:r>
          </w:p>
        </w:tc>
      </w:tr>
      <w:tr>
        <w:tc>
          <w:tcPr/>
          <w:p>
            <w:pPr>
              <w:pStyle w:val="Compact"/>
              <w:jc w:val="right"/>
            </w:pPr>
            <w:r>
              <w:t xml:space="preserve">2875</w:t>
            </w:r>
          </w:p>
        </w:tc>
        <w:tc>
          <w:tcPr/>
          <w:p>
            <w:pPr>
              <w:pStyle w:val="Compact"/>
              <w:jc w:val="left"/>
            </w:pPr>
            <w:r>
              <w:t xml:space="preserve">1x, 3y, 2/, 1c, 5s, 1i</w:t>
            </w:r>
          </w:p>
        </w:tc>
        <w:tc>
          <w:tcPr/>
          <w:p>
            <w:pPr>
              <w:pStyle w:val="Compact"/>
              <w:jc w:val="right"/>
            </w:pPr>
            <w:r>
              <w:t xml:space="preserve">13</w:t>
            </w:r>
          </w:p>
        </w:tc>
        <w:tc>
          <w:tcPr/>
          <w:p>
            <w:pPr>
              <w:pStyle w:val="Compact"/>
              <w:jc w:val="right"/>
            </w:pPr>
            <w:r>
              <w:t xml:space="preserve">6</w:t>
            </w:r>
          </w:p>
        </w:tc>
        <w:tc>
          <w:tcPr/>
          <w:p>
            <w:pPr>
              <w:pStyle w:val="Compact"/>
              <w:jc w:val="center"/>
            </w:pPr>
            <w:r>
              <w:t xml:space="preserve">1314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2876</w:t>
            </w:r>
          </w:p>
        </w:tc>
        <w:tc>
          <w:tcPr/>
          <w:p>
            <w:pPr>
              <w:pStyle w:val="Compact"/>
              <w:jc w:val="left"/>
            </w:pPr>
            <w:r>
              <w:t xml:space="preserve">2x, 2y, 3/, 13s</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I.2110</w:t>
            </w:r>
          </w:p>
        </w:tc>
        <w:tc>
          <w:tcPr/>
          <w:p>
            <w:pPr>
              <w:pStyle w:val="Compact"/>
              <w:jc w:val="left"/>
            </w:pPr>
            <w:r>
              <w:t xml:space="preserve">2y, 2/, 2c, 1s, 1i</w:t>
            </w:r>
          </w:p>
        </w:tc>
        <w:tc>
          <w:tcPr/>
          <w:p>
            <w:pPr>
              <w:pStyle w:val="Compact"/>
              <w:jc w:val="right"/>
            </w:pPr>
            <w:r>
              <w:t xml:space="preserve">8</w:t>
            </w:r>
          </w:p>
        </w:tc>
        <w:tc>
          <w:tcPr/>
          <w:p>
            <w:pPr>
              <w:pStyle w:val="Compact"/>
              <w:jc w:val="right"/>
            </w:pPr>
            <w:r>
              <w:t xml:space="preserve">4</w:t>
            </w:r>
          </w:p>
        </w:tc>
        <w:tc>
          <w:tcPr/>
          <w:p>
            <w:pPr>
              <w:pStyle w:val="Compact"/>
              <w:jc w:val="center"/>
            </w:pPr>
            <w:r>
              <w:t xml:space="preserve">1322</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L.65</w:t>
            </w:r>
          </w:p>
        </w:tc>
        <w:tc>
          <w:tcPr/>
          <w:p>
            <w:pPr>
              <w:pStyle w:val="Compact"/>
              <w:jc w:val="left"/>
            </w:pPr>
            <w:r>
              <w:t xml:space="preserve">2x, 3y, 2/, 2c, 9s, 2i</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Leukosia</w:t>
            </w:r>
          </w:p>
        </w:tc>
        <w:tc>
          <w:tcPr/>
          <w:p>
            <w:pPr>
              <w:pStyle w:val="Compact"/>
              <w:jc w:val="center"/>
            </w:pPr>
            <w:r>
              <w:t xml:space="preserve">e</w:t>
            </w:r>
          </w:p>
        </w:tc>
      </w:tr>
    </w:tbl>
    <w:p>
      <w:pPr>
        <w:pStyle w:val="BodyText"/>
      </w:pPr>
      <w:r>
        <w:t xml:space="preserve">Jak wybrałem manuskrypty do skolacjonowania? Posłużyłem się tomami</w:t>
      </w:r>
      <w:r>
        <w:t xml:space="preserve"> </w:t>
      </w:r>
      <w:r>
        <w:rPr>
          <w:iCs/>
          <w:i/>
        </w:rPr>
        <w:t xml:space="preserve">TuT</w:t>
      </w:r>
      <w:r>
        <w:t xml:space="preserve"> </w:t>
      </w:r>
      <w:r>
        <w:t xml:space="preserve">dla Ewangelii Marka.</w:t>
      </w:r>
      <w:r>
        <w:t xml:space="preserve"> </w:t>
      </w:r>
      <w:r>
        <w:rPr>
          <w:iCs/>
          <w:i/>
        </w:rPr>
        <w:t xml:space="preserve">INTF</w:t>
      </w:r>
      <w:r>
        <w:t xml:space="preserve"> </w:t>
      </w:r>
      <w:r>
        <w:t xml:space="preserve">skolacjonował około 1700 manuskryptów dla 196 zestawów wariantów (nie wszystkie manuskrypty zachowały się dla wszystkich zestawów). Wyróżniający profil</w:t>
      </w:r>
      <w:r>
        <w:t xml:space="preserve"> </w:t>
      </w:r>
      <w:r>
        <w:rPr>
          <w:bCs/>
          <w:b/>
        </w:rPr>
        <w:t xml:space="preserve">f</w:t>
      </w:r>
      <w:r>
        <w:rPr>
          <w:vertAlign w:val="superscript"/>
          <w:bCs/>
          <w:b/>
        </w:rPr>
        <w:t xml:space="preserve">35</w:t>
      </w:r>
      <w:r>
        <w:t xml:space="preserve"> </w:t>
      </w:r>
      <w:r>
        <w:t xml:space="preserve">tworzą zaledwie cztery spośród tych 196 zestawów, lecz wystarcza to do zidentyfikowania każdego skolacjonowanego przez nich manuskryptu</w:t>
      </w:r>
      <w:r>
        <w:t xml:space="preserve"> </w:t>
      </w:r>
      <w:r>
        <w:rPr>
          <w:bCs/>
          <w:b/>
        </w:rPr>
        <w:t xml:space="preserve">f</w:t>
      </w:r>
      <w:r>
        <w:rPr>
          <w:vertAlign w:val="superscript"/>
          <w:bCs/>
          <w:b/>
        </w:rPr>
        <w:t xml:space="preserve">35</w:t>
      </w:r>
      <w:r>
        <w:t xml:space="preserve">. Z listy manuskryptów przypuszczalnie należących do</w:t>
      </w:r>
      <w:r>
        <w:t xml:space="preserve"> </w:t>
      </w:r>
      <w:r>
        <w:rPr>
          <w:bCs/>
          <w:b/>
        </w:rPr>
        <w:t xml:space="preserve">f</w:t>
      </w:r>
      <w:r>
        <w:rPr>
          <w:vertAlign w:val="superscript"/>
          <w:bCs/>
          <w:b/>
        </w:rPr>
        <w:t xml:space="preserve">35</w:t>
      </w:r>
      <w:r>
        <w:t xml:space="preserve"> </w:t>
      </w:r>
      <w:r>
        <w:t xml:space="preserve">najpierw wybrałem te, które zapewniały najszersze rozmieszczenie geograficzne. Następnie skoncentrowałem się na manuskryptach o „doskonałym” profilu. Oczywiście ograniczała mnie dostępność manuskryptów w formacie PDF. Dzięki mojemu profilowi rodziny dla całego Nowego Testamentu mogę szybko zidentyfikować każdy manuskrypt</w:t>
      </w:r>
      <w:r>
        <w:t xml:space="preserve"> </w:t>
      </w:r>
      <w:r>
        <w:rPr>
          <w:bCs/>
          <w:b/>
        </w:rPr>
        <w:t xml:space="preserve">f</w:t>
      </w:r>
      <w:r>
        <w:rPr>
          <w:vertAlign w:val="superscript"/>
          <w:bCs/>
          <w:b/>
        </w:rPr>
        <w:t xml:space="preserve">35</w:t>
      </w:r>
      <w:r>
        <w:t xml:space="preserve">, który nie został jeszcze zbadany. W taki sposób na liście znalazły się Iviron 2110 i Leukosia 65 (w chwili pisania tych słów</w:t>
      </w:r>
      <w:r>
        <w:t xml:space="preserve"> </w:t>
      </w:r>
      <w:r>
        <w:rPr>
          <w:iCs/>
          <w:i/>
        </w:rPr>
        <w:t xml:space="preserve">INTF</w:t>
      </w:r>
      <w:r>
        <w:t xml:space="preserve"> </w:t>
      </w:r>
      <w:r>
        <w:t xml:space="preserve">nie nadał im jeszcze numerów).</w:t>
      </w:r>
    </w:p>
    <w:p>
      <w:pPr>
        <w:pStyle w:val="BodyText"/>
      </w:pPr>
      <w:r>
        <w:t xml:space="preserve">Patrząc na tabelę, jedenaście manuskryptów ma średnio tylko jeden wariant na trzy lub więcej rozdziałów — wyjątkowe! (Manuskrypt 586 jest w obecnym stanie niemal doskonały). Kolejnych dziewięć manuskryptów ma tylko jeden wariant na dwa rozdziały — znakomite. Praktycznie 40% jest znakomitych lub lepszych. Kolejnych siedemnaście ma tylko jeden wariant na rozdział — dobre. Kolejnych dwanaście ma dwa warianty na rozdział — dostateczne. Kolejne trzy mają trzy warianty na rozdział — słabe. Jeden manuskrypt ma pięć wariantów na rozdział — marginalny. Zauważ, że zdecydowanie najgorszy spośród pięćdziesięciu trzech przedstawicieli</w:t>
      </w:r>
      <w:r>
        <w:t xml:space="preserve"> </w:t>
      </w:r>
      <w:r>
        <w:rPr>
          <w:bCs/>
          <w:b/>
        </w:rPr>
        <w:t xml:space="preserve">f</w:t>
      </w:r>
      <w:r>
        <w:rPr>
          <w:vertAlign w:val="superscript"/>
          <w:bCs/>
          <w:b/>
        </w:rPr>
        <w:t xml:space="preserve">35</w:t>
      </w:r>
      <w:r>
        <w:t xml:space="preserve"> </w:t>
      </w:r>
      <w:r>
        <w:t xml:space="preserve">(1199, e, XII, Synaj) jest cztery razy „lepszy” od najlepszego aleksandryjskiego przedstawiciela Colwella, Kodeksu L. Zatrzymaj się na chwilę i pomyśl o konsekwencjach. Jak jakakolwiek rozsądna osoba może bronić twierdzenia, że aleksandryjski typ tekstu reprezentuje najlepszą linię przekazu?</w:t>
      </w:r>
      <w:r>
        <w:rPr>
          <w:rStyle w:val="FootnoteReference"/>
        </w:rPr>
        <w:footnoteReference w:id="275"/>
      </w:r>
    </w:p>
    <w:bookmarkEnd w:id="276"/>
    <w:bookmarkStart w:id="278" w:name="przypadek-reprezentatywny"/>
    <w:p>
      <w:pPr>
        <w:pStyle w:val="Heading4"/>
      </w:pPr>
      <w:r>
        <w:rPr>
          <w:iCs/>
          <w:i/>
        </w:rPr>
        <w:t xml:space="preserve">Przypadek reprezentatywny</w:t>
      </w:r>
    </w:p>
    <w:p>
      <w:pPr>
        <w:pStyle w:val="FirstParagraph"/>
      </w:pPr>
      <w:r>
        <w:t xml:space="preserve">W akapicie otwierającym stwierdziłem, że warianty można oceniać. Wezmę teraz jednego z zaledwie „dostatecznych” przedstawicieli</w:t>
      </w:r>
      <w:r>
        <w:t xml:space="preserve"> </w:t>
      </w:r>
      <w:r>
        <w:rPr>
          <w:bCs/>
          <w:b/>
        </w:rPr>
        <w:t xml:space="preserve">f</w:t>
      </w:r>
      <w:r>
        <w:rPr>
          <w:vertAlign w:val="superscript"/>
          <w:bCs/>
          <w:b/>
        </w:rPr>
        <w:t xml:space="preserve">35</w:t>
      </w:r>
      <w:r>
        <w:t xml:space="preserve"> </w:t>
      </w:r>
      <w:r>
        <w:t xml:space="preserve">— manuskrypt 1384, eapr, XI, Andros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1,17</w:t>
            </w:r>
          </w:p>
        </w:tc>
        <w:tc>
          <w:tcPr/>
          <w:p>
            <w:pPr>
              <w:pStyle w:val="Compact"/>
              <w:jc w:val="left"/>
            </w:pPr>
            <w:r>
              <w:t xml:space="preserve">γενεσθαι || --- 1384 (czasownik i tak trzeba domyślnie uzupełnić, znaczenie nie zostaje zmienione)</w:t>
            </w:r>
          </w:p>
        </w:tc>
      </w:tr>
      <w:tr>
        <w:tc>
          <w:tcPr/>
          <w:p>
            <w:pPr>
              <w:pStyle w:val="Compact"/>
              <w:jc w:val="center"/>
            </w:pPr>
            <w:r>
              <w:t xml:space="preserve">1,44</w:t>
            </w:r>
          </w:p>
        </w:tc>
        <w:tc>
          <w:tcPr/>
          <w:p>
            <w:pPr>
              <w:pStyle w:val="Compact"/>
              <w:jc w:val="left"/>
            </w:pPr>
            <w:r>
              <w:t xml:space="preserve">προσενεγκαι || προσενεγκε (75%) 1384 + pięć (form tych używano wymiennie, są więc praktycznie alternatywnymi pisowniami tego samego słowa)</w:t>
            </w:r>
          </w:p>
        </w:tc>
      </w:tr>
      <w:tr>
        <w:tc>
          <w:tcPr/>
          <w:p>
            <w:pPr>
              <w:pStyle w:val="Compact"/>
              <w:jc w:val="center"/>
            </w:pPr>
            <w:r>
              <w:t xml:space="preserve">2,17</w:t>
            </w:r>
          </w:p>
        </w:tc>
        <w:tc>
          <w:tcPr/>
          <w:p>
            <w:pPr>
              <w:pStyle w:val="Compact"/>
              <w:jc w:val="left"/>
            </w:pPr>
            <w:r>
              <w:t xml:space="preserve">εχοντες || 1 και 1384 (jedynie uzupełnił domyślny spójnik, podstawowe znaczenie się nie zmienia)</w:t>
            </w:r>
          </w:p>
        </w:tc>
      </w:tr>
      <w:tr>
        <w:tc>
          <w:tcPr/>
          <w:p>
            <w:pPr>
              <w:pStyle w:val="Compact"/>
              <w:jc w:val="center"/>
            </w:pPr>
            <w:r>
              <w:t xml:space="preserve">3,12</w:t>
            </w:r>
          </w:p>
        </w:tc>
        <w:tc>
          <w:tcPr/>
          <w:p>
            <w:pPr>
              <w:pStyle w:val="Compact"/>
              <w:jc w:val="left"/>
            </w:pPr>
            <w:r>
              <w:t xml:space="preserve">πολλα || --- 1384 (nie zmienia to podstawowego znaczenia)</w:t>
            </w:r>
          </w:p>
        </w:tc>
      </w:tr>
      <w:tr>
        <w:tc>
          <w:tcPr/>
          <w:p>
            <w:pPr>
              <w:pStyle w:val="Compact"/>
              <w:jc w:val="center"/>
            </w:pPr>
            <w:r>
              <w:t xml:space="preserve">3,28</w:t>
            </w:r>
          </w:p>
        </w:tc>
        <w:tc>
          <w:tcPr/>
          <w:p>
            <w:pPr>
              <w:pStyle w:val="Compact"/>
              <w:jc w:val="left"/>
            </w:pPr>
            <w:r>
              <w:t xml:space="preserve">υιοις των ανθρωπων || ανθρωποις 1384 (jest to synonim, nie zmienia podstawowego znaczenia)</w:t>
            </w:r>
          </w:p>
        </w:tc>
      </w:tr>
      <w:tr>
        <w:tc>
          <w:tcPr/>
          <w:p>
            <w:pPr>
              <w:pStyle w:val="Compact"/>
              <w:jc w:val="center"/>
            </w:pPr>
            <w:r>
              <w:t xml:space="preserve">4,24</w:t>
            </w:r>
          </w:p>
        </w:tc>
        <w:tc>
          <w:tcPr/>
          <w:p>
            <w:pPr>
              <w:pStyle w:val="Compact"/>
              <w:jc w:val="left"/>
            </w:pPr>
            <w:r>
              <w:t xml:space="preserve">μετρειτε || μετρειται 1384 (itacyzm powodujący błąd pisowni)</w:t>
            </w:r>
          </w:p>
        </w:tc>
      </w:tr>
      <w:tr>
        <w:tc>
          <w:tcPr/>
          <w:p>
            <w:pPr>
              <w:pStyle w:val="Compact"/>
              <w:jc w:val="center"/>
            </w:pPr>
            <w:r>
              <w:t xml:space="preserve">5,4</w:t>
            </w:r>
          </w:p>
        </w:tc>
        <w:tc>
          <w:tcPr/>
          <w:p>
            <w:pPr>
              <w:pStyle w:val="Compact"/>
              <w:jc w:val="left"/>
            </w:pPr>
            <w:r>
              <w:t xml:space="preserve">αλυσεσιν || αλισεσιν 1384</w:t>
            </w:r>
            <w:r>
              <w:rPr>
                <w:vertAlign w:val="superscript"/>
              </w:rPr>
              <w:t xml:space="preserve">1x</w:t>
            </w:r>
            <w:r>
              <w:t xml:space="preserve"> </w:t>
            </w:r>
            <w:r>
              <w:t xml:space="preserve">(błąd pisowni, gdzie indziej napisał poprawnie)</w:t>
            </w:r>
          </w:p>
        </w:tc>
      </w:tr>
      <w:tr>
        <w:tc>
          <w:tcPr/>
          <w:p>
            <w:pPr>
              <w:pStyle w:val="Compact"/>
              <w:jc w:val="center"/>
            </w:pPr>
            <w:r>
              <w:t xml:space="preserve">5,13</w:t>
            </w:r>
          </w:p>
        </w:tc>
        <w:tc>
          <w:tcPr/>
          <w:p>
            <w:pPr>
              <w:pStyle w:val="Compact"/>
              <w:jc w:val="left"/>
            </w:pPr>
            <w:r>
              <w:t xml:space="preserve">τα ακαθαρτα || --- (1%) 1384 + jeden (łatwy przypadek homoioteleutonu i homoioarktonu)</w:t>
            </w:r>
          </w:p>
        </w:tc>
      </w:tr>
      <w:tr>
        <w:tc>
          <w:tcPr/>
          <w:p>
            <w:pPr>
              <w:pStyle w:val="Compact"/>
              <w:jc w:val="center"/>
            </w:pPr>
            <w:r>
              <w:t xml:space="preserve">5,19</w:t>
            </w:r>
          </w:p>
        </w:tc>
        <w:tc>
          <w:tcPr/>
          <w:p>
            <w:pPr>
              <w:pStyle w:val="Compact"/>
              <w:jc w:val="left"/>
            </w:pPr>
            <w:r>
              <w:t xml:space="preserve">αναγγειλον || αναγκειλον 1384 (alternatywna pisownia)</w:t>
            </w:r>
          </w:p>
        </w:tc>
      </w:tr>
      <w:tr>
        <w:tc>
          <w:tcPr/>
          <w:p>
            <w:pPr>
              <w:pStyle w:val="Compact"/>
              <w:jc w:val="center"/>
            </w:pPr>
            <w:r>
              <w:t xml:space="preserve">5,27</w:t>
            </w:r>
          </w:p>
        </w:tc>
        <w:tc>
          <w:tcPr/>
          <w:p>
            <w:pPr>
              <w:pStyle w:val="Compact"/>
              <w:jc w:val="left"/>
            </w:pPr>
            <w:r>
              <w:t xml:space="preserve">ακουσασα || ακουσα 1384 (przejście z jednego wiersza do następnego)</w:t>
            </w:r>
          </w:p>
        </w:tc>
      </w:tr>
      <w:tr>
        <w:tc>
          <w:tcPr/>
          <w:p>
            <w:pPr>
              <w:pStyle w:val="Compact"/>
              <w:jc w:val="center"/>
            </w:pPr>
            <w:r>
              <w:t xml:space="preserve">6,13</w:t>
            </w:r>
          </w:p>
        </w:tc>
        <w:tc>
          <w:tcPr/>
          <w:p>
            <w:pPr>
              <w:pStyle w:val="Compact"/>
              <w:jc w:val="left"/>
            </w:pPr>
            <w:r>
              <w:t xml:space="preserve">εξεβαλλον || εξεβαλον (10%) 1384 + trzy (imperfekt czy drugi aoryst? jedno „l” mogło zostać przypadkowo opuszczone, w każdym razie różnica znaczeniowa jest niewielka)</w:t>
            </w:r>
          </w:p>
        </w:tc>
      </w:tr>
      <w:tr>
        <w:tc>
          <w:tcPr/>
          <w:p>
            <w:pPr>
              <w:pStyle w:val="Compact"/>
              <w:jc w:val="center"/>
            </w:pPr>
            <w:r>
              <w:t xml:space="preserve">6,20</w:t>
            </w:r>
          </w:p>
        </w:tc>
        <w:tc>
          <w:tcPr/>
          <w:p>
            <w:pPr>
              <w:pStyle w:val="Compact"/>
              <w:jc w:val="left"/>
            </w:pPr>
            <w:r>
              <w:t xml:space="preserve">ακουων 1384</w:t>
            </w:r>
            <w:r>
              <w:rPr>
                <w:vertAlign w:val="superscript"/>
              </w:rPr>
              <w:t xml:space="preserve">alt</w:t>
            </w:r>
            <w:r>
              <w:t xml:space="preserve"> </w:t>
            </w:r>
            <w:r>
              <w:t xml:space="preserve">|| ακουσας (80%) 1384 + dziewięć (czas teraźniejszy czy aoryst? pierwsza ręka umieściła formę czasu teraźniejszego ponad aorystem jako alternatywę, różnica znaczeniowa jest niewielka)</w:t>
            </w:r>
          </w:p>
        </w:tc>
      </w:tr>
      <w:tr>
        <w:tc>
          <w:tcPr/>
          <w:p>
            <w:pPr>
              <w:pStyle w:val="Compact"/>
            </w:pPr>
          </w:p>
        </w:tc>
        <w:tc>
          <w:tcPr/>
          <w:p>
            <w:pPr>
              <w:pStyle w:val="Compact"/>
              <w:jc w:val="left"/>
            </w:pPr>
            <w:r>
              <w:t xml:space="preserve">(w 1384 brakuje 6,20-45)</w:t>
            </w:r>
          </w:p>
        </w:tc>
      </w:tr>
      <w:tr>
        <w:tc>
          <w:tcPr/>
          <w:p>
            <w:pPr>
              <w:pStyle w:val="Compact"/>
              <w:jc w:val="center"/>
            </w:pPr>
            <w:r>
              <w:t xml:space="preserve">6,53</w:t>
            </w:r>
          </w:p>
        </w:tc>
        <w:tc>
          <w:tcPr/>
          <w:p>
            <w:pPr>
              <w:pStyle w:val="Compact"/>
              <w:jc w:val="left"/>
            </w:pPr>
            <w:r>
              <w:t xml:space="preserve">γενησαρετ || γεννησαρετ (53%) 1384 + trzy (alternatywna pisownia)</w:t>
            </w:r>
          </w:p>
        </w:tc>
      </w:tr>
      <w:tr>
        <w:tc>
          <w:tcPr/>
          <w:p>
            <w:pPr>
              <w:pStyle w:val="Compact"/>
              <w:jc w:val="center"/>
            </w:pPr>
            <w:r>
              <w:t xml:space="preserve">7,4</w:t>
            </w:r>
          </w:p>
        </w:tc>
        <w:tc>
          <w:tcPr/>
          <w:p>
            <w:pPr>
              <w:pStyle w:val="Compact"/>
              <w:jc w:val="left"/>
            </w:pPr>
            <w:r>
              <w:t xml:space="preserve">χαλκειων || χαλκιων (70%) 1384 + jeden (itacyzm lub alternatywna pisownia)</w:t>
            </w:r>
          </w:p>
        </w:tc>
      </w:tr>
      <w:tr>
        <w:tc>
          <w:tcPr/>
          <w:p>
            <w:pPr>
              <w:pStyle w:val="Compact"/>
              <w:jc w:val="center"/>
            </w:pPr>
            <w:r>
              <w:t xml:space="preserve">7,26</w:t>
            </w:r>
          </w:p>
        </w:tc>
        <w:tc>
          <w:tcPr/>
          <w:p>
            <w:pPr>
              <w:pStyle w:val="Compact"/>
              <w:jc w:val="left"/>
            </w:pPr>
            <w:r>
              <w:t xml:space="preserve">εκβαλη || εκβαλλη (30%) 1384 + dwa (drugi aoryst czy czas teraźniejszy? w kontekście różnica jest niewielka)</w:t>
            </w:r>
          </w:p>
        </w:tc>
      </w:tr>
      <w:tr>
        <w:tc>
          <w:tcPr/>
          <w:p>
            <w:pPr>
              <w:pStyle w:val="Compact"/>
              <w:jc w:val="center"/>
            </w:pPr>
            <w:r>
              <w:t xml:space="preserve">8,7</w:t>
            </w:r>
          </w:p>
        </w:tc>
        <w:tc>
          <w:tcPr/>
          <w:p>
            <w:pPr>
              <w:pStyle w:val="Compact"/>
              <w:jc w:val="left"/>
            </w:pPr>
            <w:r>
              <w:t xml:space="preserve">παραθειναι || παραθηναι (15%) 1384 + jeden (itacyzm powodujący błąd pisowni)</w:t>
            </w:r>
          </w:p>
        </w:tc>
      </w:tr>
      <w:tr>
        <w:tc>
          <w:tcPr/>
          <w:p>
            <w:pPr>
              <w:pStyle w:val="Compact"/>
              <w:jc w:val="center"/>
            </w:pPr>
            <w:r>
              <w:t xml:space="preserve">8,35</w:t>
            </w:r>
          </w:p>
        </w:tc>
        <w:tc>
          <w:tcPr/>
          <w:p>
            <w:pPr>
              <w:pStyle w:val="Compact"/>
              <w:jc w:val="left"/>
            </w:pPr>
            <w:r>
              <w:t xml:space="preserve">απολεση || απολεσει (5%) 1384 (aoryst w trybie łączącym czy czas przyszły w trybie oznajmującym? w kontekście różnica jest niewielka)</w:t>
            </w:r>
          </w:p>
        </w:tc>
      </w:tr>
      <w:tr>
        <w:tc>
          <w:tcPr/>
          <w:p>
            <w:pPr>
              <w:pStyle w:val="Compact"/>
              <w:jc w:val="center"/>
            </w:pPr>
            <w:r>
              <w:t xml:space="preserve">8,38</w:t>
            </w:r>
          </w:p>
        </w:tc>
        <w:tc>
          <w:tcPr/>
          <w:p>
            <w:pPr>
              <w:pStyle w:val="Compact"/>
              <w:jc w:val="left"/>
            </w:pPr>
            <w:r>
              <w:t xml:space="preserve">μοιχαλιδι || μοιχαλιδη 1384 (itacyzm powodujący błąd pisowni)</w:t>
            </w:r>
          </w:p>
        </w:tc>
      </w:tr>
      <w:tr>
        <w:tc>
          <w:tcPr/>
          <w:p>
            <w:pPr>
              <w:pStyle w:val="Compact"/>
              <w:jc w:val="center"/>
            </w:pPr>
            <w:r>
              <w:t xml:space="preserve">9,19</w:t>
            </w:r>
          </w:p>
        </w:tc>
        <w:tc>
          <w:tcPr/>
          <w:p>
            <w:pPr>
              <w:pStyle w:val="Compact"/>
              <w:jc w:val="left"/>
            </w:pPr>
            <w:r>
              <w:t xml:space="preserve">φερετε || 1 μοι 1384 (niepotrzebne powtórzenie zaimka, które nie zmienia znaczenia)</w:t>
            </w:r>
          </w:p>
        </w:tc>
      </w:tr>
      <w:tr>
        <w:tc>
          <w:tcPr/>
          <w:p>
            <w:pPr>
              <w:pStyle w:val="Compact"/>
              <w:jc w:val="center"/>
            </w:pPr>
            <w:r>
              <w:t xml:space="preserve">9,20</w:t>
            </w:r>
          </w:p>
        </w:tc>
        <w:tc>
          <w:tcPr/>
          <w:p>
            <w:pPr>
              <w:pStyle w:val="Compact"/>
              <w:jc w:val="left"/>
            </w:pPr>
            <w:r>
              <w:t xml:space="preserve">ιδον || ιδων (70%) 1384 + osiem (podmiotem czasownika jest demon czy chłopiec? w kontekście różnica jest niewielka)</w:t>
            </w:r>
          </w:p>
        </w:tc>
      </w:tr>
      <w:tr>
        <w:tc>
          <w:tcPr/>
          <w:p>
            <w:pPr>
              <w:pStyle w:val="Compact"/>
              <w:jc w:val="center"/>
            </w:pPr>
            <w:r>
              <w:t xml:space="preserve">9,40</w:t>
            </w:r>
          </w:p>
        </w:tc>
        <w:tc>
          <w:tcPr/>
          <w:p>
            <w:pPr>
              <w:pStyle w:val="Compact"/>
              <w:jc w:val="left"/>
            </w:pPr>
            <w:r>
              <w:t xml:space="preserve">υμων || ημων (12%) 1384 + trzy (wariant jest gorszy, lecz w kontekście różnica jest niewielka)</w:t>
            </w:r>
          </w:p>
        </w:tc>
      </w:tr>
      <w:tr>
        <w:tc>
          <w:tcPr/>
          <w:p>
            <w:pPr>
              <w:pStyle w:val="Compact"/>
            </w:pPr>
          </w:p>
        </w:tc>
        <w:tc>
          <w:tcPr/>
          <w:p>
            <w:pPr>
              <w:pStyle w:val="Compact"/>
              <w:jc w:val="left"/>
            </w:pPr>
            <w:r>
              <w:t xml:space="preserve">(w 1384 brakuje 10,23-46 oraz 12,16-41)</w:t>
            </w:r>
          </w:p>
        </w:tc>
      </w:tr>
      <w:tr>
        <w:tc>
          <w:tcPr/>
          <w:p>
            <w:pPr>
              <w:pStyle w:val="Compact"/>
              <w:jc w:val="center"/>
            </w:pPr>
            <w:r>
              <w:t xml:space="preserve">12,43</w:t>
            </w:r>
          </w:p>
        </w:tc>
        <w:tc>
          <w:tcPr/>
          <w:p>
            <w:pPr>
              <w:pStyle w:val="Compact"/>
              <w:jc w:val="left"/>
            </w:pPr>
            <w:r>
              <w:t xml:space="preserve">βαλλοντων || βαλοντων (39%) 1384 + sześć (czas teraźniejszy czy drugi aoryst? w kontekście różnica jest niewielka)</w:t>
            </w:r>
          </w:p>
        </w:tc>
      </w:tr>
      <w:tr>
        <w:tc>
          <w:tcPr/>
          <w:p>
            <w:pPr>
              <w:pStyle w:val="Compact"/>
              <w:jc w:val="center"/>
            </w:pPr>
            <w:r>
              <w:t xml:space="preserve">13,28</w:t>
            </w:r>
          </w:p>
        </w:tc>
        <w:tc>
          <w:tcPr/>
          <w:p>
            <w:pPr>
              <w:pStyle w:val="Compact"/>
              <w:jc w:val="left"/>
            </w:pPr>
            <w:r>
              <w:t xml:space="preserve">γινωσκεται || γινωσκετε (75%) 1384</w:t>
            </w:r>
            <w:r>
              <w:rPr>
                <w:vertAlign w:val="superscript"/>
              </w:rPr>
              <w:t xml:space="preserve">alt</w:t>
            </w:r>
            <w:r>
              <w:t xml:space="preserve"> </w:t>
            </w:r>
            <w:r>
              <w:t xml:space="preserve">+ dwa (zobacz 1,44, tylko tutaj jest to wariant alternatywny)</w:t>
            </w:r>
          </w:p>
        </w:tc>
      </w:tr>
      <w:tr>
        <w:tc>
          <w:tcPr/>
          <w:p>
            <w:pPr>
              <w:pStyle w:val="Compact"/>
              <w:jc w:val="center"/>
            </w:pPr>
            <w:r>
              <w:t xml:space="preserve">14,36</w:t>
            </w:r>
          </w:p>
        </w:tc>
        <w:tc>
          <w:tcPr/>
          <w:p>
            <w:pPr>
              <w:pStyle w:val="Compact"/>
              <w:jc w:val="left"/>
            </w:pPr>
            <w:r>
              <w:t xml:space="preserve">παρενεγκαι || παρενεγκε (70%) 1384 + trzy (zobacz 1,44)</w:t>
            </w:r>
          </w:p>
        </w:tc>
      </w:tr>
      <w:tr>
        <w:tc>
          <w:tcPr/>
          <w:p>
            <w:pPr>
              <w:pStyle w:val="Compact"/>
            </w:pPr>
          </w:p>
        </w:tc>
        <w:tc>
          <w:tcPr/>
          <w:p>
            <w:pPr>
              <w:pStyle w:val="Compact"/>
              <w:jc w:val="left"/>
            </w:pPr>
            <w:r>
              <w:t xml:space="preserve">(w 1384 brakuje 15,29-16,7)</w:t>
            </w:r>
          </w:p>
        </w:tc>
      </w:tr>
      <w:tr>
        <w:tc>
          <w:tcPr/>
          <w:p>
            <w:pPr>
              <w:pStyle w:val="Compact"/>
              <w:jc w:val="center"/>
            </w:pPr>
            <w:r>
              <w:t xml:space="preserve">16,9a</w:t>
            </w:r>
          </w:p>
        </w:tc>
        <w:tc>
          <w:tcPr/>
          <w:p>
            <w:pPr>
              <w:pStyle w:val="Compact"/>
              <w:jc w:val="left"/>
            </w:pPr>
            <w:r>
              <w:t xml:space="preserve">μαγδαληνη || μαγδαλινη 1384 (itacyzm powodujący błąd pisowni)</w:t>
            </w:r>
          </w:p>
        </w:tc>
      </w:tr>
      <w:tr>
        <w:tc>
          <w:tcPr/>
          <w:p>
            <w:pPr>
              <w:pStyle w:val="Compact"/>
              <w:jc w:val="center"/>
            </w:pPr>
            <w:r>
              <w:t xml:space="preserve">16,9b</w:t>
            </w:r>
          </w:p>
        </w:tc>
        <w:tc>
          <w:tcPr/>
          <w:p>
            <w:pPr>
              <w:pStyle w:val="Compact"/>
              <w:jc w:val="left"/>
            </w:pPr>
            <w:r>
              <w:t xml:space="preserve">εκβεβληκει || εκβεβληκη 1384 (itacyzm powodujący błąd pisowni)</w:t>
            </w:r>
          </w:p>
        </w:tc>
      </w:tr>
      <w:tr>
        <w:tc>
          <w:tcPr/>
          <w:p>
            <w:pPr>
              <w:pStyle w:val="Compact"/>
              <w:jc w:val="center"/>
            </w:pPr>
            <w:r>
              <w:t xml:space="preserve">16,14</w:t>
            </w:r>
          </w:p>
        </w:tc>
        <w:tc>
          <w:tcPr/>
          <w:p>
            <w:pPr>
              <w:pStyle w:val="Compact"/>
              <w:jc w:val="left"/>
            </w:pPr>
            <w:r>
              <w:t xml:space="preserve">ωνειδισεν || ωνειδησε 1384 (itacyzm powodujący błąd pisowni)</w:t>
            </w:r>
          </w:p>
        </w:tc>
      </w:tr>
    </w:tbl>
    <w:p>
      <w:pPr>
        <w:pStyle w:val="BodyText"/>
      </w:pPr>
      <w:r>
        <w:t xml:space="preserve">Z wyjątkiem czterech przypadków wszędzie chodzi tylko o jedną literę lub sylabę i nigdzie znaczenie nie zostaje poważnie naruszone. Gdyby brakujące strony były dostępne i skolacjonowane, przypuszczalnie doszłaby pewna liczba wariantów, lecz nie różniłyby się one rodzajem od pozostałych.</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 Na przestrzeni stuleci przekazu każdy, kto miał dostęp do przedstawiciela</w:t>
      </w:r>
      <w:r>
        <w:t xml:space="preserve"> </w:t>
      </w:r>
      <w:r>
        <w:rPr>
          <w:bCs/>
          <w:b/>
        </w:rPr>
        <w:t xml:space="preserve">f</w:t>
      </w:r>
      <w:r>
        <w:rPr>
          <w:vertAlign w:val="superscript"/>
          <w:bCs/>
          <w:b/>
        </w:rPr>
        <w:t xml:space="preserve">35</w:t>
      </w:r>
      <w:r>
        <w:t xml:space="preserve">, mógł znać zamierzone znaczenie Autografu.</w:t>
      </w:r>
      <w:r>
        <w:rPr>
          <w:rStyle w:val="FootnoteReference"/>
        </w:rPr>
        <w:footnoteReference w:id="277"/>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bookmarkEnd w:id="278"/>
    <w:bookmarkStart w:id="281" w:name="niewiarygodnie-staranny-przekaz"/>
    <w:p>
      <w:pPr>
        <w:pStyle w:val="Heading4"/>
      </w:pPr>
      <w:r>
        <w:rPr>
          <w:iCs/>
          <w:i/>
        </w:rPr>
        <w:t xml:space="preserve">Niewiarygodnie staranny przekaz</w:t>
      </w:r>
    </w:p>
    <w:p>
      <w:pPr>
        <w:pStyle w:val="FirstParagraph"/>
      </w:pPr>
      <w:r>
        <w:t xml:space="preserve">Ocenię teraz warianty u jedenastu „wyjątkowych” przedstawicieli.</w:t>
      </w:r>
    </w:p>
    <w:p>
      <w:pPr>
        <w:pStyle w:val="BodyText"/>
      </w:pPr>
      <w:r>
        <w:t xml:space="preserve">Manuskrypt 586 ma jeden: 10,35 — ημιν || υμιν 510, 586. Ponieważ manuskrypt 510 ma czternaście wariantów, a 586 nigdzie indziej się z nim nie łączy, najwyraźniej nie ma zależności, są to więc warianty niezależne. W tym wariancie istnieje jednak osobliwy aspekt: jest bezsensowny! Synowie Zebedeusza mówią: „Nauczycielu, chcemy, abyś uczynił dla nas wszystko, o co poprosimy”. Wariant „uczynić dla was (lm.)” jest więc jawnym nonsensem. Czy był to jedynie przypadek itacyzmu? Jeśli tak, jest to jedyny taki przypadek w całej księdze (w 586). Przy kilku okazjach, u różnych kopistów i w różnych księgach, zaobserwowałem podobną sytuację: kopista wykonywał do tego miejsca doskonałą pracę, po czym wprowadzał niemożliwy wariant, w którym czytelnik niemal automatycznie dokona koniecznej poprawki, tak jak tutaj. Zastanawiam się, czy kopista czuł się niegodny sporządzenia doskonałej kopii i celowo wprowadzał oczywisty błąd.</w:t>
      </w:r>
    </w:p>
    <w:p>
      <w:pPr>
        <w:pStyle w:val="BodyText"/>
      </w:pPr>
      <w:r>
        <w:t xml:space="preserve">Manuskrypt 2382 ma jeden: 13,1 — εις || 1 εκ 510, 1117, 2382. Podobnie jak w powyższym przykładzie najwyraźniej nie ma zależności, są to więc warianty niezależne. (Manuskrypt 1117 ma dwanaście wariantów). „Jeden z Jego uczniów powiedział Mu” — przyimek jest domyślny, a jego wyrażenie wprost nie zmienia znaczenia, tłumaczenie pozostaje takie samo.</w:t>
      </w:r>
    </w:p>
    <w:p>
      <w:pPr>
        <w:pStyle w:val="BodyText"/>
      </w:pPr>
      <w:r>
        <w:t xml:space="preserve">Manuskrypt 2554 ma dwa: 2,23 — ποιειν 2554</w:t>
      </w:r>
      <w:r>
        <w:rPr>
          <w:vertAlign w:val="superscript"/>
        </w:rPr>
        <w:t xml:space="preserve">c</w:t>
      </w:r>
      <w:r>
        <w:t xml:space="preserve"> </w:t>
      </w:r>
      <w:r>
        <w:t xml:space="preserve">|| πιειν 1251, 2554, 2765, 15,46 — επι την θυραν || 1 τη θυρα 2554 + jedenastu przedstawicieli rodziny. Pierwszy jest jawnym nonsensem, niezależnymi przypadkami itacyzmu. Kopista 2554 zauważył swój błąd i sam go poprawił, nie jest to więc właściwy wariant. Drugi reprezentuje podział w rodzinie. Przyimek łączy się z trzema przypadkami — dopełniaczem, celownikiem i biernikiem — różnica znaczeniowa jest więc niewielka.</w:t>
      </w:r>
    </w:p>
    <w:p>
      <w:pPr>
        <w:pStyle w:val="BodyText"/>
      </w:pPr>
      <w:r>
        <w:t xml:space="preserve">Manuskrypty 789, 1072 i 2253 mają po trzy, zostaną omówione w tej kolejności. Manuskrypt 789: 1,20 — αυτων || αυτον 789, 1199, 13,31 — παρελευσεται || παρελευσονται (40%) 789 + dwudziestu jeden przedstawicieli rodziny, 16,9 — πρωτη || πρωτον 789. Pierwszy jest niezależnym itacyzmem powodującym nonsens. (Manuskrypt 1199 ma 73 warianty). Drugi został już wyjaśniony w pierwszym przypisie pod „Współczynnikiem staranności kopisty”. Trzeci jest niedorzecznym błędem, w którym kopista najwyraźniej się pogubił i upodobnił końcówkę do końcówki następującego po niej rzeczownika, tyle że wtedy nie ma to sensu — być może spieszył się, by skończyć, będąc tak blisko końca księgi. W każdym razie nie jest to ważny wariant.</w:t>
      </w:r>
    </w:p>
    <w:p>
      <w:pPr>
        <w:pStyle w:val="BodyText"/>
      </w:pPr>
      <w:r>
        <w:t xml:space="preserve">Manuskrypt 1072: 6,22 — ορχησαμενης || ωρχησαμενης 1072, 7,37 — εξεπλησσοντο || εξεπληστο 1072, 9,20 — ιδον || ιδων (70%) 1072 + siedmiu przedstawicieli rodziny. Pierwszy jest przypuszczalnie itacyzmem powodującym alternatywną pisownię tego samego słowa. Drugi jest błędem powstałym przy przejściu z jednego wiersza do następnego i nie jest właściwym wariantem. Co do trzeciego, podmiotem czasownika jest demon czy chłopiec? W kontekście różnica jest niewielka.</w:t>
      </w:r>
    </w:p>
    <w:p>
      <w:pPr>
        <w:pStyle w:val="BodyText"/>
      </w:pPr>
      <w:r>
        <w:t xml:space="preserve">Manuskrypt 2253: 5,36 — ευθεως ακουσας || ~ 21 (1%) 547, 2253, 8,24 — περιπατουντες || περιπαπατουντες 2253, 15,46 — επι την θυραν || 1 τη θυρα 2253 + jedenastu przedstawicieli rodziny. Pierwszy jest przypuszczalnie niezależnym błędem, który nie wpływa na znaczenie. (Manuskrypt 547 ma piętnaście wariantów). Drugi jest przypadkowym powtórzeniem sylaby przy przejściu z jednego wiersza do następnego i nie jest właściwym wariantem. Trzeci omówiono wyżej.</w:t>
      </w:r>
    </w:p>
    <w:p>
      <w:pPr>
        <w:pStyle w:val="BodyText"/>
      </w:pPr>
      <w:r>
        <w:t xml:space="preserve">Manuskrypty 1461, 1496 i 1652 mają po cztery, zostaną omówione w tej kolejności. (Co ciekawe, wszystkie trzy pochodzą z M. Lavras, lecz mają odmienne zestawy wariantów). Manuskrypt 1461: 5,13 — αυτοις || --- 1461, 6,15 — δε || --- 1461, 12,6 — οτι || --- 824, 1461, 13,31 — παρελευσεται || παρελευσονται (40%) 1461 + dwudziestu jeden przedstawicieli rodziny. Pierwszy jest przypuszczalnie przypadkowym pominięciem, które nie zmienia znaczenia. Drugie pominięcie również nie wpływa na znaczenie. Trzecie pominięcie, przypuszczalnie niezależne, także nie wpływa na znaczenie. (Manuskrypt 824 ma dziesięć wariantów). Czwarty wariant omówiono wyżej.</w:t>
      </w:r>
    </w:p>
    <w:p>
      <w:pPr>
        <w:pStyle w:val="BodyText"/>
      </w:pPr>
      <w:r>
        <w:t xml:space="preserve">Manuskrypt 1496: 10,43 — εν || --- 1496, 2323, 11,10 — υψιστοις || υυψιστοις 1496, 13,31 — (zobacz wyżej), 14,43 — παραγινεται || 1 ο 1496. Pierwszy jest niezależnym pominięciem, wskutek którego przyimek staje się domyślny. (Manuskrypt 2323 ma dwadzieścia wariantów). Drugi jest przypadkowym powtórzeniem samogłoski przy przejściu z jednego wiersza do następnego i nie jest właściwym wariantem. Trzeci wariant omówiono wyżej. Czwarty jest „naturalnym” dodaniem rodzajnika, które nie wpływa na znaczenie.</w:t>
      </w:r>
    </w:p>
    <w:p>
      <w:pPr>
        <w:pStyle w:val="BodyText"/>
      </w:pPr>
      <w:r>
        <w:t xml:space="preserve">Manuskrypt 1652: 8,32 — προσλαβομενος || προσλαβομενον 1652, 11,13 — αυτην || αυτη 1652, 13,6 — πολλοι || πολοι 1652, 13,31 — (zobacz wyżej). Pierwszy jest oczywistym błędem, który każdy czytelnik poprawiłby w myślach. W drugim przypadku przyimek łączy się z obydwoma przypadkami, bez zmiany znaczenia w tym kontekście. Trzeci jest oczywistym błędem pisowni. Czwarty omówiono wyżej.</w:t>
      </w:r>
    </w:p>
    <w:p>
      <w:pPr>
        <w:pStyle w:val="BodyText"/>
      </w:pPr>
      <w:r>
        <w:t xml:space="preserve">Manuskrypty 35 i 1713 mają po pięć, zostaną omówione w tej kolejności. Manuskrypt 35: wszystkie pięć poprawiono do archetypu.</w:t>
      </w:r>
    </w:p>
    <w:p>
      <w:pPr>
        <w:pStyle w:val="BodyText"/>
      </w:pPr>
      <w:r>
        <w:t xml:space="preserve">Manuskrypt 1713: pierwsze dwa poprawiono do archetypu, 9,5 — ηλια || ηλιαν 1705, 1713, 2503, 9,50 — αρτυσετε || αρτυσητε 1713, 13,31 — (zobacz wyżej). Trzeci wydaje się niezależną zmianą z celownika na biernik, chociaż celownik jest wyraźnie poprawny. Znaczenie nie zostaje zmienione. (Manuskrypt 1705 ma 38 wariantów, manuskrypt 2503 ma dziesięć). Czwarty może być itacyzmem, chociaż zmienia tryb. Znaczenie nie zostaje zmienione. Piąty omówiono wyżej.</w:t>
      </w:r>
    </w:p>
    <w:p>
      <w:pPr>
        <w:pStyle w:val="BodyText"/>
      </w:pPr>
      <w:r>
        <w:t xml:space="preserve">Spośród łącznie trzydziestu pięciu wariantów u jedenastu manuskryptów w całej</w:t>
      </w:r>
      <w:r>
        <w:t xml:space="preserve"> </w:t>
      </w:r>
      <w:r>
        <w:rPr>
          <w:u w:val="single"/>
        </w:rPr>
        <w:t xml:space="preserve">księdze Ewangelii Marka</w:t>
      </w:r>
      <w:r>
        <w:rPr>
          <w:rStyle w:val="FootnoteReference"/>
        </w:rPr>
        <w:footnoteReference w:id="279"/>
      </w:r>
      <w:r>
        <w:t xml:space="preserve"> </w:t>
      </w:r>
      <w:r>
        <w:t xml:space="preserve">osiem poprawiono, pozostaje więc dwadzieścia siedem. Co najmniej sześć nie jest właściwymi wariantami, pozostaje więc dwadzieścia jeden. Pięć to powtórzenia wspólnego wariantu, pozostaje więc szesnaście.</w:t>
      </w:r>
      <w:r>
        <w:rPr>
          <w:rStyle w:val="FootnoteReference"/>
        </w:rPr>
        <w:footnoteReference w:id="280"/>
      </w:r>
      <w:r>
        <w:t xml:space="preserve"> </w:t>
      </w:r>
      <w:r>
        <w:t xml:space="preserve">Większość z nich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 współczynnika staranności kopisty.</w:t>
      </w:r>
    </w:p>
    <w:bookmarkEnd w:id="281"/>
    <w:bookmarkStart w:id="282" w:name="spostrzeżenia"/>
    <w:p>
      <w:pPr>
        <w:pStyle w:val="Heading4"/>
      </w:pPr>
      <w:r>
        <w:rPr>
          <w:iCs/>
          <w:i/>
        </w:rPr>
        <w:t xml:space="preserve">Spostrzeżenia</w:t>
      </w:r>
    </w:p>
    <w:p>
      <w:pPr>
        <w:numPr>
          <w:ilvl w:val="0"/>
          <w:numId w:val="1017"/>
        </w:numPr>
      </w:pPr>
      <w:r>
        <w:t xml:space="preserve">Dwie trzecie skolacjonowanych wyżej manuskryptów nie ma wariantów spoza rodziny = brak domieszki. Mnisi wiernie odtwarzali to, co mieli przed sobą.</w:t>
      </w:r>
    </w:p>
    <w:p>
      <w:pPr>
        <w:numPr>
          <w:ilvl w:val="0"/>
          <w:numId w:val="1017"/>
        </w:numPr>
      </w:pPr>
      <w:r>
        <w:t xml:space="preserve">Najbardziej niedbały manuskrypt, 1199, ma również najwięcej wariantów spoza rodziny = kopista był stosunkowo niestaranny i nie troszczył się o czystość. (Gdyby jednak reprezentował jakąkolwiek inną linię przekazu w obrębie masy bizantyjskiej, prawdopodobnie byłby dobrą kopią).</w:t>
      </w:r>
    </w:p>
    <w:p>
      <w:pPr>
        <w:numPr>
          <w:ilvl w:val="0"/>
          <w:numId w:val="1017"/>
        </w:numPr>
      </w:pPr>
      <w:r>
        <w:t xml:space="preserve">Pięć manuskryptów z XI wieku wyraźnie odzwierciedla odrębne egzemplarze (które same prawdopodobnie miały odrębne egzemplarze), archetyp z pewnością istniał więc w okresie uncjalnym.</w:t>
      </w:r>
    </w:p>
    <w:p>
      <w:pPr>
        <w:numPr>
          <w:ilvl w:val="0"/>
          <w:numId w:val="1017"/>
        </w:numPr>
      </w:pPr>
      <w:r>
        <w:t xml:space="preserve">Chociaż precyzyjny profil archetypu jest jasny, jasne jest również, że zachowane manuskrypty odzwierciedlają pewną liczbę odrębnych linii przekazu w obrębie rodziny.</w:t>
      </w:r>
    </w:p>
    <w:p>
      <w:pPr>
        <w:numPr>
          <w:ilvl w:val="0"/>
          <w:numId w:val="1017"/>
        </w:numPr>
      </w:pPr>
      <w:r>
        <w:t xml:space="preserve">Każda próba odtworzenia drzewa rodziny będzie wymagała postulowania sporej liczby węzłów pośrednich, które równie dobrze mogą być oddzielone od siebie stuleciami.</w:t>
      </w:r>
    </w:p>
    <w:p>
      <w:pPr>
        <w:numPr>
          <w:ilvl w:val="0"/>
          <w:numId w:val="1017"/>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82"/>
    <w:bookmarkEnd w:id="283"/>
    <w:bookmarkStart w:id="298" w:name="list-do-rzymian"/>
    <w:p>
      <w:pPr>
        <w:pStyle w:val="Heading3"/>
      </w:pPr>
      <w:r>
        <w:t xml:space="preserve">List do Rzymian</w:t>
      </w:r>
    </w:p>
    <w:p>
      <w:pPr>
        <w:pStyle w:val="FirstParagraph"/>
      </w:pPr>
      <w:r>
        <w:t xml:space="preserve">Zwracam uwagę na poniższe dowody z Listu Pawła do Rzymian. Posłużę się kolacjonowaniem trzech wielkich „aleksandryjskich” manuskryptów przez Reubena Swansona — Kodeksu Alef (01), Kodeksu A (02) i Kodeksu B (03)</w:t>
      </w:r>
      <w:r>
        <w:rPr>
          <w:rStyle w:val="FootnoteReference"/>
        </w:rPr>
        <w:footnoteReference w:id="284"/>
      </w:r>
      <w:r>
        <w:t xml:space="preserve"> </w:t>
      </w:r>
      <w:r>
        <w:t xml:space="preserve">— oraz własnym kolacjonowaniem trzydziestu siedmiu manuskryptów Rodziny 35, w obu przypadkach w całej księdze.</w:t>
      </w:r>
      <w:r>
        <w:rPr>
          <w:rStyle w:val="FootnoteReference"/>
        </w:rPr>
        <w:footnoteReference w:id="285"/>
      </w:r>
    </w:p>
    <w:p>
      <w:pPr>
        <w:pStyle w:val="BodyText"/>
      </w:pPr>
      <w:r>
        <w:t xml:space="preserve">Po prostu skrupulatnie podążałem za Swansonem, sam nie sprawdzałem żadnego z jego manuskryptów. Dokonałem przybliżonego zliczenia, zazwyczaj liczyłem frazę jako jeden wariant i tak samo długie pominięcie. Nie liczyłem</w:t>
      </w:r>
      <w:r>
        <w:t xml:space="preserve"> </w:t>
      </w:r>
      <w:r>
        <w:rPr>
          <w:iCs/>
          <w:i/>
        </w:rPr>
        <w:t xml:space="preserve">nomina sacra</w:t>
      </w:r>
      <w:r>
        <w:t xml:space="preserve">, ruchomego</w:t>
      </w:r>
      <w:r>
        <w:t xml:space="preserve"> </w:t>
      </w:r>
      <w:r>
        <w:rPr>
          <w:iCs/>
          <w:i/>
        </w:rPr>
        <w:t xml:space="preserve">nu</w:t>
      </w:r>
      <w:r>
        <w:t xml:space="preserve">, akcentów ani</w:t>
      </w:r>
      <w:r>
        <w:t xml:space="preserve"> </w:t>
      </w:r>
      <w:r>
        <w:rPr>
          <w:iCs/>
          <w:i/>
        </w:rPr>
        <w:t xml:space="preserve">καθως/καθω</w:t>
      </w:r>
      <w:r>
        <w:t xml:space="preserve">. Swanson kolacjonował zarówno względem UBS</w:t>
      </w:r>
      <w:r>
        <w:rPr>
          <w:vertAlign w:val="superscript"/>
        </w:rPr>
        <w:t xml:space="preserve">4</w:t>
      </w:r>
      <w:r>
        <w:t xml:space="preserve">, jak i oksfordzkiego TR z 1873 roku. Różnica między 3. a 4. wydaniem UBS dotyczy aparatu, tekst jest ten sam, ten, który Kurt Aland raczył nazwać tekstem „standardowym”. Jest to zasadniczo tekst „aleksandryjski” i posłużę się nim jako przedstawicielem hipotetycznego archetypu „aleksandryjskiego” (przyjmuję, że taki jest osąd redaktorów).</w:t>
      </w:r>
    </w:p>
    <w:p>
      <w:pPr>
        <w:pStyle w:val="BodyText"/>
      </w:pPr>
      <w:r>
        <w:t xml:space="preserve">Na podstawie opisanego wyżej przybliżonego zliczenia Kodeks B różnił się od UBS</w:t>
      </w:r>
      <w:r>
        <w:rPr>
          <w:vertAlign w:val="superscript"/>
        </w:rPr>
        <w:t xml:space="preserve">4</w:t>
      </w:r>
      <w:r>
        <w:t xml:space="preserve"> </w:t>
      </w:r>
      <w:r>
        <w:t xml:space="preserve">271 razy, Alef 308 razy, a Kodeks A 333 razy, w całym Liście do Rzymian. Nawet gdyby moje przybliżone zliczenie myliło się o 10, 20 czy nawet 50, nie miałoby to większego znaczenia dla celu tego ćwiczenia:</w:t>
      </w:r>
      <w:r>
        <w:t xml:space="preserve"> </w:t>
      </w:r>
      <w:r>
        <w:rPr>
          <w:bCs/>
          <w:b/>
        </w:rPr>
        <w:t xml:space="preserve">te trzy wielkie kodeksy są żałośnie słabymi przedstawicielami swojego aleksandryjskiego typu tekstu</w:t>
      </w:r>
      <w:r>
        <w:t xml:space="preserve">. Następnie dokonałem jednak drugiego zliczenia, eliminując również alternatywne pisownie tego samego słowa (większość z nich dotyczyła ei/i/e). Na podstawie tego drugiego zliczenia Kodeks B różnił się od UBS</w:t>
      </w:r>
      <w:r>
        <w:rPr>
          <w:vertAlign w:val="superscript"/>
        </w:rPr>
        <w:t xml:space="preserve">4</w:t>
      </w:r>
      <w:r>
        <w:t xml:space="preserve"> </w:t>
      </w:r>
      <w:r>
        <w:t xml:space="preserve">170 razy, Alef 133 razy, a Kodeks A 204 razy. Itacyzmów było bardzo wiele, szczególnie w Alefie. Obraz znacznie się poprawił, lecz te trzy wielkie kodeksy nadal są raczej słabymi przedstawicielami swojego aleksandryjskiego typu tekstu.</w:t>
      </w:r>
    </w:p>
    <w:p>
      <w:pPr>
        <w:pStyle w:val="BodyText"/>
      </w:pPr>
      <w:r>
        <w:t xml:space="preserve">Dla porównania lub kontrastu zwracam uwagę na poniższe dowody z Rodziny 35, również obejmujące cały List do Rzymian.</w:t>
      </w:r>
    </w:p>
    <w:bookmarkStart w:id="289" w:name="f35-w-liście-do-rzymian-dane-surowe"/>
    <w:p>
      <w:pPr>
        <w:pStyle w:val="Heading4"/>
      </w:pPr>
      <w:r>
        <w:rPr>
          <w:iCs/>
          <w:i/>
        </w:rPr>
        <w:t xml:space="preserve">f</w:t>
      </w:r>
      <w:r>
        <w:rPr>
          <w:vertAlign w:val="superscript"/>
          <w:iCs/>
          <w:i/>
        </w:rPr>
        <w:t xml:space="preserve">35</w:t>
      </w:r>
      <w:r>
        <w:rPr>
          <w:iCs/>
          <w:i/>
        </w:rPr>
        <w:t xml:space="preserve"> </w:t>
      </w:r>
      <w:r>
        <w:rPr>
          <w:iCs/>
          <w:i/>
        </w:rPr>
        <w:t xml:space="preserve">w Liście do Rzymian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86"/>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2y, 1s, 1h, 1i</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3c</w:t>
            </w:r>
          </w:p>
        </w:tc>
        <w:tc>
          <w:tcPr/>
          <w:p>
            <w:pPr>
              <w:pStyle w:val="Compact"/>
              <w:jc w:val="right"/>
            </w:pPr>
            <w:r>
              <w:t xml:space="preserve">3</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141</w:t>
            </w:r>
          </w:p>
        </w:tc>
        <w:tc>
          <w:tcPr/>
          <w:p>
            <w:pPr>
              <w:pStyle w:val="Compact"/>
              <w:jc w:val="left"/>
            </w:pPr>
            <w:r>
              <w:t xml:space="preserve">1x, 1c, 4s, 2h, 1i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201</w:t>
            </w:r>
          </w:p>
        </w:tc>
        <w:tc>
          <w:tcPr/>
          <w:p>
            <w:pPr>
              <w:pStyle w:val="Compact"/>
              <w:jc w:val="left"/>
            </w:pPr>
            <w:r>
              <w:t xml:space="preserve">2x, 2/, 1c, 3s, 1i</w:t>
            </w:r>
          </w:p>
        </w:tc>
        <w:tc>
          <w:tcPr/>
          <w:p>
            <w:pPr>
              <w:pStyle w:val="Compact"/>
              <w:jc w:val="right"/>
            </w:pPr>
            <w:r>
              <w:t xml:space="preserve">9</w:t>
            </w:r>
          </w:p>
        </w:tc>
        <w:tc>
          <w:tcPr/>
          <w:p>
            <w:pPr>
              <w:pStyle w:val="Compact"/>
              <w:jc w:val="right"/>
            </w:pPr>
            <w:r>
              <w:t xml:space="preserve">4</w:t>
            </w:r>
          </w:p>
        </w:tc>
        <w:tc>
          <w:tcPr/>
          <w:p>
            <w:pPr>
              <w:pStyle w:val="Compact"/>
              <w:jc w:val="center"/>
            </w:pPr>
            <w:r>
              <w:t xml:space="preserve">1357</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1/, 1h,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386</w:t>
            </w:r>
          </w:p>
        </w:tc>
        <w:tc>
          <w:tcPr/>
          <w:p>
            <w:pPr>
              <w:pStyle w:val="Compact"/>
              <w:jc w:val="left"/>
            </w:pPr>
            <w:r>
              <w:t xml:space="preserve">2y, 2s, 1h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394</w:t>
            </w:r>
          </w:p>
        </w:tc>
        <w:tc>
          <w:tcPr/>
          <w:p>
            <w:pPr>
              <w:pStyle w:val="Compact"/>
              <w:jc w:val="left"/>
            </w:pPr>
            <w:r>
              <w:t xml:space="preserve">2y, 3/, 4s, 1i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eap</w:t>
            </w:r>
          </w:p>
        </w:tc>
      </w:tr>
      <w:tr>
        <w:tc>
          <w:tcPr/>
          <w:p>
            <w:pPr>
              <w:pStyle w:val="Compact"/>
              <w:jc w:val="right"/>
            </w:pPr>
            <w:r>
              <w:t xml:space="preserve">757</w:t>
            </w:r>
          </w:p>
        </w:tc>
        <w:tc>
          <w:tcPr/>
          <w:p>
            <w:pPr>
              <w:pStyle w:val="Compact"/>
              <w:jc w:val="left"/>
            </w:pPr>
            <w:r>
              <w:t xml:space="preserve">1y, 1/, 1c, 3s, 1h</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eapr</w:t>
            </w:r>
          </w:p>
        </w:tc>
      </w:tr>
      <w:tr>
        <w:tc>
          <w:tcPr/>
          <w:p>
            <w:pPr>
              <w:pStyle w:val="Compact"/>
              <w:jc w:val="right"/>
            </w:pPr>
            <w:r>
              <w:t xml:space="preserve">824</w:t>
            </w:r>
          </w:p>
        </w:tc>
        <w:tc>
          <w:tcPr/>
          <w:p>
            <w:pPr>
              <w:pStyle w:val="Compact"/>
              <w:jc w:val="left"/>
            </w:pPr>
            <w:r>
              <w:t xml:space="preserve">1x, 1y, 1/, 1s</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2/</w:t>
            </w:r>
          </w:p>
        </w:tc>
        <w:tc>
          <w:tcPr/>
          <w:p>
            <w:pPr>
              <w:pStyle w:val="Compact"/>
              <w:jc w:val="right"/>
            </w:pPr>
            <w:r>
              <w:t xml:space="preserve">2</w:t>
            </w:r>
          </w:p>
        </w:tc>
        <w:tc>
          <w:tcPr/>
          <w:p>
            <w:pPr>
              <w:pStyle w:val="Compact"/>
              <w:jc w:val="right"/>
            </w:pPr>
            <w:r>
              <w:t xml:space="preserve">2</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986</w:t>
            </w:r>
          </w:p>
        </w:tc>
        <w:tc>
          <w:tcPr/>
          <w:p>
            <w:pPr>
              <w:pStyle w:val="Compact"/>
              <w:jc w:val="left"/>
            </w:pPr>
            <w:r>
              <w:t xml:space="preserve">2y, 1/, 4s, 1i</w:t>
            </w:r>
          </w:p>
        </w:tc>
        <w:tc>
          <w:tcPr/>
          <w:p>
            <w:pPr>
              <w:pStyle w:val="Compact"/>
              <w:jc w:val="right"/>
            </w:pPr>
            <w:r>
              <w:t xml:space="preserve">8</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eapr</w:t>
            </w:r>
          </w:p>
        </w:tc>
      </w:tr>
      <w:tr>
        <w:tc>
          <w:tcPr/>
          <w:p>
            <w:pPr>
              <w:pStyle w:val="Compact"/>
              <w:jc w:val="right"/>
            </w:pPr>
            <w:r>
              <w:t xml:space="preserve">1040</w:t>
            </w:r>
          </w:p>
        </w:tc>
        <w:tc>
          <w:tcPr/>
          <w:p>
            <w:pPr>
              <w:pStyle w:val="Compact"/>
              <w:jc w:val="left"/>
            </w:pPr>
            <w:r>
              <w:t xml:space="preserve">2x, 1y, 1/</w:t>
            </w:r>
          </w:p>
        </w:tc>
        <w:tc>
          <w:tcPr/>
          <w:p>
            <w:pPr>
              <w:pStyle w:val="Compact"/>
              <w:jc w:val="right"/>
            </w:pPr>
            <w:r>
              <w:t xml:space="preserve">4</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1x, 1y, 1/, 4s</w:t>
            </w:r>
          </w:p>
        </w:tc>
        <w:tc>
          <w:tcPr/>
          <w:p>
            <w:pPr>
              <w:pStyle w:val="Compact"/>
              <w:jc w:val="right"/>
            </w:pPr>
            <w:r>
              <w:t xml:space="preserve">7</w:t>
            </w:r>
          </w:p>
        </w:tc>
        <w:tc>
          <w:tcPr/>
          <w:p>
            <w:pPr>
              <w:pStyle w:val="Compact"/>
              <w:jc w:val="right"/>
            </w:pPr>
            <w:r>
              <w:t xml:space="preserve">3</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1x, 1y, 1/, 1s, 1h</w:t>
            </w:r>
          </w:p>
        </w:tc>
        <w:tc>
          <w:tcPr/>
          <w:p>
            <w:pPr>
              <w:pStyle w:val="Compact"/>
              <w:jc w:val="right"/>
            </w:pPr>
            <w:r>
              <w:t xml:space="preserve">5</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1100</w:t>
            </w:r>
          </w:p>
        </w:tc>
        <w:tc>
          <w:tcPr/>
          <w:p>
            <w:pPr>
              <w:pStyle w:val="Compact"/>
              <w:jc w:val="left"/>
            </w:pPr>
            <w:r>
              <w:t xml:space="preserve">1y, 1s</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ap</w:t>
            </w:r>
          </w:p>
        </w:tc>
      </w:tr>
      <w:tr>
        <w:tc>
          <w:tcPr/>
          <w:p>
            <w:pPr>
              <w:pStyle w:val="Compact"/>
              <w:jc w:val="right"/>
            </w:pPr>
            <w:r>
              <w:t xml:space="preserve">1249</w:t>
            </w:r>
          </w:p>
        </w:tc>
        <w:tc>
          <w:tcPr/>
          <w:p>
            <w:pPr>
              <w:pStyle w:val="Compact"/>
              <w:jc w:val="left"/>
            </w:pPr>
            <w:r>
              <w:t xml:space="preserve">1c, 3s, 1i</w:t>
            </w:r>
          </w:p>
        </w:tc>
        <w:tc>
          <w:tcPr/>
          <w:p>
            <w:pPr>
              <w:pStyle w:val="Compact"/>
              <w:jc w:val="right"/>
            </w:pPr>
            <w:r>
              <w:t xml:space="preserve">5</w:t>
            </w:r>
          </w:p>
        </w:tc>
        <w:tc>
          <w:tcPr/>
          <w:p>
            <w:pPr>
              <w:pStyle w:val="Compact"/>
              <w:jc w:val="right"/>
            </w:pPr>
            <w:r>
              <w:t xml:space="preserve">---</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ap</w:t>
            </w:r>
          </w:p>
        </w:tc>
      </w:tr>
      <w:tr>
        <w:tc>
          <w:tcPr/>
          <w:p>
            <w:pPr>
              <w:pStyle w:val="Compact"/>
              <w:jc w:val="right"/>
            </w:pPr>
            <w:r>
              <w:t xml:space="preserve">1482</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1304</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1503</w:t>
            </w:r>
          </w:p>
        </w:tc>
        <w:tc>
          <w:tcPr/>
          <w:p>
            <w:pPr>
              <w:pStyle w:val="Compact"/>
              <w:jc w:val="left"/>
            </w:pPr>
            <w:r>
              <w:t xml:space="preserve">1y, 1/, 1i</w:t>
            </w:r>
          </w:p>
        </w:tc>
        <w:tc>
          <w:tcPr/>
          <w:p>
            <w:pPr>
              <w:pStyle w:val="Compact"/>
              <w:jc w:val="right"/>
            </w:pPr>
            <w:r>
              <w:t xml:space="preserve">3</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1548</w:t>
            </w:r>
          </w:p>
        </w:tc>
        <w:tc>
          <w:tcPr/>
          <w:p>
            <w:pPr>
              <w:pStyle w:val="Compact"/>
              <w:jc w:val="left"/>
            </w:pPr>
            <w:r>
              <w:t xml:space="preserve">1x, 2/, 6s, 3i</w:t>
            </w:r>
          </w:p>
        </w:tc>
        <w:tc>
          <w:tcPr/>
          <w:p>
            <w:pPr>
              <w:pStyle w:val="Compact"/>
              <w:jc w:val="right"/>
            </w:pPr>
            <w:r>
              <w:t xml:space="preserve">12</w:t>
            </w:r>
          </w:p>
        </w:tc>
        <w:tc>
          <w:tcPr/>
          <w:p>
            <w:pPr>
              <w:pStyle w:val="Compact"/>
              <w:jc w:val="right"/>
            </w:pPr>
            <w:r>
              <w:t xml:space="preserve">3</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 1s</w:t>
            </w:r>
          </w:p>
        </w:tc>
        <w:tc>
          <w:tcPr/>
          <w:p>
            <w:pPr>
              <w:pStyle w:val="Compact"/>
              <w:jc w:val="right"/>
            </w:pPr>
            <w:r>
              <w:t xml:space="preserve">3</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1704</w:t>
            </w:r>
          </w:p>
        </w:tc>
        <w:tc>
          <w:tcPr/>
          <w:p>
            <w:pPr>
              <w:pStyle w:val="Compact"/>
              <w:jc w:val="left"/>
            </w:pPr>
            <w:r>
              <w:t xml:space="preserve">1y, 5s, 2h, 5i</w:t>
            </w:r>
          </w:p>
        </w:tc>
        <w:tc>
          <w:tcPr/>
          <w:p>
            <w:pPr>
              <w:pStyle w:val="Compact"/>
              <w:jc w:val="right"/>
            </w:pPr>
            <w:r>
              <w:t xml:space="preserve">13</w:t>
            </w:r>
          </w:p>
        </w:tc>
        <w:tc>
          <w:tcPr/>
          <w:p>
            <w:pPr>
              <w:pStyle w:val="Compact"/>
              <w:jc w:val="right"/>
            </w:pPr>
            <w:r>
              <w:t xml:space="preserve">1</w:t>
            </w:r>
          </w:p>
        </w:tc>
        <w:tc>
          <w:tcPr/>
          <w:p>
            <w:pPr>
              <w:pStyle w:val="Compact"/>
              <w:jc w:val="center"/>
            </w:pPr>
            <w:r>
              <w:t xml:space="preserve">1541</w:t>
            </w:r>
          </w:p>
        </w:tc>
        <w:tc>
          <w:tcPr/>
          <w:p>
            <w:pPr>
              <w:pStyle w:val="Compact"/>
              <w:jc w:val="left"/>
            </w:pPr>
            <w:r>
              <w:t xml:space="preserve">Kutlumusiu</w:t>
            </w:r>
          </w:p>
        </w:tc>
        <w:tc>
          <w:tcPr/>
          <w:p>
            <w:pPr>
              <w:pStyle w:val="Compact"/>
              <w:jc w:val="center"/>
            </w:pPr>
            <w:r>
              <w:t xml:space="preserve">eapr</w:t>
            </w:r>
          </w:p>
        </w:tc>
      </w:tr>
      <w:tr>
        <w:tc>
          <w:tcPr/>
          <w:p>
            <w:pPr>
              <w:pStyle w:val="Compact"/>
              <w:jc w:val="right"/>
            </w:pPr>
            <w:r>
              <w:t xml:space="preserve">1725</w:t>
            </w:r>
          </w:p>
        </w:tc>
        <w:tc>
          <w:tcPr/>
          <w:p>
            <w:pPr>
              <w:pStyle w:val="Compact"/>
              <w:jc w:val="left"/>
            </w:pPr>
            <w:r>
              <w:t xml:space="preserve">1/, 3s, 4i</w:t>
            </w:r>
          </w:p>
        </w:tc>
        <w:tc>
          <w:tcPr/>
          <w:p>
            <w:pPr>
              <w:pStyle w:val="Compact"/>
              <w:jc w:val="right"/>
            </w:pPr>
            <w:r>
              <w:t xml:space="preserve">8</w:t>
            </w:r>
          </w:p>
        </w:tc>
        <w:tc>
          <w:tcPr/>
          <w:p>
            <w:pPr>
              <w:pStyle w:val="Compact"/>
              <w:jc w:val="right"/>
            </w:pPr>
            <w:r>
              <w:t xml:space="preserve">1</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ap</w:t>
            </w:r>
          </w:p>
        </w:tc>
      </w:tr>
      <w:tr>
        <w:tc>
          <w:tcPr/>
          <w:p>
            <w:pPr>
              <w:pStyle w:val="Compact"/>
              <w:jc w:val="right"/>
            </w:pPr>
            <w:r>
              <w:t xml:space="preserve">1732</w:t>
            </w:r>
          </w:p>
        </w:tc>
        <w:tc>
          <w:tcPr/>
          <w:p>
            <w:pPr>
              <w:pStyle w:val="Compact"/>
              <w:jc w:val="left"/>
            </w:pPr>
            <w:r>
              <w:t xml:space="preserve">1x, 1y, 1s, 2h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apr</w:t>
            </w:r>
          </w:p>
        </w:tc>
      </w:tr>
      <w:tr>
        <w:tc>
          <w:tcPr/>
          <w:p>
            <w:pPr>
              <w:pStyle w:val="Compact"/>
              <w:jc w:val="right"/>
            </w:pPr>
            <w:r>
              <w:t xml:space="preserve">1761</w:t>
            </w:r>
          </w:p>
        </w:tc>
        <w:tc>
          <w:tcPr/>
          <w:p>
            <w:pPr>
              <w:pStyle w:val="Compact"/>
              <w:jc w:val="left"/>
            </w:pPr>
            <w:r>
              <w:t xml:space="preserve">2x, 2y, 1c, 3s, 1h</w:t>
            </w:r>
          </w:p>
        </w:tc>
        <w:tc>
          <w:tcPr/>
          <w:p>
            <w:pPr>
              <w:pStyle w:val="Compact"/>
              <w:jc w:val="right"/>
            </w:pPr>
            <w:r>
              <w:t xml:space="preserve">9</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ap</w:t>
            </w:r>
          </w:p>
        </w:tc>
      </w:tr>
      <w:tr>
        <w:tc>
          <w:tcPr/>
          <w:p>
            <w:pPr>
              <w:pStyle w:val="Compact"/>
              <w:jc w:val="right"/>
            </w:pPr>
            <w:r>
              <w:t xml:space="preserve">1855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1856</w:t>
            </w:r>
          </w:p>
        </w:tc>
        <w:tc>
          <w:tcPr/>
          <w:p>
            <w:pPr>
              <w:pStyle w:val="Compact"/>
              <w:jc w:val="left"/>
            </w:pPr>
            <w:r>
              <w:t xml:space="preserve">6x, 1y, 2/, 6s, 1h</w:t>
            </w:r>
          </w:p>
        </w:tc>
        <w:tc>
          <w:tcPr/>
          <w:p>
            <w:pPr>
              <w:pStyle w:val="Compact"/>
              <w:jc w:val="right"/>
            </w:pPr>
            <w:r>
              <w:t xml:space="preserve">16</w:t>
            </w:r>
          </w:p>
        </w:tc>
        <w:tc>
          <w:tcPr/>
          <w:p>
            <w:pPr>
              <w:pStyle w:val="Compact"/>
              <w:jc w:val="right"/>
            </w:pPr>
            <w:r>
              <w:t xml:space="preserve">9</w:t>
            </w:r>
          </w:p>
        </w:tc>
        <w:tc>
          <w:tcPr/>
          <w:p>
            <w:pPr>
              <w:pStyle w:val="Compact"/>
              <w:jc w:val="center"/>
            </w:pPr>
            <w:r>
              <w:t xml:space="preserve">XIV</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1858</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Konstamonitu</w:t>
            </w:r>
          </w:p>
        </w:tc>
        <w:tc>
          <w:tcPr/>
          <w:p>
            <w:pPr>
              <w:pStyle w:val="Compact"/>
              <w:jc w:val="center"/>
            </w:pPr>
            <w:r>
              <w:t xml:space="preserve">ap</w:t>
            </w:r>
          </w:p>
        </w:tc>
      </w:tr>
      <w:tr>
        <w:tc>
          <w:tcPr/>
          <w:p>
            <w:pPr>
              <w:pStyle w:val="Compact"/>
              <w:jc w:val="right"/>
            </w:pPr>
            <w:r>
              <w:t xml:space="preserve">1864</w:t>
            </w:r>
          </w:p>
        </w:tc>
        <w:tc>
          <w:tcPr/>
          <w:p>
            <w:pPr>
              <w:pStyle w:val="Compact"/>
              <w:jc w:val="left"/>
            </w:pPr>
            <w:r>
              <w:t xml:space="preserve">1y, 1/</w:t>
            </w:r>
          </w:p>
        </w:tc>
        <w:tc>
          <w:tcPr/>
          <w:p>
            <w:pPr>
              <w:pStyle w:val="Compact"/>
              <w:jc w:val="right"/>
            </w:pPr>
            <w:r>
              <w:t xml:space="preserve">2</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apr</w:t>
            </w:r>
          </w:p>
        </w:tc>
      </w:tr>
      <w:tr>
        <w:tc>
          <w:tcPr/>
          <w:p>
            <w:pPr>
              <w:pStyle w:val="Compact"/>
              <w:jc w:val="right"/>
            </w:pPr>
            <w:r>
              <w:t xml:space="preserve">1865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apr</w:t>
            </w:r>
          </w:p>
        </w:tc>
      </w:tr>
      <w:tr>
        <w:tc>
          <w:tcPr/>
          <w:p>
            <w:pPr>
              <w:pStyle w:val="Compact"/>
              <w:jc w:val="right"/>
            </w:pPr>
            <w:r>
              <w:t xml:space="preserve">1876</w:t>
            </w:r>
          </w:p>
        </w:tc>
        <w:tc>
          <w:tcPr/>
          <w:p>
            <w:pPr>
              <w:pStyle w:val="Compact"/>
              <w:jc w:val="left"/>
            </w:pPr>
            <w:r>
              <w:t xml:space="preserve">2x, 2/, 12s, 2h, 5i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apr</w:t>
            </w:r>
          </w:p>
        </w:tc>
      </w:tr>
      <w:tr>
        <w:tc>
          <w:tcPr/>
          <w:p>
            <w:pPr>
              <w:pStyle w:val="Compact"/>
              <w:jc w:val="right"/>
            </w:pPr>
            <w:r>
              <w:t xml:space="preserve">1892</w:t>
            </w:r>
          </w:p>
        </w:tc>
        <w:tc>
          <w:tcPr/>
          <w:p>
            <w:pPr>
              <w:pStyle w:val="Compact"/>
              <w:jc w:val="left"/>
            </w:pPr>
            <w:r>
              <w:t xml:space="preserve">3y, 2/, 1c, 12s, 1h, 2i</w:t>
            </w:r>
          </w:p>
        </w:tc>
        <w:tc>
          <w:tcPr/>
          <w:p>
            <w:pPr>
              <w:pStyle w:val="Compact"/>
              <w:jc w:val="right"/>
            </w:pPr>
            <w:r>
              <w:t xml:space="preserve">21</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1897</w:t>
            </w:r>
          </w:p>
        </w:tc>
        <w:tc>
          <w:tcPr/>
          <w:p>
            <w:pPr>
              <w:pStyle w:val="Compact"/>
              <w:jc w:val="left"/>
            </w:pPr>
            <w:r>
              <w:t xml:space="preserve">1/, 4s, 2h, 1i</w:t>
            </w:r>
            <w:r>
              <w:rPr>
                <w:rStyle w:val="FootnoteReference"/>
              </w:rPr>
              <w:footnoteReference w:id="287"/>
            </w:r>
          </w:p>
        </w:tc>
        <w:tc>
          <w:tcPr/>
          <w:p>
            <w:pPr>
              <w:pStyle w:val="Compact"/>
              <w:jc w:val="right"/>
            </w:pPr>
            <w:r>
              <w:t xml:space="preserve">8</w:t>
            </w:r>
          </w:p>
        </w:tc>
        <w:tc>
          <w:tcPr/>
          <w:p>
            <w:pPr>
              <w:pStyle w:val="Compact"/>
              <w:jc w:val="right"/>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2466</w:t>
            </w:r>
          </w:p>
        </w:tc>
        <w:tc>
          <w:tcPr/>
          <w:p>
            <w:pPr>
              <w:pStyle w:val="Compact"/>
              <w:jc w:val="left"/>
            </w:pPr>
            <w:r>
              <w:t xml:space="preserve">2c, 11s, 2i</w:t>
            </w:r>
          </w:p>
        </w:tc>
        <w:tc>
          <w:tcPr/>
          <w:p>
            <w:pPr>
              <w:pStyle w:val="Compact"/>
              <w:jc w:val="right"/>
            </w:pPr>
            <w:r>
              <w:t xml:space="preserve">15</w:t>
            </w:r>
          </w:p>
        </w:tc>
        <w:tc>
          <w:tcPr/>
          <w:p>
            <w:pPr>
              <w:pStyle w:val="Compact"/>
              <w:jc w:val="right"/>
            </w:pPr>
            <w:r>
              <w:t xml:space="preserve">---</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2554</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2587</w:t>
            </w:r>
          </w:p>
        </w:tc>
        <w:tc>
          <w:tcPr/>
          <w:p>
            <w:pPr>
              <w:pStyle w:val="Compact"/>
              <w:jc w:val="left"/>
            </w:pPr>
            <w:r>
              <w:t xml:space="preserve">1/,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ap</w:t>
            </w:r>
          </w:p>
        </w:tc>
      </w:tr>
      <w:tr>
        <w:tc>
          <w:tcPr/>
          <w:p>
            <w:pPr>
              <w:pStyle w:val="Compact"/>
              <w:jc w:val="right"/>
            </w:pPr>
            <w:r>
              <w:t xml:space="preserve">2723</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apr</w:t>
            </w:r>
          </w:p>
        </w:tc>
      </w:tr>
    </w:tbl>
    <w:p>
      <w:pPr>
        <w:pStyle w:val="BodyText"/>
      </w:pPr>
      <w:r>
        <w:t xml:space="preserve">Patrząc na tabelę, osiemnaście manuskryptów ma średnio tylko jeden wariant na cztery lub więcej rozdziałów — wyjątkowe! (Manuskrypty 1482, 2554 i 2723 są doskonałe w obecnym stanie). Kolejnych dziewięć manuskryptów ma tylko jeden wariant na dwa rozdziały — znakomite. Ponad 70% jest znakomitych lub lepszych. Kolejnych osiem ma tylko jeden wariant na rozdział — dobre. Kolejne dwa mają po dwa warianty na rozdział — dostateczne. Zauważ, że zdecydowanie najgorszy spośród trzydziestu siedmiu przedstawicieli</w:t>
      </w:r>
      <w:r>
        <w:t xml:space="preserve"> </w:t>
      </w:r>
      <w:r>
        <w:rPr>
          <w:bCs/>
          <w:b/>
        </w:rPr>
        <w:t xml:space="preserve">f</w:t>
      </w:r>
      <w:r>
        <w:rPr>
          <w:vertAlign w:val="superscript"/>
          <w:bCs/>
          <w:b/>
        </w:rPr>
        <w:t xml:space="preserve">35</w:t>
      </w:r>
      <w:r>
        <w:t xml:space="preserve"> </w:t>
      </w:r>
      <w:r>
        <w:t xml:space="preserve">(1876, apr, XV, Synaj) jest prawie sześć razy „lepszy” od najlepszego przedstawiciela aleksandryjskiego, Kodeksu Alef. Zatrzymaj się na chwilę i pomyśl o konsekwencjach.</w:t>
      </w:r>
      <w:r>
        <w:t xml:space="preserve"> </w:t>
      </w:r>
      <w:r>
        <w:rPr>
          <w:bCs/>
          <w:b/>
        </w:rPr>
        <w:t xml:space="preserve">Jak jakakolwiek rozsądna osoba może bronić twierdzenia, że aleksandryjski typ tekstu reprezentuje najlepszą linię przekazu?</w:t>
      </w:r>
      <w:r>
        <w:rPr>
          <w:rStyle w:val="FootnoteReference"/>
        </w:rPr>
        <w:footnoteReference w:id="288"/>
      </w:r>
    </w:p>
    <w:bookmarkEnd w:id="289"/>
    <w:bookmarkStart w:id="293" w:name="przypadek-reprezentatywny-1"/>
    <w:p>
      <w:pPr>
        <w:pStyle w:val="Heading4"/>
      </w:pPr>
      <w:r>
        <w:rPr>
          <w:iCs/>
          <w:i/>
        </w:rPr>
        <w:t xml:space="preserve">Przypadek reprezentatywny</w:t>
      </w:r>
    </w:p>
    <w:p>
      <w:pPr>
        <w:pStyle w:val="FirstParagraph"/>
      </w:pPr>
      <w:r>
        <w:t xml:space="preserve">W akapicie otwierającym stwierdziłem, że warianty można oceniać. Wezmę teraz jednego z zaledwie dwóch „dostatecznych” przedstawicieli</w:t>
      </w:r>
      <w:r>
        <w:t xml:space="preserve"> </w:t>
      </w:r>
      <w:r>
        <w:rPr>
          <w:bCs/>
          <w:b/>
        </w:rPr>
        <w:t xml:space="preserve">f</w:t>
      </w:r>
      <w:r>
        <w:rPr>
          <w:vertAlign w:val="superscript"/>
          <w:bCs/>
          <w:b/>
        </w:rPr>
        <w:t xml:space="preserve">35</w:t>
      </w:r>
      <w:r>
        <w:t xml:space="preserve"> </w:t>
      </w:r>
      <w:r>
        <w:t xml:space="preserve">— manuskrypt 1892, ap, XIV, Jerozolima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1,6</w:t>
            </w:r>
          </w:p>
        </w:tc>
        <w:tc>
          <w:tcPr/>
          <w:p>
            <w:pPr>
              <w:pStyle w:val="Compact"/>
              <w:jc w:val="left"/>
            </w:pPr>
            <w:r>
              <w:t xml:space="preserve">ημων 1892</w:t>
            </w:r>
            <w:r>
              <w:rPr>
                <w:vertAlign w:val="superscript"/>
              </w:rPr>
              <w:t xml:space="preserve">c</w:t>
            </w:r>
            <w:r>
              <w:t xml:space="preserve"> </w:t>
            </w:r>
            <w:r>
              <w:t xml:space="preserve">|| --- 1892 (przypadkowe pominięcie, które poprawiono)</w:t>
            </w:r>
          </w:p>
        </w:tc>
      </w:tr>
      <w:tr>
        <w:tc>
          <w:tcPr/>
          <w:p>
            <w:pPr>
              <w:pStyle w:val="Compact"/>
              <w:jc w:val="center"/>
            </w:pPr>
            <w:r>
              <w:t xml:space="preserve">2,5</w:t>
            </w:r>
          </w:p>
        </w:tc>
        <w:tc>
          <w:tcPr/>
          <w:p>
            <w:pPr>
              <w:pStyle w:val="Compact"/>
              <w:jc w:val="left"/>
            </w:pPr>
            <w:r>
              <w:t xml:space="preserve">του || --- (grupa 1) 1892 (ponieważ przypadkiem jest dopełniacz, znaczenie nie zostaje naruszone)</w:t>
            </w:r>
          </w:p>
        </w:tc>
      </w:tr>
      <w:tr>
        <w:tc>
          <w:tcPr/>
          <w:p>
            <w:pPr>
              <w:pStyle w:val="Compact"/>
              <w:jc w:val="center"/>
            </w:pPr>
            <w:r>
              <w:t xml:space="preserve">4,21</w:t>
            </w:r>
          </w:p>
        </w:tc>
        <w:tc>
          <w:tcPr/>
          <w:p>
            <w:pPr>
              <w:pStyle w:val="Compact"/>
              <w:jc w:val="left"/>
            </w:pPr>
            <w:r>
              <w:t xml:space="preserve">πληροφορηθεις || πληρωφορηθεις 1892 (itacyzm powodujący błąd pisowni, obie formy wymawiano tak samo)</w:t>
            </w:r>
          </w:p>
        </w:tc>
      </w:tr>
      <w:tr>
        <w:tc>
          <w:tcPr/>
          <w:p>
            <w:pPr>
              <w:pStyle w:val="Compact"/>
              <w:jc w:val="center"/>
            </w:pPr>
            <w:r>
              <w:t xml:space="preserve">5,11</w:t>
            </w:r>
          </w:p>
        </w:tc>
        <w:tc>
          <w:tcPr/>
          <w:p>
            <w:pPr>
              <w:pStyle w:val="Compact"/>
              <w:jc w:val="left"/>
            </w:pPr>
            <w:r>
              <w:t xml:space="preserve">νυν || --- 1892 (niestaranna omyłka, która nie zmienia podstawowego znaczenia)</w:t>
            </w:r>
          </w:p>
        </w:tc>
      </w:tr>
      <w:tr>
        <w:tc>
          <w:tcPr/>
          <w:p>
            <w:pPr>
              <w:pStyle w:val="Compact"/>
              <w:jc w:val="center"/>
            </w:pPr>
            <w:r>
              <w:t xml:space="preserve">5,13</w:t>
            </w:r>
          </w:p>
        </w:tc>
        <w:tc>
          <w:tcPr/>
          <w:p>
            <w:pPr>
              <w:pStyle w:val="Compact"/>
              <w:jc w:val="left"/>
            </w:pPr>
            <w:r>
              <w:t xml:space="preserve">ελλογειται || ελλογειτο 1892 (czy kopista próbował zmienić czas teraźniejszy na imperfekt? Znaczenie nie zostaje zmienione)</w:t>
            </w:r>
          </w:p>
        </w:tc>
      </w:tr>
      <w:tr>
        <w:tc>
          <w:tcPr/>
          <w:p>
            <w:pPr>
              <w:pStyle w:val="Compact"/>
              <w:jc w:val="center"/>
            </w:pPr>
            <w:r>
              <w:t xml:space="preserve">9,15</w:t>
            </w:r>
          </w:p>
        </w:tc>
        <w:tc>
          <w:tcPr/>
          <w:p>
            <w:pPr>
              <w:pStyle w:val="Compact"/>
              <w:jc w:val="left"/>
            </w:pPr>
            <w:r>
              <w:t xml:space="preserve">μωυση || μωυσει 1892 (jedynie alternatywna pisownia imienia własnego)</w:t>
            </w:r>
          </w:p>
        </w:tc>
      </w:tr>
      <w:tr>
        <w:tc>
          <w:tcPr/>
          <w:p>
            <w:pPr>
              <w:pStyle w:val="Compact"/>
              <w:jc w:val="center"/>
            </w:pPr>
            <w:r>
              <w:t xml:space="preserve">9,27</w:t>
            </w:r>
          </w:p>
        </w:tc>
        <w:tc>
          <w:tcPr/>
          <w:p>
            <w:pPr>
              <w:pStyle w:val="Compact"/>
              <w:jc w:val="left"/>
            </w:pPr>
            <w:r>
              <w:t xml:space="preserve">ως η || ωσει 1892 (itacyzm powodujący błąd pisowni, obie formy wymawiano tak samo)</w:t>
            </w:r>
          </w:p>
        </w:tc>
      </w:tr>
      <w:tr>
        <w:tc>
          <w:tcPr/>
          <w:p>
            <w:pPr>
              <w:pStyle w:val="Compact"/>
              <w:jc w:val="center"/>
            </w:pPr>
            <w:r>
              <w:t xml:space="preserve">12,8</w:t>
            </w:r>
          </w:p>
        </w:tc>
        <w:tc>
          <w:tcPr/>
          <w:p>
            <w:pPr>
              <w:pStyle w:val="Compact"/>
              <w:jc w:val="left"/>
            </w:pPr>
            <w:r>
              <w:t xml:space="preserve">1892 uzupełnia na marginesie ο μεταδιδους εν απλοτητι (wyraźny przypadek homoioarktonu lub homoioteleutonu)</w:t>
            </w:r>
          </w:p>
        </w:tc>
      </w:tr>
      <w:tr>
        <w:tc>
          <w:tcPr/>
          <w:p>
            <w:pPr>
              <w:pStyle w:val="Compact"/>
              <w:jc w:val="center"/>
            </w:pPr>
            <w:r>
              <w:t xml:space="preserve">13,11</w:t>
            </w:r>
          </w:p>
        </w:tc>
        <w:tc>
          <w:tcPr/>
          <w:p>
            <w:pPr>
              <w:pStyle w:val="Compact"/>
              <w:jc w:val="left"/>
            </w:pPr>
            <w:r>
              <w:t xml:space="preserve">γαρ || --- 1892 (niestaranna omyłka, która nie zmienia podstawowego znaczenia)</w:t>
            </w:r>
          </w:p>
        </w:tc>
      </w:tr>
      <w:tr>
        <w:tc>
          <w:tcPr/>
          <w:p>
            <w:pPr>
              <w:pStyle w:val="Compact"/>
              <w:jc w:val="center"/>
            </w:pPr>
            <w:r>
              <w:t xml:space="preserve">14,8</w:t>
            </w:r>
          </w:p>
        </w:tc>
        <w:tc>
          <w:tcPr/>
          <w:p>
            <w:pPr>
              <w:pStyle w:val="Compact"/>
              <w:jc w:val="left"/>
            </w:pPr>
            <w:r>
              <w:t xml:space="preserve">αποθνησκομεν || αποθνησκωμεν 1725, 1876, 1892 (itacyzm zmieniający tryb oznajmujący na łączący, co w kontekście powoduje niewielką różnicę, obie formy wymawiano tak samo, dwa pozostałe manuskrypty nie należą do grupy 1, jest to więc zmiana niezależna)</w:t>
            </w:r>
          </w:p>
        </w:tc>
      </w:tr>
      <w:tr>
        <w:tc>
          <w:tcPr/>
          <w:p>
            <w:pPr>
              <w:pStyle w:val="Compact"/>
              <w:jc w:val="center"/>
            </w:pPr>
            <w:r>
              <w:t xml:space="preserve">14,15</w:t>
            </w:r>
          </w:p>
        </w:tc>
        <w:tc>
          <w:tcPr/>
          <w:p>
            <w:pPr>
              <w:pStyle w:val="Compact"/>
              <w:jc w:val="left"/>
            </w:pPr>
            <w:r>
              <w:t xml:space="preserve">χριστος || 1 δωρεαν 1892 (zbędny dodatek, który powoduje niewielką różnicę)</w:t>
            </w:r>
          </w:p>
        </w:tc>
      </w:tr>
      <w:tr>
        <w:tc>
          <w:tcPr/>
          <w:p>
            <w:pPr>
              <w:pStyle w:val="Compact"/>
              <w:jc w:val="center"/>
            </w:pPr>
            <w:r>
              <w:t xml:space="preserve">15,7</w:t>
            </w:r>
          </w:p>
        </w:tc>
        <w:tc>
          <w:tcPr/>
          <w:p>
            <w:pPr>
              <w:pStyle w:val="Compact"/>
              <w:jc w:val="left"/>
            </w:pPr>
            <w:r>
              <w:t xml:space="preserve">αλληλους || αλληλοις 1892 (najwyraźniej — pracując z czarno-białego filmu, trudno mieć pewność, zmienia biernik na celownik, lecz nie zmienia znaczenia)</w:t>
            </w:r>
          </w:p>
        </w:tc>
      </w:tr>
      <w:tr>
        <w:tc>
          <w:tcPr/>
          <w:p>
            <w:pPr>
              <w:pStyle w:val="Compact"/>
              <w:jc w:val="center"/>
            </w:pPr>
            <w:r>
              <w:t xml:space="preserve">15,9</w:t>
            </w:r>
          </w:p>
        </w:tc>
        <w:tc>
          <w:tcPr/>
          <w:p>
            <w:pPr>
              <w:pStyle w:val="Compact"/>
              <w:jc w:val="left"/>
            </w:pPr>
            <w:r>
              <w:t xml:space="preserve">ψαλω || ψαλλω 1892 (prawdopodobnie niestaranna zmiana, lecz zmienia czas przyszły na teraźniejszy, co powoduje niewielką różnicę znaczeniową, obie formy wymawiano tak samo)</w:t>
            </w:r>
          </w:p>
        </w:tc>
      </w:tr>
      <w:tr>
        <w:tc>
          <w:tcPr/>
          <w:p>
            <w:pPr>
              <w:pStyle w:val="Compact"/>
              <w:jc w:val="center"/>
            </w:pPr>
            <w:r>
              <w:t xml:space="preserve">15,13</w:t>
            </w:r>
          </w:p>
        </w:tc>
        <w:tc>
          <w:tcPr/>
          <w:p>
            <w:pPr>
              <w:pStyle w:val="Compact"/>
              <w:jc w:val="left"/>
            </w:pPr>
            <w:r>
              <w:t xml:space="preserve">περισσευειν || περησσευειν 1892 (najwyraźniej — pracując z czarno-białego filmu, trudno mieć pewność, itacyzm powodujący błąd pisowni, obie formy wymawiano tak samo)</w:t>
            </w:r>
          </w:p>
        </w:tc>
      </w:tr>
      <w:tr>
        <w:tc>
          <w:tcPr/>
          <w:p>
            <w:pPr>
              <w:pStyle w:val="Compact"/>
              <w:jc w:val="center"/>
            </w:pPr>
            <w:r>
              <w:t xml:space="preserve">15,29</w:t>
            </w:r>
          </w:p>
        </w:tc>
        <w:tc>
          <w:tcPr/>
          <w:p>
            <w:pPr>
              <w:pStyle w:val="Compact"/>
              <w:jc w:val="left"/>
            </w:pPr>
            <w:r>
              <w:t xml:space="preserve">του χριστου || της ειρηνης 1892 (być może egzemplarz był uszkodzony, w kontekście zmiana powoduje niewielką różnicę)</w:t>
            </w:r>
          </w:p>
        </w:tc>
      </w:tr>
      <w:tr>
        <w:tc>
          <w:tcPr/>
          <w:p>
            <w:pPr>
              <w:pStyle w:val="Compact"/>
              <w:jc w:val="center"/>
            </w:pPr>
            <w:r>
              <w:t xml:space="preserve">15,30</w:t>
            </w:r>
          </w:p>
        </w:tc>
        <w:tc>
          <w:tcPr/>
          <w:p>
            <w:pPr>
              <w:pStyle w:val="Compact"/>
              <w:jc w:val="left"/>
            </w:pPr>
            <w:r>
              <w:t xml:space="preserve">συναγωνισασθαι || συναγωνισασθε 141, 1892 (zmienia tryb oznajmujący na łączący, lecz oba mają ten sam skutek, są dwoma sposobami powiedzenia tego samego, drugi manuskrypt nie należy do grupy 1, jest to więc zmiana niezależna)</w:t>
            </w:r>
          </w:p>
        </w:tc>
      </w:tr>
      <w:tr>
        <w:tc>
          <w:tcPr/>
          <w:p>
            <w:pPr>
              <w:pStyle w:val="Compact"/>
              <w:jc w:val="center"/>
            </w:pPr>
            <w:r>
              <w:t xml:space="preserve">16,2</w:t>
            </w:r>
          </w:p>
        </w:tc>
        <w:tc>
          <w:tcPr/>
          <w:p>
            <w:pPr>
              <w:pStyle w:val="Compact"/>
              <w:jc w:val="left"/>
            </w:pPr>
            <w:r>
              <w:t xml:space="preserve">και γαρ || 121 1892 (niestaranna repetycja spójnika współrzędnego, która nie zmienia znaczenia)</w:t>
            </w:r>
          </w:p>
        </w:tc>
      </w:tr>
      <w:tr>
        <w:tc>
          <w:tcPr/>
          <w:p>
            <w:pPr>
              <w:pStyle w:val="Compact"/>
              <w:jc w:val="center"/>
            </w:pPr>
            <w:r>
              <w:t xml:space="preserve">16,3</w:t>
            </w:r>
          </w:p>
        </w:tc>
        <w:tc>
          <w:tcPr/>
          <w:p>
            <w:pPr>
              <w:pStyle w:val="Compact"/>
              <w:jc w:val="left"/>
            </w:pPr>
            <w:r>
              <w:t xml:space="preserve">πρισκαν || πρισκιλλαν (30%) 394, 1249</w:t>
            </w:r>
            <w:r>
              <w:rPr>
                <w:vertAlign w:val="superscript"/>
              </w:rPr>
              <w:t xml:space="preserve">c</w:t>
            </w:r>
            <w:r>
              <w:t xml:space="preserve">, 1761, 1892 (alternatywne imiona tej samej osoby)</w:t>
            </w:r>
          </w:p>
        </w:tc>
      </w:tr>
      <w:tr>
        <w:tc>
          <w:tcPr/>
          <w:p>
            <w:pPr>
              <w:pStyle w:val="Compact"/>
              <w:jc w:val="center"/>
            </w:pPr>
            <w:r>
              <w:t xml:space="preserve">16,6</w:t>
            </w:r>
          </w:p>
        </w:tc>
        <w:tc>
          <w:tcPr/>
          <w:p>
            <w:pPr>
              <w:pStyle w:val="Compact"/>
              <w:jc w:val="left"/>
            </w:pPr>
            <w:r>
              <w:t xml:space="preserve">υμας || ημας (75,5%) 394, 1732, 1761, 1892 (zmiana, która zdominowała ogólny przekaz, w kontekście powoduje niewielką różnicę)</w:t>
            </w:r>
          </w:p>
        </w:tc>
      </w:tr>
      <w:tr>
        <w:tc>
          <w:tcPr/>
          <w:p>
            <w:pPr>
              <w:pStyle w:val="Compact"/>
              <w:jc w:val="center"/>
            </w:pPr>
            <w:r>
              <w:t xml:space="preserve">16,20</w:t>
            </w:r>
          </w:p>
        </w:tc>
        <w:tc>
          <w:tcPr/>
          <w:p>
            <w:pPr>
              <w:pStyle w:val="Compact"/>
              <w:jc w:val="left"/>
            </w:pPr>
            <w:r>
              <w:t xml:space="preserve">συντριψει || συντριψοι 1652</w:t>
            </w:r>
            <w:r>
              <w:rPr>
                <w:vertAlign w:val="superscript"/>
              </w:rPr>
              <w:t xml:space="preserve">alt</w:t>
            </w:r>
            <w:r>
              <w:t xml:space="preserve">, 1892 (zmiana z czasu przyszłego w trybie oznajmującym na tryb życzący, która osłabia siłę czasownika)</w:t>
            </w:r>
          </w:p>
        </w:tc>
      </w:tr>
      <w:tr>
        <w:tc>
          <w:tcPr/>
          <w:p>
            <w:pPr>
              <w:pStyle w:val="Compact"/>
              <w:jc w:val="center"/>
            </w:pPr>
            <w:r>
              <w:t xml:space="preserve">16,24</w:t>
            </w:r>
          </w:p>
        </w:tc>
        <w:tc>
          <w:tcPr/>
          <w:p>
            <w:pPr>
              <w:pStyle w:val="Compact"/>
              <w:jc w:val="left"/>
            </w:pPr>
            <w:r>
              <w:t xml:space="preserve">ημων || υμων (82%) (grupa 1)+ 1892 (zmiana, która zdominowała ogólny przekaz i byłaby dokonana niemal automatycznie, gdyby kopista nie zauważył, że mówi Tercjusz, w kontekście powoduje niewielką różnicę)</w:t>
            </w:r>
          </w:p>
        </w:tc>
      </w:tr>
    </w:tbl>
    <w:p>
      <w:pPr>
        <w:pStyle w:val="BodyText"/>
      </w:pPr>
      <w:r>
        <w:t xml:space="preserve">Z wyjątkiem pięciu przypadków wszędzie chodzi tylko o jedną literę lub sylabę i nigdzie znaczenie nie zostaje poważnie naruszone.</w:t>
      </w:r>
      <w:r>
        <w:rPr>
          <w:rStyle w:val="FootnoteReference"/>
        </w:rPr>
        <w:footnoteReference w:id="290"/>
      </w:r>
      <w:r>
        <w:t xml:space="preserve"> </w:t>
      </w:r>
      <w:r>
        <w:rPr>
          <w:bCs/>
          <w:b/>
        </w:rPr>
        <w:t xml:space="preserve">Ktoś czytający manuskrypt 1892 nie zostałby w żadnym miejscu księgi wprowadzony w błąd co do zamierzonego znaczenia</w:t>
      </w:r>
      <w:r>
        <w:t xml:space="preserve">. Twierdzę, że jest to godne uwagi i typowe dla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291"/>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r>
        <w:rPr>
          <w:rStyle w:val="FootnoteReference"/>
        </w:rPr>
        <w:footnoteReference w:id="292"/>
      </w:r>
    </w:p>
    <w:bookmarkEnd w:id="293"/>
    <w:bookmarkStart w:id="296" w:name="niewiarygodnie-staranny-przekaz-1"/>
    <w:p>
      <w:pPr>
        <w:pStyle w:val="Heading4"/>
      </w:pPr>
      <w:r>
        <w:rPr>
          <w:iCs/>
          <w:i/>
        </w:rPr>
        <w:t xml:space="preserve">Niewiarygodnie staranny przekaz</w:t>
      </w:r>
    </w:p>
    <w:p>
      <w:pPr>
        <w:pStyle w:val="FirstParagraph"/>
      </w:pPr>
      <w:r>
        <w:t xml:space="preserve">Ocenię teraz warianty u osiemnastu „wyjątkowych” przedstawicieli. (Osiemnaście spośród trzydziestu siedmiu to praktycznie połowa).</w:t>
      </w:r>
    </w:p>
    <w:p>
      <w:pPr>
        <w:pStyle w:val="BodyText"/>
      </w:pPr>
      <w:r>
        <w:t xml:space="preserve">Manuskrypty 1482, 2554 i 2723 są doskonałe w obecnym stanie.</w:t>
      </w:r>
    </w:p>
    <w:p>
      <w:pPr>
        <w:pStyle w:val="BodyText"/>
      </w:pPr>
      <w:r>
        <w:t xml:space="preserve">Manuskrypty 1855 i 1865 mają po jednym, zostaną omówione w tej kolejności. Manuskrypt 1855: 13,1 — υπο || 1 του 1855, 1856. Oba manuskrypty są przechowywane w tym samym klasztorze, mogły więc mieć wspólny egzemplarz. Dodają rodzajnik przed „Bogiem”, lecz ponieważ przypadkiem jest dopełniacz, znaczenie nie zostaje naruszone.</w:t>
      </w:r>
    </w:p>
    <w:p>
      <w:pPr>
        <w:pStyle w:val="BodyText"/>
      </w:pPr>
      <w:r>
        <w:t xml:space="preserve">Manuskrypt 1865: 16,18 — ευλογιας || ευλογολογιας 1865 (najwyraźniej — pracując z czarno-białego filmu, trudno mieć pewność). Oczywiście coś poszło tutaj źle, a rezultatem jest nonsens, czytelnik przypuszczalnie dokonałby koniecznej poprawki.</w:t>
      </w:r>
    </w:p>
    <w:p>
      <w:pPr>
        <w:pStyle w:val="BodyText"/>
      </w:pPr>
      <w:r>
        <w:t xml:space="preserve">Manuskrypty 928, 1100 i 1864 mają po dwa, zostaną omówione w tej kolejności. Manuskrypt 928: 11,1 — αβρααμ || 1 εκ 394, 928, 1856. Te trzy manuskrypty należą do grupy 2 i mogą wskazywać na podgrupę. Przyimek jest domyślny, a jego wyrażenie wprost nie zmienia znaczenia, tłumaczenie pozostaje takie samo.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w:t>
      </w:r>
    </w:p>
    <w:p>
      <w:pPr>
        <w:pStyle w:val="BodyText"/>
      </w:pPr>
      <w:r>
        <w:t xml:space="preserve">Manuskrypt 1100: 15,6 — δοξαζητε || δοξαζηται 1100. Zmiana ta jest dość powszechna, najwyraźniej uważano te formy za dwa sposoby powiedzenia tego samego. 16,24 — ημων || υμων (82%) (grupa 1)+ 1100. Manuskrypt 1100 nie należy ani do grupy 1, ani do grupy 2. Jest to zmiana, która zdominowała ogólny przekaz i byłaby dokonana niemal automatycznie, gdyby kopista nie zauważył, że mówi Tercjusz, w kontekście powoduje niewielką różnicę.</w:t>
      </w:r>
    </w:p>
    <w:p>
      <w:pPr>
        <w:pStyle w:val="BodyText"/>
      </w:pPr>
      <w:r>
        <w:t xml:space="preserve">Manuskrypt 1864: 2,5 — του || --- (grupa 1) 1864. Grupa pomija rodzajnik przed „Bogiem”, lecz ponieważ przypadkiem jest dopełniacz, znaczenie nie zostaje naruszone. 16,24 — ημων || υμων (82%) (grupa 1)+ 1864. Manuskrypt 1864 należy do grupy 1. Jest to zmiana, która zdominowała ogólny przekaz i byłaby dokonana niemal automatycznie, gdyby kopista nie zauważył, że mówi Tercjusz, w kontekście powoduje niewielką różnicę.</w:t>
      </w:r>
    </w:p>
    <w:p>
      <w:pPr>
        <w:pStyle w:val="BodyText"/>
      </w:pPr>
      <w:r>
        <w:t xml:space="preserve">Manuskrypty 35, 204, 1503, 1652 i 2587 mają po trzy, zostaną omówione w tej kolejności. Manuskrypt 35: 1,27 — εξεκαυθησαν 35</w:t>
      </w:r>
      <w:r>
        <w:rPr>
          <w:vertAlign w:val="superscript"/>
        </w:rPr>
        <w:t xml:space="preserve">c</w:t>
      </w:r>
      <w:r>
        <w:t xml:space="preserve"> </w:t>
      </w:r>
      <w:r>
        <w:t xml:space="preserve">|| 1 εν (70%) 35. Przyimek jest domyślny, lecz w każdym razie wariant poprawiono. 2,4 — αυτου και της 35</w:t>
      </w:r>
      <w:r>
        <w:rPr>
          <w:vertAlign w:val="superscript"/>
        </w:rPr>
        <w:t xml:space="preserve">c</w:t>
      </w:r>
      <w:r>
        <w:t xml:space="preserve"> </w:t>
      </w:r>
      <w:r>
        <w:t xml:space="preserve">|| --- 35. Może to być przypadek homoioteleutonu, lecz w każdym razie wariant poprawiono. 15,31 — γενηται τοις αγιοις 35</w:t>
      </w:r>
      <w:r>
        <w:rPr>
          <w:vertAlign w:val="superscript"/>
        </w:rPr>
        <w:t xml:space="preserve">c</w:t>
      </w:r>
      <w:r>
        <w:t xml:space="preserve"> </w:t>
      </w:r>
      <w:r>
        <w:t xml:space="preserve">|| ~ 231 (5%) 35, 2466. Zmiana szyku słów nie wpływa na znaczenie, lecz wariant i tak poprawiono. Po uwzględnieniu poprawek manuskrypt ten jest doskonały.</w:t>
      </w:r>
    </w:p>
    <w:p>
      <w:pPr>
        <w:pStyle w:val="BodyText"/>
      </w:pPr>
      <w:r>
        <w:t xml:space="preserve">Manuskrypt 204: 2,25 — σου || 11 204. Słowo powtórzono z jednej strony karty na drugą. Jest to oczywiście niezamierzony błąd, który czytelnik automatycznie by poprawił. 6,8 — πιστευομεν || πιστευωμεν (grupa 2)+ 204. Może to być itacyzm, lecz zmienia tryb oznajmujący na łączący, co nieco osłabia siłę czasownika. Ponieważ manuskrypt 204 nie należy do grupy 2, mogło to być niezależne przeoczenie. 10,15 — ειρηνην των ευαγγελιζομενων || --- 204. Wygląda to na wyraźny przypadek homoioteleutonu, którego nie uważam za właściwy wariant, ponieważ jednak rezultat ma dobry sens, kopista najwyraźniej go nie zauważył (jest to część cytatu ze Starego Testamentu).</w:t>
      </w:r>
    </w:p>
    <w:p>
      <w:pPr>
        <w:pStyle w:val="BodyText"/>
      </w:pPr>
      <w:r>
        <w:t xml:space="preserve">Manuskrypt 1503: 2,5 — του || --- (grupa 1) 1503. Grupa pomija rodzajnik przed „Bogiem”, lecz ponieważ przypadkiem jest dopełniacz, znaczenie nie zostaje naruszone. 11,4 — 1503 powtarza ὁ z jednego wiersza w następnym. Jest to oczywiście niezamierzony błąd, który czytelnik automatycznie by poprawił. 16,24 — ημων || υμων (82%) (grupa 1)+ 1503. Manuskrypt 1503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1652: 1,15 — και || 1 εν 1652. Wygląda to na niestaranny błąd, który czytelnik prawdopodobnie by zignorował. 2,5 — του || --- (grupa 1) 1652. Grupa pomija rodzajnik przed „Bogiem”, lecz ponieważ przypadkiem jest dopełniacz, znaczenie nie zostaje naruszone. 16,24 — ημων || υμων (82%) (grupa 1)+ 1652. Manuskrypt 1652 należy do grupy 1. Jest to zmiana, która zdominowała ogólny przekaz i byłaby dokonana niemal automatycznie, gdyby kopista nie zauważył, że mówi Tercjusz, w kontekście powoduje niewielką różnicę.</w:t>
      </w:r>
    </w:p>
    <w:p>
      <w:pPr>
        <w:pStyle w:val="BodyText"/>
      </w:pPr>
      <w:r>
        <w:t xml:space="preserve">Manuskrypt 2587: 3,20 — δικαιωθησεται || δικαιουται 2587. Zmienia to osobę z liczby mnogiej na pojedynczą oraz czas z przyszłego na teraźniejszy. W kontekście znaczenie nie zostaje zmienione. 6,8 — πιστευομεν || πιστευωμεν (grupa 2)+ 2587. Może to być itacyzm, lecz zmienia tryb oznajmujący na łączący, co nieco osłabia siłę czasownika. 12,2 — μεταμορφουσθε || μεταμορφουσθαι 2587. Zmienia to tryb łączący na oznajmujący, lecz oba mają ten sam skutek, są dwoma sposobami powiedzenia tego samego.</w:t>
      </w:r>
    </w:p>
    <w:p>
      <w:pPr>
        <w:pStyle w:val="BodyText"/>
      </w:pPr>
      <w:r>
        <w:t xml:space="preserve">Manuskrypty 824, 1040, 1249, 1637 i 1858 mają po cztery, zostaną omówione w tej kolejności. Manuskrypt 824: 2,5 — του || --- (grupa 1) 824. Grupa pomija rodzajnik przed „Bogiem”, lecz ponieważ przypadkiem jest dopełniacz, znaczenie nie zostaje naruszone. 11,17 — αγριελαιος || αγριελεος 824. Wygląda to na itacyzm powodujący alternatywną pisownię. 15,14 — αλλους || αλληλους (7%) 824. „Napominajcie jedni drugich” być może wydawało się bardziej naturalne niż „napominajcie innych”, lecz różnica znaczeniowa jest niewielka. 16,24 — ημων || υμων (82%) (grupa 1)+ 824. Manuskrypt 824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1040: 11,17 — πιοτητος || ποιοτητος 1040, 1072</w:t>
      </w:r>
      <w:r>
        <w:rPr>
          <w:vertAlign w:val="superscript"/>
        </w:rPr>
        <w:t xml:space="preserve">c</w:t>
      </w:r>
      <w:r>
        <w:t xml:space="preserve">, 1548. Wygląda to na niestaranny błąd pisowni, ponieważ rezultat nie jest słowem. W kontekście czytelnik dokonałby koniecznej poprawki. 15,2 — ημων || υμων (22%) 1040. O „naturalności” tej zmiany świadczy 22%, lecz w kontekście powoduje niewielką różnicę. 15,7 — ημας || υμας (38%) 757</w:t>
      </w:r>
      <w:r>
        <w:rPr>
          <w:vertAlign w:val="superscript"/>
        </w:rPr>
        <w:t xml:space="preserve">c</w:t>
      </w:r>
      <w:r>
        <w:t xml:space="preserve">, 1040. O „naturalności” tej zmiany również świadczy 38%, lecz w kontekście powoduje niewielką różnicę. 16,24 — ημων || υμων (82%) (grupa 1)+ 1040. Manuskrypt 1040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1249: 2,14 — ποιη || ποιει 1249. Chociaż był to prawdopodobnie itacyzm, zmienia tryb, lecz znaczenie nie zostaje naruszone. 9,12 — τω || το 1249. Wygląda to na kolejny itacyzm, lecz błędnie zmienia przypadek. Czytelnik dokonałby koniecznej poprawki, a ponieważ obie formy wymawia się tak samo, słuchacz zrozumiałby poprawnie. 9,20 — το || τω 1249, 1876. Wygląda to na odwrotny itacyzm, zobacz uwagę wyżej.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 wariant jednak poprawiono.</w:t>
      </w:r>
    </w:p>
    <w:p>
      <w:pPr>
        <w:pStyle w:val="BodyText"/>
      </w:pPr>
      <w:r>
        <w:t xml:space="preserve">Manuskrypt 1637: 2,5 — του || --- (grupa 1) 1637. Grupa pomija rodzajnik przed „Bogiem”, lecz ponieważ przypadkiem jest dopełniacz, znaczenie nie zostaje naruszone. 15,20 — δε || --- 1637. Wygląda to na niestaranne pominięcie, które nie wpływa na znaczenie. 16,2 — και || 11 1637. Jest to niestaranny błąd, słowo powtórzono z jednego wiersza w następnym. Czytelnik automatycznie by go poprawił. 16,24 — ημων || υμων (82%) (grupa 1)+ 1637. Manuskrypt 1637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1858: 1,25 — κτισει || κτιση 1858. Wygląda to na itacyzm powodujący błąd pisowni, czytelnik dokonałby koniecznej poprawki. 2,15 — κατηγορουντων || κατοιγορουντων 1858. Powtórz poprzednią uwagę. 6,8 — πιστευομεν || πιστευωμεν (grupa 2)+ 1858. Może to być itacyzm, lecz zmienia tryb oznajmujący na łączący, co nieco osłabia siłę czasownika. 8,28 — εις || 1 το (27%) 986, 1732</w:t>
      </w:r>
      <w:r>
        <w:rPr>
          <w:vertAlign w:val="superscript"/>
        </w:rPr>
        <w:t xml:space="preserve">c</w:t>
      </w:r>
      <w:r>
        <w:t xml:space="preserve">, 1858. Rodzajnik nie jest potrzebny, lecz powoduje niewielką różnicę.</w:t>
      </w:r>
    </w:p>
    <w:p>
      <w:pPr>
        <w:pStyle w:val="BodyText"/>
      </w:pPr>
      <w:r>
        <w:t xml:space="preserve">Spośród łącznie czterdziestu trzech wariantów u osiemnastu manuskryptów w całym Liście do Rzymian</w:t>
      </w:r>
      <w:r>
        <w:rPr>
          <w:rStyle w:val="FootnoteReference"/>
        </w:rPr>
        <w:footnoteReference w:id="294"/>
      </w:r>
      <w:r>
        <w:t xml:space="preserve"> </w:t>
      </w:r>
      <w:r>
        <w:t xml:space="preserve">pięć poprawiono, pozostaje więc trzydzieści osiem. Co najmniej dziesięć nie jest właściwymi wariantami, pozostaje więc dwadzieścia osiem. Trzynaście to powtórzenia wspólnego wariantu, pozostaje więc piętnaście.</w:t>
      </w:r>
      <w:r>
        <w:rPr>
          <w:rStyle w:val="FootnoteReference"/>
        </w:rPr>
        <w:footnoteReference w:id="295"/>
      </w:r>
      <w:r>
        <w:t xml:space="preserve"> </w:t>
      </w:r>
      <w:r>
        <w:t xml:space="preserve">Ponad 30 spośród 43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w:t>
      </w:r>
      <w:r>
        <w:t xml:space="preserve"> </w:t>
      </w:r>
      <w:r>
        <w:rPr>
          <w:u w:val="single"/>
        </w:rPr>
        <w:t xml:space="preserve">współczynnika staranności kopisty</w:t>
      </w:r>
      <w:r>
        <w:t xml:space="preserve">.</w:t>
      </w:r>
    </w:p>
    <w:bookmarkEnd w:id="296"/>
    <w:bookmarkStart w:id="297" w:name="spostrzeżenia-1"/>
    <w:p>
      <w:pPr>
        <w:pStyle w:val="Heading4"/>
      </w:pPr>
      <w:r>
        <w:rPr>
          <w:iCs/>
          <w:i/>
        </w:rPr>
        <w:t xml:space="preserve">Spostrzeżenia</w:t>
      </w:r>
    </w:p>
    <w:p>
      <w:pPr>
        <w:numPr>
          <w:ilvl w:val="0"/>
          <w:numId w:val="1018"/>
        </w:numPr>
      </w:pPr>
      <w:r>
        <w:t xml:space="preserve">Dwie trzecie skolacjonowanych wyżej manuskryptów nie ma wariantów spoza rodziny = brak domieszki. Mnisi wiernie odtwarzali to, co mieli przed sobą.</w:t>
      </w:r>
    </w:p>
    <w:p>
      <w:pPr>
        <w:numPr>
          <w:ilvl w:val="0"/>
          <w:numId w:val="1018"/>
        </w:numPr>
      </w:pPr>
      <w:r>
        <w:t xml:space="preserve">Trzy manuskrypty z XI wieku wyraźnie odzwierciedlają odrębne egzemplarze (które same prawdopodobnie miały odrębne egzemplarze), archetyp z pewnością istniał więc w okresie uncjalnym.</w:t>
      </w:r>
    </w:p>
    <w:p>
      <w:pPr>
        <w:numPr>
          <w:ilvl w:val="0"/>
          <w:numId w:val="1018"/>
        </w:numPr>
      </w:pPr>
      <w:r>
        <w:t xml:space="preserve">Chociaż precyzyjny profil archetypu jest jasny, jasne jest również, że zachowane manuskrypty odzwierciedlają pewną liczbę odrębnych linii przekazu w obrębie rodziny.</w:t>
      </w:r>
    </w:p>
    <w:p>
      <w:pPr>
        <w:numPr>
          <w:ilvl w:val="0"/>
          <w:numId w:val="1018"/>
        </w:numPr>
      </w:pPr>
      <w:r>
        <w:t xml:space="preserve">Każda próba odtworzenia drzewa rodziny będzie wymagała postulowania sporej liczby węzłów pośrednich, które równie dobrze mogą być oddzielone od siebie stuleciami.</w:t>
      </w:r>
    </w:p>
    <w:p>
      <w:pPr>
        <w:numPr>
          <w:ilvl w:val="0"/>
          <w:numId w:val="1018"/>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97"/>
    <w:bookmarkEnd w:id="298"/>
    <w:bookmarkStart w:id="299" w:name="postscriptum"/>
    <w:p>
      <w:pPr>
        <w:pStyle w:val="Heading3"/>
      </w:pPr>
      <w:r>
        <w:t xml:space="preserve">Postscriptum</w:t>
      </w:r>
    </w:p>
    <w:p>
      <w:pPr>
        <w:pStyle w:val="FirstParagraph"/>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 tekst</w:t>
      </w:r>
      <w:r>
        <w:t xml:space="preserve"> </w:t>
      </w:r>
      <w:r>
        <w:rPr>
          <w:bCs/>
          <w:b/>
        </w:rPr>
        <w:t xml:space="preserve">f</w:t>
      </w:r>
      <w:r>
        <w:rPr>
          <w:vertAlign w:val="superscript"/>
          <w:bCs/>
          <w:b/>
        </w:rPr>
        <w:t xml:space="preserve">35</w:t>
      </w:r>
      <w:r>
        <w:t xml:space="preserve"> </w:t>
      </w:r>
      <w:r>
        <w:t xml:space="preserve">jest starożytny (a także niezależny).</w:t>
      </w:r>
    </w:p>
    <w:p>
      <w:pPr>
        <w:pStyle w:val="BodyText"/>
      </w:pPr>
      <w:r>
        <w:t xml:space="preserve">Twierdzę, że wykazałem wyższość Rodziny 35 na podstawie wielkości (liczby przedstawicieli), niezależności, wieku, rozmieszczenia geograficznego, profilu (ustalonego empirycznie), staranności (zobacz wyżej) oraz zakresu (wszystkie 27 ksiąg). Rzucam każdemu i wszystkim wyzwanie, aby uczynili to samo dla jakiejkolwiek innej linii przekazu!</w:t>
      </w:r>
    </w:p>
    <w:bookmarkEnd w:id="299"/>
    <w:bookmarkEnd w:id="300"/>
    <w:bookmarkStart w:id="314" w:name="niewiarygodnie-staranny-przekaz-2"/>
    <w:p>
      <w:pPr>
        <w:pStyle w:val="Heading2"/>
      </w:pPr>
      <w:r>
        <w:t xml:space="preserve">Niewiarygodnie staranny przekaz</w:t>
      </w:r>
    </w:p>
    <w:p>
      <w:pPr>
        <w:pStyle w:val="FirstParagraph"/>
      </w:pPr>
      <w:r>
        <w:t xml:space="preserve">Ta część koncentruje się na Listach do Tesaloniczan, które powszechnie uważa się za pierwsze kanoniczne pisma apostoła Pawła (przynajmniej w kręgach konserwatywnych). Jeśli tak było, jego prestiż i autorytet jako apostoła nie osiągnęłyby jeszcze pełnej miary, a w konsekwencji tak wczesnym pismom mogło nie być okazywane tyle szacunku, co późniejszym. W miarę kolacjonowania kolejnych manuskryptów</w:t>
      </w:r>
      <w:r>
        <w:t xml:space="preserve"> </w:t>
      </w:r>
      <w:r>
        <w:rPr>
          <w:bCs/>
          <w:b/>
        </w:rPr>
        <w:t xml:space="preserve">f</w:t>
      </w:r>
      <w:r>
        <w:rPr>
          <w:vertAlign w:val="superscript"/>
          <w:bCs/>
          <w:b/>
        </w:rPr>
        <w:t xml:space="preserve">35</w:t>
      </w:r>
      <w:r>
        <w:t xml:space="preserve"> </w:t>
      </w:r>
      <w:r>
        <w:t xml:space="preserve">zaskakiwał mnie odmienny obraz. Skolacjonowałem następujących trzydziestu czterech przedstawicieli rodziny i zwracam uwagę na wyniki.</w:t>
      </w:r>
    </w:p>
    <w:bookmarkStart w:id="304" w:name="X9f5c359d61fbf94cb441b0708c24e54c089360f"/>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Listach do Tesaloniczan</w:t>
      </w:r>
    </w:p>
    <w:tbl>
      <w:tblPr>
        <w:tblStyle w:val="Table"/>
        <w:tblW w:type="pct" w:w="5000"/>
        <w:tblLook w:firstRow="1" w:lastRow="0" w:firstColumn="0" w:lastColumn="0" w:noHBand="0" w:noVBand="0" w:val="0020"/>
        <w:jc w:val="start"/>
      </w:tblPr>
      <w:tblGrid>
        <w:gridCol w:w="1131"/>
        <w:gridCol w:w="1414"/>
        <w:gridCol w:w="1414"/>
        <w:gridCol w:w="1131"/>
        <w:gridCol w:w="1414"/>
        <w:gridCol w:w="1414"/>
      </w:tblGrid>
      <w:tr>
        <w:trPr>
          <w:tblHeader w:val="true"/>
        </w:trPr>
        <w:tc>
          <w:tcPr/>
          <w:p>
            <w:pPr>
              <w:pStyle w:val="Compact"/>
              <w:jc w:val="right"/>
            </w:pPr>
            <w:r>
              <w:rPr>
                <w:bCs/>
                <w:b/>
              </w:rPr>
              <w:t xml:space="preserve">Manuskrypt</w:t>
            </w:r>
          </w:p>
        </w:tc>
        <w:tc>
          <w:tcPr/>
          <w:p>
            <w:pPr>
              <w:pStyle w:val="Compact"/>
              <w:jc w:val="center"/>
            </w:pPr>
            <w:r>
              <w:t xml:space="preserve">1 List do Tesaloniczan</w:t>
            </w:r>
          </w:p>
        </w:tc>
        <w:tc>
          <w:tcPr/>
          <w:p>
            <w:pPr>
              <w:pStyle w:val="Compact"/>
              <w:jc w:val="center"/>
            </w:pPr>
            <w:r>
              <w:t xml:space="preserve">2 List do Tesaloniczan</w:t>
            </w:r>
          </w:p>
        </w:tc>
        <w:tc>
          <w:tcPr/>
          <w:p>
            <w:pPr>
              <w:pStyle w:val="Compact"/>
              <w:jc w:val="left"/>
            </w:pPr>
            <w:r>
              <w:t xml:space="preserve">Miejsce</w:t>
            </w:r>
          </w:p>
        </w:tc>
        <w:tc>
          <w:tcPr/>
          <w:p>
            <w:pPr>
              <w:pStyle w:val="Compact"/>
              <w:jc w:val="center"/>
            </w:pPr>
            <w:r>
              <w:t xml:space="preserve">Data</w:t>
            </w:r>
            <w:r>
              <w:rPr>
                <w:rStyle w:val="FootnoteReference"/>
              </w:rPr>
              <w:footnoteReference w:id="301"/>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r>
              <w:rPr>
                <w:rStyle w:val="FootnoteReference"/>
              </w:rPr>
              <w:footnoteReference w:id="302"/>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w:t>
            </w:r>
          </w:p>
        </w:tc>
        <w:tc>
          <w:tcPr/>
          <w:p>
            <w:pPr>
              <w:pStyle w:val="Compact"/>
              <w:jc w:val="left"/>
            </w:pPr>
            <w:r>
              <w:t xml:space="preserve">obszar egejski</w:t>
            </w:r>
            <w:r>
              <w:rPr>
                <w:rStyle w:val="FootnoteReference"/>
              </w:rPr>
              <w:footnoteReference w:id="303"/>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201</w:t>
            </w:r>
          </w:p>
        </w:tc>
        <w:tc>
          <w:tcPr/>
          <w:p>
            <w:pPr>
              <w:pStyle w:val="Compact"/>
              <w:jc w:val="center"/>
            </w:pPr>
            <w:r>
              <w:t xml:space="preserve">2y, 2/</w:t>
            </w:r>
          </w:p>
        </w:tc>
        <w:tc>
          <w:tcPr/>
          <w:p>
            <w:pPr>
              <w:pStyle w:val="Compact"/>
              <w:jc w:val="center"/>
            </w:pPr>
            <w:r>
              <w:t xml:space="preserve">2x</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2x, 2y, 2/</w:t>
            </w:r>
          </w:p>
        </w:tc>
      </w:tr>
      <w:tr>
        <w:tc>
          <w:tcPr/>
          <w:p>
            <w:pPr>
              <w:pStyle w:val="Compact"/>
              <w:jc w:val="right"/>
            </w:pPr>
            <w:r>
              <w:t xml:space="preserve">204</w:t>
            </w:r>
          </w:p>
        </w:tc>
        <w:tc>
          <w:tcPr/>
          <w:p>
            <w:pPr>
              <w:pStyle w:val="Compact"/>
              <w:jc w:val="center"/>
            </w:pPr>
            <w:r>
              <w:t xml:space="preserve">1</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328</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386</w:t>
            </w:r>
          </w:p>
        </w:tc>
        <w:tc>
          <w:tcPr/>
          <w:p>
            <w:pPr>
              <w:pStyle w:val="Compact"/>
              <w:jc w:val="center"/>
            </w:pPr>
            <w:r>
              <w:t xml:space="preserve">1y, 1/, 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1y, 1/</w:t>
            </w:r>
          </w:p>
        </w:tc>
      </w:tr>
      <w:tr>
        <w:tc>
          <w:tcPr/>
          <w:p>
            <w:pPr>
              <w:pStyle w:val="Compact"/>
              <w:jc w:val="right"/>
            </w:pPr>
            <w:r>
              <w:t xml:space="preserve">394</w:t>
            </w:r>
          </w:p>
        </w:tc>
        <w:tc>
          <w:tcPr/>
          <w:p>
            <w:pPr>
              <w:pStyle w:val="Compact"/>
              <w:jc w:val="center"/>
            </w:pPr>
            <w:r>
              <w:t xml:space="preserve">1s</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444</w:t>
            </w:r>
          </w:p>
        </w:tc>
        <w:tc>
          <w:tcPr/>
          <w:p>
            <w:pPr>
              <w:pStyle w:val="Compact"/>
              <w:jc w:val="center"/>
            </w:pPr>
            <w:r>
              <w:t xml:space="preserve">1s</w:t>
            </w:r>
          </w:p>
        </w:tc>
        <w:tc>
          <w:tcPr/>
          <w:p>
            <w:pPr>
              <w:pStyle w:val="Compact"/>
              <w:jc w:val="center"/>
            </w:pPr>
            <w:r>
              <w:t xml:space="preserve">2s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 1y</w:t>
            </w:r>
          </w:p>
        </w:tc>
        <w:tc>
          <w:tcPr/>
          <w:p>
            <w:pPr>
              <w:pStyle w:val="Compact"/>
              <w:jc w:val="center"/>
            </w:pPr>
            <w:r>
              <w:t xml:space="preserve">1s</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1y</w:t>
            </w:r>
          </w:p>
        </w:tc>
      </w:tr>
      <w:tr>
        <w:tc>
          <w:tcPr/>
          <w:p>
            <w:pPr>
              <w:pStyle w:val="Compact"/>
              <w:jc w:val="right"/>
            </w:pPr>
            <w:r>
              <w:t xml:space="preserve">757</w:t>
            </w:r>
          </w:p>
        </w:tc>
        <w:tc>
          <w:tcPr/>
          <w:p>
            <w:pPr>
              <w:pStyle w:val="Compact"/>
              <w:jc w:val="center"/>
            </w:pPr>
            <w:r>
              <w:t xml:space="preserve">1s</w:t>
            </w:r>
          </w:p>
        </w:tc>
        <w:tc>
          <w:tcPr/>
          <w:p>
            <w:pPr>
              <w:pStyle w:val="Compact"/>
              <w:jc w:val="center"/>
            </w:pPr>
            <w:r>
              <w:t xml:space="preserve">1y, 1c</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1y</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1i</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1i</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1x, 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1100</w:t>
            </w:r>
          </w:p>
        </w:tc>
        <w:tc>
          <w:tcPr/>
          <w:p>
            <w:pPr>
              <w:pStyle w:val="Compact"/>
              <w:jc w:val="center"/>
            </w:pPr>
            <w:r>
              <w:t xml:space="preserve">1y, 1s</w:t>
            </w:r>
          </w:p>
        </w:tc>
        <w:tc>
          <w:tcPr/>
          <w:p>
            <w:pPr>
              <w:pStyle w:val="Compact"/>
              <w:jc w:val="center"/>
            </w:pPr>
            <w:r>
              <w:t xml:space="preserve">1y</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2y</w:t>
            </w:r>
          </w:p>
        </w:tc>
      </w:tr>
      <w:tr>
        <w:tc>
          <w:tcPr/>
          <w:p>
            <w:pPr>
              <w:pStyle w:val="Compact"/>
              <w:jc w:val="right"/>
            </w:pPr>
            <w:r>
              <w:t xml:space="preserve">1248</w:t>
            </w:r>
          </w:p>
        </w:tc>
        <w:tc>
          <w:tcPr/>
          <w:p>
            <w:pPr>
              <w:pStyle w:val="Compact"/>
              <w:jc w:val="center"/>
            </w:pPr>
            <w:r>
              <w:t xml:space="preserve">3x, 1/, 4s</w:t>
            </w:r>
          </w:p>
        </w:tc>
        <w:tc>
          <w:tcPr/>
          <w:p>
            <w:pPr>
              <w:pStyle w:val="Compact"/>
              <w:jc w:val="center"/>
            </w:pPr>
            <w:r>
              <w:t xml:space="preserve">2s, 2i</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3x, 1/</w:t>
            </w:r>
          </w:p>
        </w:tc>
      </w:tr>
      <w:tr>
        <w:tc>
          <w:tcPr/>
          <w:p>
            <w:pPr>
              <w:pStyle w:val="Compact"/>
              <w:jc w:val="right"/>
            </w:pPr>
            <w:r>
              <w:t xml:space="preserve">1249</w:t>
            </w:r>
          </w:p>
        </w:tc>
        <w:tc>
          <w:tcPr/>
          <w:p>
            <w:pPr>
              <w:pStyle w:val="Compact"/>
              <w:jc w:val="center"/>
            </w:pPr>
            <w:r>
              <w:t xml:space="preserve">1y</w:t>
            </w:r>
          </w:p>
        </w:tc>
        <w:tc>
          <w:tcPr/>
          <w:p>
            <w:pPr>
              <w:pStyle w:val="Compact"/>
              <w:jc w:val="center"/>
            </w:pPr>
            <w:r>
              <w:t xml:space="preserve">---</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1y</w:t>
            </w:r>
          </w:p>
        </w:tc>
      </w:tr>
      <w:tr>
        <w:tc>
          <w:tcPr/>
          <w:p>
            <w:pPr>
              <w:pStyle w:val="Compact"/>
              <w:jc w:val="right"/>
            </w:pPr>
            <w:r>
              <w:t xml:space="preserve">1503</w:t>
            </w:r>
          </w:p>
        </w:tc>
        <w:tc>
          <w:tcPr/>
          <w:p>
            <w:pPr>
              <w:pStyle w:val="Compact"/>
              <w:jc w:val="center"/>
            </w:pPr>
            <w:r>
              <w:t xml:space="preserve">2s</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2x, 1s</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2x</w:t>
            </w:r>
          </w:p>
        </w:tc>
      </w:tr>
      <w:tr>
        <w:tc>
          <w:tcPr/>
          <w:p>
            <w:pPr>
              <w:pStyle w:val="Compact"/>
              <w:jc w:val="right"/>
            </w:pPr>
            <w:r>
              <w:t xml:space="preserve">1637</w:t>
            </w:r>
          </w:p>
        </w:tc>
        <w:tc>
          <w:tcPr/>
          <w:p>
            <w:pPr>
              <w:pStyle w:val="Compact"/>
              <w:jc w:val="center"/>
            </w:pPr>
            <w:r>
              <w:t xml:space="preserve">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1/</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1y, 2s</w:t>
            </w:r>
          </w:p>
        </w:tc>
        <w:tc>
          <w:tcPr/>
          <w:p>
            <w:pPr>
              <w:pStyle w:val="Compact"/>
              <w:jc w:val="center"/>
            </w:pPr>
            <w:r>
              <w:t xml:space="preserve">1/</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1y, 1/</w:t>
            </w:r>
          </w:p>
        </w:tc>
      </w:tr>
      <w:tr>
        <w:tc>
          <w:tcPr/>
          <w:p>
            <w:pPr>
              <w:pStyle w:val="Compact"/>
              <w:jc w:val="right"/>
            </w:pPr>
            <w:r>
              <w:t xml:space="preserve">1761</w:t>
            </w:r>
          </w:p>
        </w:tc>
        <w:tc>
          <w:tcPr/>
          <w:p>
            <w:pPr>
              <w:pStyle w:val="Compact"/>
              <w:jc w:val="center"/>
            </w:pPr>
            <w:r>
              <w:t xml:space="preserve">2x, 2y, 1s</w:t>
            </w:r>
          </w:p>
        </w:tc>
        <w:tc>
          <w:tcPr/>
          <w:p>
            <w:pPr>
              <w:pStyle w:val="Compact"/>
              <w:jc w:val="center"/>
            </w:pPr>
            <w:r>
              <w:t xml:space="preserve">1s, 1i</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2x, 2y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1c</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1876</w:t>
            </w:r>
          </w:p>
        </w:tc>
        <w:tc>
          <w:tcPr/>
          <w:p>
            <w:pPr>
              <w:pStyle w:val="Compact"/>
              <w:jc w:val="center"/>
            </w:pPr>
            <w:r>
              <w:t xml:space="preserve">4y, 1/</w:t>
            </w:r>
          </w:p>
        </w:tc>
        <w:tc>
          <w:tcPr/>
          <w:p>
            <w:pPr>
              <w:pStyle w:val="Compact"/>
              <w:jc w:val="center"/>
            </w:pPr>
            <w:r>
              <w:t xml:space="preserve">1y, 1/</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5y, 2/</w:t>
            </w:r>
          </w:p>
        </w:tc>
      </w:tr>
      <w:tr>
        <w:tc>
          <w:tcPr/>
          <w:p>
            <w:pPr>
              <w:pStyle w:val="Compact"/>
              <w:jc w:val="right"/>
            </w:pPr>
            <w:r>
              <w:t xml:space="preserve">1892</w:t>
            </w:r>
          </w:p>
        </w:tc>
        <w:tc>
          <w:tcPr/>
          <w:p>
            <w:pPr>
              <w:pStyle w:val="Compact"/>
              <w:jc w:val="center"/>
            </w:pPr>
            <w:r>
              <w:t xml:space="preserve">10s</w:t>
            </w:r>
          </w:p>
        </w:tc>
        <w:tc>
          <w:tcPr/>
          <w:p>
            <w:pPr>
              <w:pStyle w:val="Compact"/>
              <w:jc w:val="center"/>
            </w:pPr>
            <w:r>
              <w:t xml:space="preserve">3s</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1897</w:t>
            </w:r>
          </w:p>
        </w:tc>
        <w:tc>
          <w:tcPr/>
          <w:p>
            <w:pPr>
              <w:pStyle w:val="Compact"/>
              <w:jc w:val="center"/>
            </w:pPr>
            <w:r>
              <w:t xml:space="preserve">1/, 1c</w:t>
            </w:r>
          </w:p>
        </w:tc>
        <w:tc>
          <w:tcPr/>
          <w:p>
            <w:pPr>
              <w:pStyle w:val="Compact"/>
              <w:jc w:val="center"/>
            </w:pPr>
            <w:r>
              <w:t xml:space="preserve">3s, 1h</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2466</w:t>
            </w:r>
          </w:p>
        </w:tc>
        <w:tc>
          <w:tcPr/>
          <w:p>
            <w:pPr>
              <w:pStyle w:val="Compact"/>
              <w:jc w:val="center"/>
            </w:pPr>
            <w:r>
              <w:t xml:space="preserve">1x, 2y, 1s</w:t>
            </w:r>
          </w:p>
        </w:tc>
        <w:tc>
          <w:tcPr/>
          <w:p>
            <w:pPr>
              <w:pStyle w:val="Compact"/>
              <w:jc w:val="center"/>
            </w:pPr>
            <w:r>
              <w:t xml:space="preserve">1s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1x, 2y</w:t>
            </w:r>
          </w:p>
        </w:tc>
      </w:tr>
      <w:tr>
        <w:tc>
          <w:tcPr/>
          <w:p>
            <w:pPr>
              <w:pStyle w:val="Compact"/>
              <w:jc w:val="right"/>
            </w:pPr>
            <w:r>
              <w:t xml:space="preserve">2554</w:t>
            </w:r>
          </w:p>
        </w:tc>
        <w:tc>
          <w:tcPr/>
          <w:p>
            <w:pPr>
              <w:pStyle w:val="Compact"/>
              <w:jc w:val="center"/>
            </w:pPr>
            <w:r>
              <w:t xml:space="preserve">1c</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x</w:t>
            </w:r>
          </w:p>
        </w:tc>
        <w:tc>
          <w:tcPr/>
          <w:p>
            <w:pPr>
              <w:pStyle w:val="Compact"/>
              <w:jc w:val="left"/>
            </w:pPr>
            <w:r>
              <w:t xml:space="preserve">niepoprawiony wariant poświadczony przez manuskrypty spoza rodziny</w:t>
            </w:r>
          </w:p>
        </w:tc>
      </w:tr>
      <w:tr>
        <w:tc>
          <w:tcPr/>
          <w:p>
            <w:pPr>
              <w:pStyle w:val="Compact"/>
              <w:jc w:val="center"/>
            </w:pPr>
            <w:r>
              <w:t xml:space="preserve">y</w:t>
            </w:r>
          </w:p>
        </w:tc>
        <w:tc>
          <w:tcPr/>
          <w:p>
            <w:pPr>
              <w:pStyle w:val="Compact"/>
              <w:jc w:val="left"/>
            </w:pPr>
            <w:r>
              <w:t xml:space="preserve">podział, który nie ogranicza się do rodziny</w:t>
            </w:r>
          </w:p>
        </w:tc>
      </w:tr>
      <w:tr>
        <w:tc>
          <w:tcPr/>
          <w:p>
            <w:pPr>
              <w:pStyle w:val="Compact"/>
              <w:jc w:val="center"/>
            </w:pPr>
            <w:r>
              <w:t xml:space="preserve">/</w:t>
            </w:r>
          </w:p>
        </w:tc>
        <w:tc>
          <w:tcPr/>
          <w:p>
            <w:pPr>
              <w:pStyle w:val="Compact"/>
              <w:jc w:val="left"/>
            </w:pPr>
            <w:r>
              <w:t xml:space="preserve">podział w obrębie rodziny (bez poświadczenia zewnętrznego)</w:t>
            </w:r>
          </w:p>
        </w:tc>
      </w:tr>
      <w:tr>
        <w:tc>
          <w:tcPr/>
          <w:p>
            <w:pPr>
              <w:pStyle w:val="Compact"/>
              <w:jc w:val="center"/>
            </w:pPr>
            <w:r>
              <w:t xml:space="preserve">c</w:t>
            </w:r>
          </w:p>
        </w:tc>
        <w:tc>
          <w:tcPr/>
          <w:p>
            <w:pPr>
              <w:pStyle w:val="Compact"/>
              <w:jc w:val="left"/>
            </w:pPr>
            <w:r>
              <w:t xml:space="preserve">wszelkiego rodzaju wariant poprawiony do domniemanego archetypu</w:t>
            </w:r>
          </w:p>
        </w:tc>
      </w:tr>
      <w:tr>
        <w:tc>
          <w:tcPr/>
          <w:p>
            <w:pPr>
              <w:pStyle w:val="Compact"/>
              <w:jc w:val="center"/>
            </w:pPr>
            <w:r>
              <w:t xml:space="preserve">s</w:t>
            </w:r>
          </w:p>
        </w:tc>
        <w:tc>
          <w:tcPr/>
          <w:p>
            <w:pPr>
              <w:pStyle w:val="Compact"/>
              <w:jc w:val="left"/>
            </w:pPr>
            <w:r>
              <w:t xml:space="preserve">odczyt singularny / wariant prywatny (dopóki wszystkie manuskrypty nie zostaną skolacjonowane, jest to tylko założenie)</w:t>
            </w:r>
          </w:p>
        </w:tc>
      </w:tr>
      <w:tr>
        <w:tc>
          <w:tcPr/>
          <w:p>
            <w:pPr>
              <w:pStyle w:val="Compact"/>
              <w:jc w:val="center"/>
            </w:pPr>
            <w:r>
              <w:t xml:space="preserve">h</w:t>
            </w:r>
          </w:p>
        </w:tc>
        <w:tc>
          <w:tcPr/>
          <w:p>
            <w:pPr>
              <w:pStyle w:val="Compact"/>
              <w:jc w:val="left"/>
            </w:pPr>
            <w:r>
              <w:t xml:space="preserve">oczywisty przypadek homoioteleutonu (lub homoioarktonu), często obejmujący wiersz lub więcej, ale może obejmować tylko trzy lub cztery słowa</w:t>
            </w:r>
          </w:p>
        </w:tc>
      </w:tr>
      <w:tr>
        <w:tc>
          <w:tcPr/>
          <w:p>
            <w:pPr>
              <w:pStyle w:val="Compact"/>
              <w:jc w:val="center"/>
            </w:pPr>
            <w:r>
              <w:t xml:space="preserve">i</w:t>
            </w:r>
          </w:p>
        </w:tc>
        <w:tc>
          <w:tcPr/>
          <w:p>
            <w:pPr>
              <w:pStyle w:val="Compact"/>
              <w:jc w:val="left"/>
            </w:pPr>
            <w:r>
              <w:t xml:space="preserve">zwykła nieuwaga</w:t>
            </w:r>
          </w:p>
        </w:tc>
      </w:tr>
      <w:tr>
        <w:tc>
          <w:tcPr/>
          <w:p>
            <w:pPr>
              <w:pStyle w:val="Compact"/>
              <w:jc w:val="center"/>
            </w:pPr>
            <w:r>
              <w:t xml:space="preserve">---</w:t>
            </w:r>
          </w:p>
        </w:tc>
        <w:tc>
          <w:tcPr/>
          <w:p>
            <w:pPr>
              <w:pStyle w:val="Compact"/>
              <w:jc w:val="left"/>
            </w:pPr>
            <w:r>
              <w:t xml:space="preserve">brak odejść od domniemanego profilu</w:t>
            </w:r>
          </w:p>
        </w:tc>
      </w:tr>
    </w:tbl>
    <w:bookmarkEnd w:id="304"/>
    <w:bookmarkStart w:id="308" w:name="konsekwencje"/>
    <w:p>
      <w:pPr>
        <w:pStyle w:val="Heading3"/>
      </w:pPr>
      <w:r>
        <w:rPr>
          <w:iCs/>
          <w:i/>
        </w:rPr>
        <w:t xml:space="preserve">Konsekwencje</w:t>
      </w:r>
    </w:p>
    <w:p>
      <w:pPr>
        <w:pStyle w:val="FirstParagraph"/>
      </w:pPr>
      <w:r>
        <w:t xml:space="preserve">Zacznę od ostatniej kolumny tabeli, „Egzemplarz”. Z wyjątkiem 18, 928, 1864 i 2723, które same są doskonałe, większość pozostałych ma inną ocenę. Wszystkie odczyty singularne należy pominąć (łącznie z homoioteleutonem i nieuwagą), jeśli nie wprowadził ich kopista, uczynił to „ojciec” lub „dziadek” — któryś przodek był wolny od wszystkich „odczytów singularnych”, nie wnoszą więc one niczego do historii przekazu i nie są istotne dla śledzenia tego przekazu. Należy również pominąć wszystkie warianty poprawione do domniemanego profilu rodziny — ktokolwiek dokonał poprawki, uczynił to na podstawie poprawnego egzemplarza (poprawnego w tym miejscu). Egzemplarzowi przypisuję więc jedynie „x”, „y” i „/” — oczywiście niektóre z nich również mogły być dziełem kopisty, co czyniłoby egzemplarz jeszcze lepszym, lecz nie mam sposobu ustalenia, kiedy to nastąpiło.</w:t>
      </w:r>
    </w:p>
    <w:p>
      <w:pPr>
        <w:pStyle w:val="BodyText"/>
      </w:pPr>
      <w:r>
        <w:t xml:space="preserve">Zauważ, że spośród trzydziestu czterech manuskryptów szesnaście ich egzemplarzy (prawie połowa) było „doskonałych”, a kolejnych sześć różniło się tylko jednym wariantem (najgorszy różnił się zaledwie siedmioma w dwóch księgach). Gdyby nie było odłamów, moglibyśmy patrzeć na trzydzieści cztery niezależne linie przekazu w obrębie rodziny, co jest dla mnie po prostu fantastyczne.</w:t>
      </w:r>
      <w:r>
        <w:rPr>
          <w:rStyle w:val="FootnoteReference"/>
        </w:rPr>
        <w:footnoteReference w:id="305"/>
      </w:r>
      <w:r>
        <w:t xml:space="preserve"> </w:t>
      </w:r>
      <w:r>
        <w:t xml:space="preserve">A co z odłamami? W 1 Liście do Tesaloniczan jest kilka bardzo drobnych, a w 2 Liście do Tesaloniczan zaledwie kilka par.</w:t>
      </w:r>
    </w:p>
    <w:p>
      <w:pPr>
        <w:pStyle w:val="BodyText"/>
      </w:pPr>
      <w:r>
        <w:t xml:space="preserve">Wnioskuję, że wszystkie trzydzieści cztery manuskrypty były niezależne w swoim pokoleniu i nie widzę dowodów wskazujących na inny wniosek w odniesieniu do ich egzemplarzy. Proszę zauważyć, że nie twierdzę, iż wszystkie trzydzieści cztery linie pozostają odrębne przez całą drogę aż do archetypu. Chętnie przyznaję, że zanim dotrzemy z powrotem do źródła, wystąpiłaby pewna liczba zbieżności. Jakkolwiek by było, patrzymy na bardzo staranny przekaz.</w:t>
      </w:r>
    </w:p>
    <w:p>
      <w:pPr>
        <w:pStyle w:val="BodyText"/>
      </w:pPr>
      <w:r>
        <w:t xml:space="preserve">Teraz zwracam uwagę na miejsce. Manuskrypty pochodzą z całego świata śródziemnomorskiego. Trzynaście manuskryptów z góry Athos z pewnością sporządzono w ich odpowiednich klasztorach (siedmiu). Ponieważ polityka kościelna ma skłonność być tym, czym ma skłonność być, niewielkie jest prawdopodobieństwo, że między klasztorami istniała zmowa w sprawie przekazywania pism Nowego Testamentu — uważam, że tych trzynaście reprezentuje tyle samo egzemplarzy. Manuskrypty z Trikali, Patmos, Jerozolimy i Synaju przypuszczalnie sporządzono w tych miejscach, rękopis kursywny 18 z pewnością sporządzono w Konstantynopolu, a rękopis kursywny 35 pozyskano na obszarze egejskim. Manuskrypty znajdujące się w Watykanie i Grottaferracie równie dobrze mogły zostać tam sporządzone.</w:t>
      </w:r>
    </w:p>
    <w:p>
      <w:pPr>
        <w:pStyle w:val="BodyText"/>
      </w:pPr>
      <w:r>
        <w:t xml:space="preserve">Teraz zwracam szczególną uwagę na minuskuł 18, sporządzony w Konstantynopolu w</w:t>
      </w:r>
      <w:r>
        <w:t xml:space="preserve"> </w:t>
      </w:r>
      <w:r>
        <w:rPr>
          <w:bCs/>
          <w:b/>
        </w:rPr>
        <w:t xml:space="preserve">1364</w:t>
      </w:r>
      <w:r>
        <w:t xml:space="preserve"> </w:t>
      </w:r>
      <w:r>
        <w:t xml:space="preserve">roku! W obecnym stanie jest doskonałym przedstawicielem domniemanego profilu rodziny dla Listów do Tesaloniczan (mówię „domniemanego” jedynie z uwagi na wszystkich przedstawicieli rodziny, których jeszcze nie skolacjonowałem, lecz biorąc pod uwagę rozmieszczenie geograficzne powyższych trzydziestu czterech, nie mam wątpliwości, że profil podany w moim Tekście jest poprawny).</w:t>
      </w:r>
      <w:r>
        <w:rPr>
          <w:rStyle w:val="FootnoteReference"/>
        </w:rPr>
        <w:footnoteReference w:id="306"/>
      </w:r>
      <w:r>
        <w:t xml:space="preserve"> </w:t>
      </w:r>
      <w:r>
        <w:t xml:space="preserve">Ile pokoleń kopii istniałoby między manuskryptem 18 a archetypem rodziny? Czy mogło ich być piętnaście lub więcej? Wyobrażam sobie, że było ich co najmniej dziesięć. Niezależnie od ich rzeczywistej liczby proszę zauważyć, że każde bez wyjątku było doskonałe!</w:t>
      </w:r>
      <w:r>
        <w:t xml:space="preserve"> </w:t>
      </w:r>
      <w:r>
        <w:rPr>
          <w:u w:val="single"/>
          <w:iCs/>
          <w:i/>
        </w:rPr>
        <w:t xml:space="preserve">Konsekwencje znalezienia doskonałego przedstawiciela jakiegokolwiek tekstu archetypalnego są dość doniosłe. Wszystkie</w:t>
      </w:r>
      <w:r>
        <w:rPr>
          <w:iCs/>
          <w:i/>
        </w:rPr>
        <w:t xml:space="preserve"> </w:t>
      </w:r>
      <w:r>
        <w:rPr>
          <w:iCs/>
          <w:i/>
        </w:rPr>
        <w:t xml:space="preserve">„kanony” krytyki tekstu stają się nieistotne dla każdego punktu późniejszego od</w:t>
      </w:r>
      <w:r>
        <w:t xml:space="preserve"> </w:t>
      </w:r>
      <w:r>
        <w:rPr>
          <w:u w:val="single"/>
          <w:iCs/>
          <w:i/>
        </w:rPr>
        <w:t xml:space="preserve">powstania tego tekstu</w:t>
      </w:r>
      <w:r>
        <w:t xml:space="preserve"> </w:t>
      </w:r>
      <w:r>
        <w:t xml:space="preserve">(nadal mogłyby mieć zastosowanie przy badaniu powstania tekstu, zależnie od okoliczności). Aby manuskrypt 18 był doskonały, wszystkie pokolenia pomiędzy nim a archetypem również musiały być doskonałe. To właśnie nazywam</w:t>
      </w:r>
      <w:r>
        <w:t xml:space="preserve"> </w:t>
      </w:r>
      <w:r>
        <w:rPr>
          <w:bCs/>
          <w:b/>
        </w:rPr>
        <w:t xml:space="preserve">niewiarygodnie starannym przekazem</w:t>
      </w:r>
      <w:r>
        <w:t xml:space="preserve">. Nic z tego, czego uczono mnie w seminarium o krytyce tekstu Nowego Testamentu, nie przygotowało mnie na to odkrycie! Ani zresztą nic z tego, co czytałem. Manuskrypt 18 nie jest jednak przypadkiem odosobnionym, wszystkie trzydzieści cztery manuskrypty w powyższej tabeli odzwierciedlają</w:t>
      </w:r>
      <w:r>
        <w:t xml:space="preserve"> </w:t>
      </w:r>
      <w:r>
        <w:rPr>
          <w:bCs/>
          <w:b/>
        </w:rPr>
        <w:t xml:space="preserve">niewiarygodnie staranny przekaz</w:t>
      </w:r>
      <w:r>
        <w:t xml:space="preserve"> </w:t>
      </w:r>
      <w:r>
        <w:t xml:space="preserve">— nawet najgorsze z nich, minuskuły 1761 i 1874, ze swoimi siedmioma wariantami („odczyty singularne” w 1893 i 1248 są niestarannymi błędami (nieszczęśliwi mnisi)), są naprawdę całkiem dobre, zważywszy na wszystkie pośrednie pokolenia.</w:t>
      </w:r>
    </w:p>
    <w:p>
      <w:pPr>
        <w:pStyle w:val="BodyText"/>
      </w:pPr>
      <w:r>
        <w:t xml:space="preserve">Punkt ten zasługuje na rozwinięcie. Typowy manuskrypt „aleksandryjski” ma ponad tuzin wariantów na stronę drukowanego tekstu greckiego. Typowy manuskrypt „bizantyjski” ma od 3 do 5 wariantów na stronę. Manuskrypty 1761 i 1876 mają około jednego na stronę, a jeden z lepszych manuskryptów</w:t>
      </w:r>
      <w:r>
        <w:t xml:space="preserve"> </w:t>
      </w:r>
      <w:r>
        <w:rPr>
          <w:bCs/>
          <w:b/>
        </w:rPr>
        <w:t xml:space="preserve">f</w:t>
      </w:r>
      <w:r>
        <w:rPr>
          <w:vertAlign w:val="superscript"/>
          <w:bCs/>
          <w:b/>
        </w:rPr>
        <w:t xml:space="preserve">35</w:t>
      </w:r>
      <w:r>
        <w:t xml:space="preserve"> </w:t>
      </w:r>
      <w:r>
        <w:t xml:space="preserve">przejdzie wiele stron bez wariantu. Istnieje oczywista różnica w mentalności, z jaką mnisi przystępowali do swojego zadania. Mnich kopiujący manuskrypt „aleksandryjski” najwyraźniej nie uważał, że ma do czynienia z Pismem, w jaskrawym przeciwieństwie do mnicha kopiującego manuskrypt</w:t>
      </w:r>
      <w:r>
        <w:t xml:space="preserve"> </w:t>
      </w:r>
      <w:r>
        <w:rPr>
          <w:bCs/>
          <w:b/>
        </w:rPr>
        <w:t xml:space="preserve">f</w:t>
      </w:r>
      <w:r>
        <w:rPr>
          <w:vertAlign w:val="superscript"/>
          <w:bCs/>
          <w:b/>
        </w:rPr>
        <w:t xml:space="preserve">35</w:t>
      </w:r>
      <w:r>
        <w:t xml:space="preserve">. Tym, którzy nie wykluczają czynnika nadprzyrodzonego ze swojego modelu, przedkładam, że powyższe informacje są wysoce znaczące: Bóg najwyraźniej nie chronił żadnego „aleksandryjskiego” typu manuskryptu, prawdopodobnie dlatego, że zawierał „kąkol” (Ewangelia Mateusza 13,28). Mnich kopiujący manuskrypt typu masy „bizantyjskiej” wykonywał znacznie lepszą pracę niż aleksandryjski, nadal jednak nie był wystarczająco staranny — prawdopodobnie tylko wykonywał religijny obowiązek, lecz bez osobistego przywiązania do Tekstu. Ponieważ Bóg szanuje nasze wybory (Ewangelia Jana 4,23-24), rezultatem był typowy manuskrypt „bizantyjski”. Prawdą jest również, że nie wszystkie manuskrypty</w:t>
      </w:r>
      <w:r>
        <w:t xml:space="preserve"> </w:t>
      </w:r>
      <w:r>
        <w:rPr>
          <w:bCs/>
          <w:b/>
        </w:rPr>
        <w:t xml:space="preserve">f</w:t>
      </w:r>
      <w:r>
        <w:rPr>
          <w:vertAlign w:val="superscript"/>
          <w:bCs/>
          <w:b/>
        </w:rPr>
        <w:t xml:space="preserve">35</w:t>
      </w:r>
      <w:r>
        <w:t xml:space="preserve"> </w:t>
      </w:r>
      <w:r>
        <w:t xml:space="preserve">sporządzono starannie, wnioskuję jednak, że rdzeń przedstawicieli został sporządzony przez kopistów, którzy wierzyli, iż mają do czynienia ze Słowem Bożym, i chcieli, aby ich praca Mu się podobała</w:t>
      </w:r>
      <w:r>
        <w:rPr>
          <w:rStyle w:val="FootnoteReference"/>
        </w:rPr>
        <w:footnoteReference w:id="307"/>
      </w:r>
      <w:r>
        <w:t xml:space="preserve"> </w:t>
      </w:r>
      <w:r>
        <w:t xml:space="preserve">— właśnie takich, którym Duch Święty z radością pomagałby i których by chronił.</w:t>
      </w:r>
    </w:p>
    <w:bookmarkEnd w:id="308"/>
    <w:bookmarkStart w:id="310" w:name="X3d866095db41acc28052a7dcbf6dd5533a4cf95"/>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2 i 3 Liście Jana oraz Liście Judy</w:t>
      </w:r>
    </w:p>
    <w:p>
      <w:pPr>
        <w:pStyle w:val="FirstParagraph"/>
      </w:pPr>
      <w:r>
        <w:t xml:space="preserve">Ta część koncentruje się na 2 i 3 Liście Jana oraz Liście Judy. Jak dotąd skolacjonowałem czterdziestu sześciu przedstawicieli Rodziny 35 (dla tych trzech ksiąg) i zwracam uwagę na wyniki. Dotąd zidentyfikowałem 84 manuskrypty należące do</w:t>
      </w:r>
      <w:r>
        <w:t xml:space="preserve"> </w:t>
      </w:r>
      <w:r>
        <w:rPr>
          <w:bCs/>
          <w:b/>
        </w:rPr>
        <w:t xml:space="preserve">f</w:t>
      </w:r>
      <w:r>
        <w:rPr>
          <w:vertAlign w:val="superscript"/>
          <w:bCs/>
          <w:b/>
        </w:rPr>
        <w:t xml:space="preserve">35</w:t>
      </w:r>
      <w:r>
        <w:t xml:space="preserve"> </w:t>
      </w:r>
      <w:r>
        <w:t xml:space="preserve">w Listach Ogólnych (oraz kolejnych 10 lub 12 na obrzeżach), próba ta jest więc z pewnością reprezentatywna, biorąc pod uwagę również rozmieszczenie geograficzne.</w:t>
      </w:r>
    </w:p>
    <w:tbl>
      <w:tblPr>
        <w:tblStyle w:val="Table"/>
        <w:tblW w:type="pct" w:w="5000"/>
        <w:tblLook w:firstRow="1" w:lastRow="0" w:firstColumn="0" w:lastColumn="0" w:noHBand="0" w:noVBand="0" w:val="0020"/>
        <w:jc w:val="start"/>
      </w:tblPr>
      <w:tblGrid>
        <w:gridCol w:w="960"/>
        <w:gridCol w:w="1200"/>
        <w:gridCol w:w="1200"/>
        <w:gridCol w:w="1200"/>
        <w:gridCol w:w="960"/>
        <w:gridCol w:w="1200"/>
        <w:gridCol w:w="1200"/>
      </w:tblGrid>
      <w:tr>
        <w:trPr>
          <w:tblHeader w:val="true"/>
        </w:trPr>
        <w:tc>
          <w:tcPr/>
          <w:p>
            <w:pPr>
              <w:pStyle w:val="Compact"/>
              <w:jc w:val="right"/>
            </w:pPr>
            <w:r>
              <w:rPr>
                <w:bCs/>
                <w:b/>
              </w:rPr>
              <w:t xml:space="preserve">Manuskrypt</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left"/>
            </w:pPr>
            <w:r>
              <w:t xml:space="preserve">Miejsce</w:t>
            </w:r>
          </w:p>
        </w:tc>
        <w:tc>
          <w:tcPr/>
          <w:p>
            <w:pPr>
              <w:pStyle w:val="Compact"/>
              <w:jc w:val="center"/>
            </w:pPr>
            <w:r>
              <w:t xml:space="preserve">Data</w:t>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left"/>
            </w:pPr>
            <w:r>
              <w:t xml:space="preserve">Konstantynopol</w:t>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left"/>
            </w:pPr>
            <w:r>
              <w:t xml:space="preserve">obszar egejski</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149</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2/</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1x</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432</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1/</w:t>
            </w:r>
          </w:p>
        </w:tc>
      </w:tr>
      <w:tr>
        <w:tc>
          <w:tcPr/>
          <w:p>
            <w:pPr>
              <w:pStyle w:val="Compact"/>
              <w:jc w:val="right"/>
            </w:pPr>
            <w:r>
              <w:t xml:space="preserve">444</w:t>
            </w:r>
            <w:r>
              <w:rPr>
                <w:rStyle w:val="FootnoteReference"/>
              </w:rPr>
              <w:footnoteReference w:id="309"/>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664</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left"/>
            </w:pPr>
            <w:r>
              <w:t xml:space="preserve">Żytawa</w:t>
            </w:r>
          </w:p>
        </w:tc>
        <w:tc>
          <w:tcPr/>
          <w:p>
            <w:pPr>
              <w:pStyle w:val="Compact"/>
              <w:jc w:val="center"/>
            </w:pPr>
            <w:r>
              <w:t xml:space="preserve">XV</w:t>
            </w:r>
          </w:p>
        </w:tc>
        <w:tc>
          <w:tcPr/>
          <w:p>
            <w:pPr>
              <w:pStyle w:val="Compact"/>
              <w:jc w:val="center"/>
            </w:pPr>
            <w:r>
              <w:t xml:space="preserve">1x</w:t>
            </w:r>
          </w:p>
        </w:tc>
      </w:tr>
      <w:tr>
        <w:tc>
          <w:tcPr/>
          <w:p>
            <w:pPr>
              <w:pStyle w:val="Compact"/>
              <w:jc w:val="right"/>
            </w:pPr>
            <w:r>
              <w:t xml:space="preserve">757</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1100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w:t>
            </w:r>
          </w:p>
        </w:tc>
      </w:tr>
      <w:tr>
        <w:tc>
          <w:tcPr/>
          <w:p>
            <w:pPr>
              <w:pStyle w:val="Compact"/>
              <w:jc w:val="right"/>
            </w:pPr>
            <w:r>
              <w:t xml:space="preserve">1247</w:t>
            </w:r>
          </w:p>
        </w:tc>
        <w:tc>
          <w:tcPr/>
          <w:p>
            <w:pPr>
              <w:pStyle w:val="Compact"/>
              <w:jc w:val="center"/>
            </w:pPr>
            <w:r>
              <w:t xml:space="preserve">1x, 1/, 1s</w:t>
            </w:r>
          </w:p>
        </w:tc>
        <w:tc>
          <w:tcPr/>
          <w:p>
            <w:pPr>
              <w:pStyle w:val="Compact"/>
              <w:jc w:val="center"/>
            </w:pPr>
            <w:r>
              <w:t xml:space="preserve">1/, 1s</w:t>
            </w:r>
          </w:p>
        </w:tc>
        <w:tc>
          <w:tcPr/>
          <w:p>
            <w:pPr>
              <w:pStyle w:val="Compact"/>
              <w:jc w:val="center"/>
            </w:pPr>
            <w:r>
              <w:t xml:space="preserve">1x, 1/, 6s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2x, 3/</w:t>
            </w:r>
          </w:p>
        </w:tc>
      </w:tr>
      <w:tr>
        <w:tc>
          <w:tcPr/>
          <w:p>
            <w:pPr>
              <w:pStyle w:val="Compact"/>
              <w:jc w:val="right"/>
            </w:pPr>
            <w:r>
              <w:t xml:space="preserve">1248</w:t>
            </w:r>
          </w:p>
        </w:tc>
        <w:tc>
          <w:tcPr/>
          <w:p>
            <w:pPr>
              <w:pStyle w:val="Compact"/>
              <w:jc w:val="center"/>
            </w:pPr>
            <w:r>
              <w:t xml:space="preserve">2/</w:t>
            </w:r>
          </w:p>
        </w:tc>
        <w:tc>
          <w:tcPr/>
          <w:p>
            <w:pPr>
              <w:pStyle w:val="Compact"/>
              <w:jc w:val="center"/>
            </w:pPr>
            <w:r>
              <w:t xml:space="preserve">1/, 3s</w:t>
            </w:r>
          </w:p>
        </w:tc>
        <w:tc>
          <w:tcPr/>
          <w:p>
            <w:pPr>
              <w:pStyle w:val="Compact"/>
              <w:jc w:val="center"/>
            </w:pPr>
            <w:r>
              <w:t xml:space="preserve">4s</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w:t>
            </w:r>
          </w:p>
        </w:tc>
      </w:tr>
      <w:tr>
        <w:tc>
          <w:tcPr/>
          <w:p>
            <w:pPr>
              <w:pStyle w:val="Compact"/>
              <w:jc w:val="right"/>
            </w:pPr>
            <w:r>
              <w:t xml:space="preserve">1249</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2/</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M. Lavras</w:t>
            </w:r>
          </w:p>
        </w:tc>
        <w:tc>
          <w:tcPr/>
          <w:p>
            <w:pPr>
              <w:pStyle w:val="Compact"/>
              <w:jc w:val="center"/>
            </w:pPr>
            <w:r>
              <w:t xml:space="preserve">1400</w:t>
            </w:r>
          </w:p>
        </w:tc>
        <w:tc>
          <w:tcPr/>
          <w:p>
            <w:pPr>
              <w:pStyle w:val="Compact"/>
              <w:jc w:val="center"/>
            </w:pPr>
            <w:r>
              <w:t xml:space="preserve">---</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w:t>
            </w:r>
          </w:p>
        </w:tc>
      </w:tr>
      <w:tr>
        <w:tc>
          <w:tcPr/>
          <w:p>
            <w:pPr>
              <w:pStyle w:val="Compact"/>
              <w:jc w:val="right"/>
            </w:pPr>
            <w:r>
              <w:t xml:space="preserve">1725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w:t>
            </w:r>
          </w:p>
        </w:tc>
      </w:tr>
      <w:tr>
        <w:tc>
          <w:tcPr/>
          <w:p>
            <w:pPr>
              <w:pStyle w:val="Compact"/>
              <w:jc w:val="right"/>
            </w:pPr>
            <w:r>
              <w:t xml:space="preserve">1732</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1x, 1/</w:t>
            </w:r>
          </w:p>
        </w:tc>
      </w:tr>
      <w:tr>
        <w:tc>
          <w:tcPr/>
          <w:p>
            <w:pPr>
              <w:pStyle w:val="Compact"/>
              <w:jc w:val="right"/>
            </w:pPr>
            <w:r>
              <w:t xml:space="preserve">1754</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Panteleimonos (Athos)</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1761</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1768</w:t>
            </w:r>
          </w:p>
        </w:tc>
        <w:tc>
          <w:tcPr/>
          <w:p>
            <w:pPr>
              <w:pStyle w:val="Compact"/>
              <w:jc w:val="center"/>
            </w:pPr>
            <w:r>
              <w:t xml:space="preserve">---</w:t>
            </w:r>
          </w:p>
        </w:tc>
        <w:tc>
          <w:tcPr/>
          <w:p>
            <w:pPr>
              <w:pStyle w:val="Compact"/>
              <w:jc w:val="center"/>
            </w:pPr>
            <w:r>
              <w:t xml:space="preserve">1y</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1516</w:t>
            </w:r>
          </w:p>
        </w:tc>
        <w:tc>
          <w:tcPr/>
          <w:p>
            <w:pPr>
              <w:pStyle w:val="Compact"/>
              <w:jc w:val="center"/>
            </w:pPr>
            <w:r>
              <w:t xml:space="preserve">1y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4/</w:t>
            </w:r>
          </w:p>
        </w:tc>
      </w:tr>
      <w:tr>
        <w:tc>
          <w:tcPr/>
          <w:p>
            <w:pPr>
              <w:pStyle w:val="Compact"/>
              <w:jc w:val="right"/>
            </w:pPr>
            <w:r>
              <w:t xml:space="preserve">1892</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1x</w:t>
            </w:r>
          </w:p>
        </w:tc>
      </w:tr>
      <w:tr>
        <w:tc>
          <w:tcPr/>
          <w:p>
            <w:pPr>
              <w:pStyle w:val="Compact"/>
              <w:jc w:val="right"/>
            </w:pPr>
            <w:r>
              <w:t xml:space="preserve">1897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center"/>
            </w:pPr>
            <w:r>
              <w:t xml:space="preserve">1432</w:t>
            </w:r>
          </w:p>
        </w:tc>
        <w:tc>
          <w:tcPr/>
          <w:p>
            <w:pPr>
              <w:pStyle w:val="Compact"/>
              <w:jc w:val="center"/>
            </w:pPr>
            <w:r>
              <w:t xml:space="preserve">---</w:t>
            </w:r>
          </w:p>
        </w:tc>
      </w:tr>
      <w:tr>
        <w:tc>
          <w:tcPr/>
          <w:p>
            <w:pPr>
              <w:pStyle w:val="Compact"/>
              <w:jc w:val="right"/>
            </w:pPr>
            <w:r>
              <w:t xml:space="preserve">2352</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2431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left"/>
            </w:pPr>
            <w:r>
              <w:t xml:space="preserve">Kavsokalyvia (Athos)</w:t>
            </w:r>
          </w:p>
        </w:tc>
        <w:tc>
          <w:tcPr/>
          <w:p>
            <w:pPr>
              <w:pStyle w:val="Compact"/>
              <w:jc w:val="center"/>
            </w:pPr>
            <w:r>
              <w:t xml:space="preserve">1332</w:t>
            </w:r>
          </w:p>
        </w:tc>
        <w:tc>
          <w:tcPr/>
          <w:p>
            <w:pPr>
              <w:pStyle w:val="Compact"/>
              <w:jc w:val="center"/>
            </w:pPr>
            <w:r>
              <w:t xml:space="preserv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2626</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left"/>
            </w:pPr>
            <w:r>
              <w:t xml:space="preserve">Ochryda</w:t>
            </w:r>
          </w:p>
        </w:tc>
        <w:tc>
          <w:tcPr/>
          <w:p>
            <w:pPr>
              <w:pStyle w:val="Compact"/>
              <w:jc w:val="center"/>
            </w:pPr>
            <w:r>
              <w:t xml:space="preserve">XIV</w:t>
            </w:r>
          </w:p>
        </w:tc>
        <w:tc>
          <w:tcPr/>
          <w:p>
            <w:pPr>
              <w:pStyle w:val="Compact"/>
              <w:jc w:val="center"/>
            </w:pPr>
            <w:r>
              <w:t xml:space="preserve">4/</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bookmarkEnd w:id="310"/>
    <w:bookmarkStart w:id="313" w:name="konsekwencje-1"/>
    <w:p>
      <w:pPr>
        <w:pStyle w:val="Heading3"/>
      </w:pPr>
      <w:r>
        <w:rPr>
          <w:iCs/>
          <w:i/>
        </w:rPr>
        <w:t xml:space="preserve">Konsekwencje</w:t>
      </w:r>
    </w:p>
    <w:p>
      <w:pPr>
        <w:pStyle w:val="FirstParagraph"/>
      </w:pPr>
      <w:r>
        <w:t xml:space="preserve">W 2 Liście Jana dwie trzecie (trzydzieści) manuskryptów jest w obecnym stanie doskonałymi przedstawicielami rodziny, w 3 Liście Jana odsetek również wynosi dwie trzecie (trzydzieści, lecz inny zestaw), w Liście Judy nieco mniej niż połowę (dwadzieścia dwa), a we wszystkich trzech — mniej niż jedną trzecią (czternaście). Ponad połowa (dwadzieścia dziewięć) egzemplarzy była przypuszczalnie doskonała. Ponieważ mam liczby dla wszystkich siedmiu ksiąg Listów Ogólnych, mogę zapewnić czytelnika, że wszystkie czterdzieści sześć manuskryptów jest niezależnych w swoim pokoleniu, podobnie jak ich egzemplarze. Rękopisy kursywne 149 i 201 są wyraźnie ze sobą powiązane, tak samo jak 432 i 604, a wszystkie cztery prawdopodobnie pochodzą ze wspólnego źródła pośredniego między nimi a archetypem. Nie widzę dowodów zmowy, „upychania urny wyborczej” — nie podejmowano zorganizowanego wysiłku ujednolicenia Tekstu. Patrzymy na normalny przekaz, z tym wyjątkiem, że był</w:t>
      </w:r>
      <w:r>
        <w:t xml:space="preserve"> </w:t>
      </w:r>
      <w:r>
        <w:rPr>
          <w:bCs/>
          <w:b/>
        </w:rPr>
        <w:t xml:space="preserve">niewiarygodnie staranny</w:t>
      </w:r>
      <w:r>
        <w:t xml:space="preserve">. Czternaście manuskryptów doskonałych we wszystkich trzech księgach miało doskonałych przodków przez całą drogę aż do archetypu, podobnie jak dwadzieścia dziewięć doskonałych egzemplarzy. Wyjaśnienie, w jaki sposób dochodzę do klasyfikacji egzemplarzy, czytelnik znajdzie w poprzedniej części.</w:t>
      </w:r>
    </w:p>
    <w:p>
      <w:pPr>
        <w:pStyle w:val="BodyText"/>
      </w:pPr>
      <w:r>
        <w:t xml:space="preserve">W miarę kolacjonowania kolejnych manuskryptów zaobserwowałem przewidywalny wzorzec. Przez pierwsze dwie lub trzy, a nawet cztery strony manuskrypty wykazują zwykle niewiele błędów albo żadnych. Jeśli skryba ma popełniać błędy, następuje to zwykle po tym, jak pracował już dostatecznie długo, by zacząć się męczyć lub nudzić. Dość często większość błędów znajduje się na jednej stronie lub w jednym rozdziale, następnie skryba zrobił przerwę (jak przypuszczam) i po powrocie do zadania, wypoczęty, wykonywał lepszą pracę. Powiedziałbym, że wysoki odsetek „doskonałych” kopii wynika w dużej mierze z niewielkich rozmiarów naszych trzech ksiąg — kopiści nie zdążyli się zmęczyć. Mimo wszystko spostrzeżenie to nie zmienia faktu, że przez stulecia trwał</w:t>
      </w:r>
      <w:r>
        <w:t xml:space="preserve"> </w:t>
      </w:r>
      <w:r>
        <w:rPr>
          <w:bCs/>
          <w:b/>
        </w:rPr>
        <w:t xml:space="preserve">niewiarygodnie staranny przekaz</w:t>
      </w:r>
      <w:r>
        <w:t xml:space="preserve">.</w:t>
      </w:r>
      <w:r>
        <w:rPr>
          <w:rStyle w:val="FootnoteReference"/>
        </w:rPr>
        <w:footnoteReference w:id="311"/>
      </w:r>
      <w:r>
        <w:t xml:space="preserve"> </w:t>
      </w:r>
      <w:r>
        <w:t xml:space="preserve">Biorąc pod uwagę wielkość mojej próby i rozmieszczenie geograficzne manuskryptów, jestem radośnie pewien, że mamy precyzyjne oryginalne sformułowania archetypu</w:t>
      </w:r>
      <w:r>
        <w:t xml:space="preserve"> </w:t>
      </w:r>
      <w:r>
        <w:rPr>
          <w:bCs/>
          <w:b/>
        </w:rPr>
        <w:t xml:space="preserve">f</w:t>
      </w:r>
      <w:r>
        <w:rPr>
          <w:vertAlign w:val="superscript"/>
          <w:bCs/>
          <w:b/>
        </w:rPr>
        <w:t xml:space="preserve">35</w:t>
      </w:r>
      <w:r>
        <w:t xml:space="preserve"> </w:t>
      </w:r>
      <w:r>
        <w:t xml:space="preserve">dla 2 i 3 Listu Jana oraz Listu Judy, co do litery. Zostały one odtworzone w moim Tekście greckim.</w:t>
      </w:r>
    </w:p>
    <w:p>
      <w:pPr>
        <w:pStyle w:val="BodyText"/>
      </w:pPr>
      <w:r>
        <w:t xml:space="preserve">Uwzględniając moje założenia wstępne, uważam, że mam dobry powód, by ogłosić Boskie zachowanie precyzyjnych oryginalnych sformułowań całego Tekstu Nowego Testamentu aż do dziś. Sformułowania te zostały odtworzone w moim wydaniu greckiego Nowego Testamentu,</w:t>
      </w:r>
      <w:r>
        <w:t xml:space="preserve"> </w:t>
      </w:r>
      <w:r>
        <w:rPr>
          <w:iCs/>
          <w:i/>
        </w:rPr>
        <w:t xml:space="preserve">The Greek New Testament According to Family 35</w:t>
      </w:r>
      <w:r>
        <w:t xml:space="preserve">, dostępnym na Amazon.com, a także na mojej stronie,</w:t>
      </w:r>
      <w:r>
        <w:t xml:space="preserve"> </w:t>
      </w:r>
      <w:r>
        <w:rPr>
          <w:u w:val="single"/>
        </w:rPr>
        <w:t xml:space="preserve">www.prunch.org</w:t>
      </w:r>
      <w:r>
        <w:t xml:space="preserve">. PROSZĘ JEDNAK ZAUWAŻYĆ:</w:t>
      </w:r>
      <w:r>
        <w:t xml:space="preserve"> </w:t>
      </w:r>
      <w:r>
        <w:rPr>
          <w:u w:val="single"/>
        </w:rPr>
        <w:t xml:space="preserve">niezależnie od tego, czy archetyp</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Autografem (jak twierdzę), faktem pozostaje, że manuskrypty skolacjonowane na potrzeby tego badania odzwierciedlają niewiarygodnie staranny przekaz swojego źródła, i to przez całe średniowiecze</w:t>
      </w:r>
      <w:r>
        <w:t xml:space="preserve">. Moje założenia wstępne obejmują następujące: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 f</w:t>
      </w:r>
      <w:r>
        <w:rPr>
          <w:vertAlign w:val="superscript"/>
          <w:bCs/>
          <w:b/>
        </w:rPr>
        <w:t xml:space="preserve">35</w:t>
      </w:r>
      <w:r>
        <w:rPr>
          <w:bCs/>
          <w:b/>
        </w:rPr>
        <w:t xml:space="preserve">, czy przekaz ten byłby mniej staranny niż ten, który wykazałem dla 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u w:val="single"/>
        </w:rPr>
        <w:t xml:space="preserve">wszystkie</w:t>
      </w:r>
      <w:r>
        <w:t xml:space="preserve"> </w:t>
      </w:r>
      <w:r>
        <w:t xml:space="preserve">inne linie przekazu, jakie dotąd widziałem!</w:t>
      </w:r>
      <w:r>
        <w:rPr>
          <w:rStyle w:val="FootnoteReference"/>
        </w:rPr>
        <w:footnoteReference w:id="312"/>
      </w:r>
    </w:p>
    <w:bookmarkEnd w:id="313"/>
    <w:bookmarkEnd w:id="314"/>
    <w:bookmarkStart w:id="321" w:name="Xd94ea9fac9a0ac668d89d8701dab9fd1cd009cd"/>
    <w:p>
      <w:pPr>
        <w:pStyle w:val="Heading2"/>
      </w:pPr>
      <w:r>
        <w:t xml:space="preserve">Najlepszy kompletny Nowy Testament, jaki dotąd widziałem!</w:t>
      </w:r>
    </w:p>
    <w:p>
      <w:pPr>
        <w:pStyle w:val="FirstParagraph"/>
      </w:pPr>
      <w:r>
        <w:t xml:space="preserve">GA 2554 jest jednym z wielu kompletnych manuskryptów Nowego Testamentu reprezentujących Rodzinę 35, które są dostępne społeczności akademickiej. Datowany jest na rok 1434 po Chr. i przechowywany przez Akademię Rumuńską w Bukareszcie. Pragnę wyrazić szczerą wdzięczność Instytutowi Badań Tekstu Nowego Testamentu w Münster za udostępnienie cyfrowej kopii ich mikrofilmu tego manuskryptu. Chociaż pochodzi z XV wieku, pismo jest bardzo staranne. Spośród osiemnastu kompletnych manuskryptów Nowego Testamentu reprezentujących Rodzinę 35, których kopie posiadam (istnieją też inne), 2554 jest bez wątpienia najlepszy — skolacjonowałem go od deski do deski. Wymienię teraz wszystkie miejsca, w których odbiega od archetypu rodziny, łącznie z pewnymi przypadkami wątpliwymi, w całym Nowym Testamencie.</w:t>
      </w:r>
      <w:r>
        <w:rPr>
          <w:rStyle w:val="FootnoteReference"/>
        </w:rPr>
        <w:footnoteReference w:id="315"/>
      </w:r>
      <w:r>
        <w:t xml:space="preserve"> </w:t>
      </w:r>
      <w:r>
        <w:t xml:space="preserve">Jest ich tylko 49,</w:t>
      </w:r>
      <w:r>
        <w:rPr>
          <w:rStyle w:val="FootnoteReference"/>
        </w:rPr>
        <w:footnoteReference w:id="316"/>
      </w:r>
      <w:r>
        <w:t xml:space="preserve"> </w:t>
      </w:r>
      <w:r>
        <w:t xml:space="preserve">nie wszystkie są właściwymi wariantami.</w:t>
      </w:r>
    </w:p>
    <w:p>
      <w:pPr>
        <w:numPr>
          <w:ilvl w:val="0"/>
          <w:numId w:val="1019"/>
        </w:numPr>
      </w:pPr>
      <w:r>
        <w:t xml:space="preserve">Ewangelia Mateusza 11,8</w:t>
      </w:r>
      <w:r>
        <w:t xml:space="preserve"> </w:t>
      </w:r>
      <w:r>
        <w:rPr>
          <w:iCs/>
          <w:i/>
        </w:rPr>
        <w:t xml:space="preserve">βασιλειων</w:t>
      </w:r>
      <w:r>
        <w:t xml:space="preserve"> </w:t>
      </w:r>
      <w:r>
        <w:t xml:space="preserve">||</w:t>
      </w:r>
      <w:r>
        <w:t xml:space="preserve"> </w:t>
      </w:r>
      <w:r>
        <w:rPr>
          <w:iCs/>
          <w:i/>
        </w:rPr>
        <w:t xml:space="preserve">βασιλεων</w:t>
      </w:r>
      <w:r>
        <w:t xml:space="preserve"> </w:t>
      </w:r>
      <w:r>
        <w:t xml:space="preserve">(36,4%)</w:t>
      </w:r>
      <w:r>
        <w:rPr>
          <w:rStyle w:val="FootnoteReference"/>
        </w:rPr>
        <w:footnoteReference w:id="317"/>
      </w:r>
      <w:r>
        <w:t xml:space="preserve"> </w:t>
      </w:r>
      <w:r>
        <w:t xml:space="preserve">2554</w:t>
      </w:r>
      <w:r>
        <w:rPr>
          <w:vertAlign w:val="superscript"/>
        </w:rPr>
        <w:t xml:space="preserve">c</w:t>
      </w:r>
      <w:r>
        <w:t xml:space="preserve"> </w:t>
      </w:r>
      <w:r>
        <w:t xml:space="preserve">(pierwsza ręka wyraźnie miała</w:t>
      </w:r>
      <w:r>
        <w:t xml:space="preserve"> </w:t>
      </w:r>
      <w:r>
        <w:rPr>
          <w:iCs/>
          <w:i/>
        </w:rPr>
        <w:t xml:space="preserve">iotę</w:t>
      </w:r>
      <w:r>
        <w:t xml:space="preserve">, którą następnie wymazano, nie jest to więc wariant, w każdym razie w tym kontekście obie formy są synonimiczne).</w:t>
      </w:r>
    </w:p>
    <w:p>
      <w:pPr>
        <w:numPr>
          <w:ilvl w:val="0"/>
          <w:numId w:val="1019"/>
        </w:numPr>
      </w:pPr>
      <w:r>
        <w:t xml:space="preserve">Ewangelia Mateusza 13,15</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[50%] 2554</w:t>
      </w:r>
      <w:r>
        <w:rPr>
          <w:vertAlign w:val="superscript"/>
        </w:rPr>
        <w:t xml:space="preserve">c</w:t>
      </w:r>
      <w:r>
        <w:t xml:space="preserve"> </w:t>
      </w:r>
      <w:r>
        <w:t xml:space="preserve">(pozostały ślady wymazanej prawej strony omegi, pierwsza ręka była więc poprawna, nie jest to zatem wariant, w każdym razie w tym kontekście zmiana czasu nie wpływa na znaczenie).</w:t>
      </w:r>
    </w:p>
    <w:p>
      <w:pPr>
        <w:numPr>
          <w:ilvl w:val="0"/>
          <w:numId w:val="1019"/>
        </w:numPr>
      </w:pPr>
      <w:r>
        <w:t xml:space="preserve">Ewangelia Mateusza 25,32</w:t>
      </w:r>
      <w:r>
        <w:t xml:space="preserve"> </w:t>
      </w:r>
      <w:r>
        <w:rPr>
          <w:iCs/>
          <w:i/>
        </w:rPr>
        <w:t xml:space="preserve">συναχθησονται</w:t>
      </w:r>
      <w:r>
        <w:t xml:space="preserve"> </w:t>
      </w:r>
      <w:r>
        <w:t xml:space="preserve">||</w:t>
      </w:r>
      <w:r>
        <w:t xml:space="preserve"> </w:t>
      </w:r>
      <w:r>
        <w:rPr>
          <w:iCs/>
          <w:i/>
        </w:rPr>
        <w:t xml:space="preserve">συναχθησεται</w:t>
      </w:r>
      <w:r>
        <w:t xml:space="preserve"> </w:t>
      </w:r>
      <w:r>
        <w:t xml:space="preserve">[70%] (uwzględniam ten przypadek tylko dlatego, że spośród 51 przedstawicieli rodziny, których dotąd skolacjonowałem dla Ewangelii Mateusza, niewielka większość ma liczbę pojedynczą zamiast mnogiej (27/24), ze względu na jakość mniejszości, obejmującej 2554, wybrałem ją jako archetyp, w każdym razie niezależnie od tego, czy rzeczownik zbiorowy jest traktowany jako liczba pojedyncza czy mnoga, znaczenie pozostaje takie samo — są to dwa sposoby powiedzenia tego samego).</w:t>
      </w:r>
    </w:p>
    <w:p>
      <w:pPr>
        <w:numPr>
          <w:ilvl w:val="0"/>
          <w:numId w:val="1019"/>
        </w:numPr>
      </w:pPr>
      <w:r>
        <w:t xml:space="preserve">Ewangelia Mateusza 26,29</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[70%]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Ewangelii Mateusza.</w:t>
      </w:r>
    </w:p>
    <w:p>
      <w:pPr>
        <w:numPr>
          <w:ilvl w:val="0"/>
          <w:numId w:val="1020"/>
        </w:numPr>
      </w:pPr>
      <w:r>
        <w:t xml:space="preserve">Ewangelia Marka 2,23</w:t>
      </w:r>
      <w:r>
        <w:t xml:space="preserve"> </w:t>
      </w:r>
      <w:r>
        <w:rPr>
          <w:iCs/>
          <w:i/>
        </w:rPr>
        <w:t xml:space="preserve">ποιειν</w:t>
      </w:r>
      <w:r>
        <w:t xml:space="preserve"> </w:t>
      </w:r>
      <w:r>
        <w:t xml:space="preserve">2554</w:t>
      </w:r>
      <w:r>
        <w:rPr>
          <w:vertAlign w:val="superscript"/>
        </w:rPr>
        <w:t xml:space="preserve">c</w:t>
      </w:r>
      <w:r>
        <w:t xml:space="preserve"> </w:t>
      </w:r>
      <w:r>
        <w:t xml:space="preserve">||</w:t>
      </w:r>
      <w:r>
        <w:t xml:space="preserve"> </w:t>
      </w:r>
      <w:r>
        <w:rPr>
          <w:iCs/>
          <w:i/>
        </w:rPr>
        <w:t xml:space="preserve">πιειν</w:t>
      </w:r>
      <w:r>
        <w:t xml:space="preserve"> </w:t>
      </w:r>
      <w:r>
        <w:t xml:space="preserve">2554 (wygląda na to, że egzemplarz 2554 miał πιειν, a kopista należycie to przepisał, następnie jednak uświadomił sobie, że był to bezsensowny błąd, i go poprawił, jeśli poprawki dokonała pierwsza ręka, nie mamy właściwego wariantu, lecz pracując z mikrofilmu, trudno stwierdzić, czy atrament jest ten sam).</w:t>
      </w:r>
    </w:p>
    <w:p>
      <w:pPr>
        <w:numPr>
          <w:ilvl w:val="0"/>
          <w:numId w:val="1020"/>
        </w:numPr>
      </w:pPr>
      <w:r>
        <w:t xml:space="preserve">Ewangelia Marka 5,41</w:t>
      </w:r>
      <w:r>
        <w:t xml:space="preserve"> </w:t>
      </w:r>
      <w:r>
        <w:rPr>
          <w:iCs/>
          <w:i/>
        </w:rPr>
        <w:t xml:space="preserve">κουμι</w:t>
      </w:r>
      <w:r>
        <w:t xml:space="preserve"> </w:t>
      </w:r>
      <w:r>
        <w:t xml:space="preserve">||</w:t>
      </w:r>
      <w:r>
        <w:t xml:space="preserve"> </w:t>
      </w:r>
      <w:r>
        <w:rPr>
          <w:iCs/>
          <w:i/>
        </w:rPr>
        <w:t xml:space="preserve">κουμ</w:t>
      </w:r>
      <w:r>
        <w:t xml:space="preserve"> </w:t>
      </w:r>
      <w:r>
        <w:t xml:space="preserve">(17,4%) 2554 (jest to transliteracja z innego języka, różnica w pisowni nie wpływa więc na znaczenie, tym bardziej że bezpośrednio potem podano tłumaczenie, nie uważam tego za właściwy wariant).</w:t>
      </w:r>
    </w:p>
    <w:p>
      <w:pPr>
        <w:numPr>
          <w:ilvl w:val="0"/>
          <w:numId w:val="1020"/>
        </w:numPr>
      </w:pPr>
      <w:r>
        <w:t xml:space="preserve">Ewangelia Marka 14,25</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[25%]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0"/>
        </w:numPr>
      </w:pPr>
      <w:r>
        <w:t xml:space="preserve">Ewangelia Marka 15,46</w:t>
      </w:r>
      <w:r>
        <w:t xml:space="preserve"> </w:t>
      </w:r>
      <w:r>
        <w:rPr>
          <w:iCs/>
          <w:i/>
        </w:rPr>
        <w:t xml:space="preserve">επι την θυραν</w:t>
      </w:r>
      <w:r>
        <w:t xml:space="preserve"> </w:t>
      </w:r>
      <w:r>
        <w:t xml:space="preserve">|| 1</w:t>
      </w:r>
      <w:r>
        <w:t xml:space="preserve"> </w:t>
      </w:r>
      <w:r>
        <w:rPr>
          <w:iCs/>
          <w:i/>
        </w:rPr>
        <w:t xml:space="preserve">τη θυρα</w:t>
      </w:r>
      <w:r>
        <w:t xml:space="preserve"> </w:t>
      </w:r>
      <w:r>
        <w:t xml:space="preserve">[1%] 2554 (około jednej czwartej przedstawicieli rodziny łączy się tutaj z 2554, przyimek łączy się z trzema przypadkami — dopełniaczem, celownikiem i biernikiem — w tym kontekście zmiana przypadku nie wpływa na znaczenie).</w:t>
      </w:r>
    </w:p>
    <w:p>
      <w:pPr>
        <w:pStyle w:val="FirstParagraph"/>
      </w:pPr>
      <w:r>
        <w:rPr>
          <w:bCs/>
          <w:b/>
        </w:rPr>
        <w:t xml:space="preserve">Komentarz</w:t>
      </w:r>
      <w:r>
        <w:t xml:space="preserve">: Uważam, że pierwsza ręka ma w Ewangelii Marka tylko jeden właściwy wariant, ostatni, i nie wpływa on na znaczenie.</w:t>
      </w:r>
    </w:p>
    <w:p>
      <w:pPr>
        <w:numPr>
          <w:ilvl w:val="0"/>
          <w:numId w:val="1021"/>
        </w:numPr>
      </w:pPr>
      <w:r>
        <w:t xml:space="preserve">Ewangelia Łukasza 1,36</w:t>
      </w:r>
      <w:r>
        <w:t xml:space="preserve"> </w:t>
      </w:r>
      <w:r>
        <w:rPr>
          <w:iCs/>
          <w:i/>
        </w:rPr>
        <w:t xml:space="preserve">συγγενης</w:t>
      </w:r>
      <w:r>
        <w:t xml:space="preserve"> </w:t>
      </w:r>
      <w:r>
        <w:t xml:space="preserve">||</w:t>
      </w:r>
      <w:r>
        <w:t xml:space="preserve"> </w:t>
      </w:r>
      <w:r>
        <w:rPr>
          <w:iCs/>
          <w:i/>
        </w:rPr>
        <w:t xml:space="preserve">συγγενις</w:t>
      </w:r>
      <w:r>
        <w:t xml:space="preserve"> </w:t>
      </w:r>
      <w:r>
        <w:t xml:space="preserve">[10%] 2554 (zamiast przymiotnika funkcjonującego jako rzeczownik rodzaju ogólnego 2554 używa rzeczownika rodzaju żeńskiego, w tym kontekście obie formy są synonimiczne).</w:t>
      </w:r>
    </w:p>
    <w:p>
      <w:pPr>
        <w:numPr>
          <w:ilvl w:val="0"/>
          <w:numId w:val="1021"/>
        </w:numPr>
      </w:pPr>
      <w:r>
        <w:t xml:space="preserve">Ewangelia Łukasza 1,55</w:t>
      </w:r>
      <w:r>
        <w:t xml:space="preserve"> </w:t>
      </w:r>
      <w:r>
        <w:rPr>
          <w:iCs/>
          <w:i/>
        </w:rPr>
        <w:t xml:space="preserve">εως αιωνος</w:t>
      </w:r>
      <w:r>
        <w:t xml:space="preserve"> </w:t>
      </w:r>
      <w:r>
        <w:t xml:space="preserve">||</w:t>
      </w:r>
      <w:r>
        <w:t xml:space="preserve"> </w:t>
      </w:r>
      <w:r>
        <w:rPr>
          <w:iCs/>
          <w:i/>
        </w:rPr>
        <w:t xml:space="preserve">εις τον αιωνα</w:t>
      </w:r>
      <w:r>
        <w:t xml:space="preserve"> </w:t>
      </w:r>
      <w:r>
        <w:t xml:space="preserve">[64%] 2554 (wariant jest zdecydowanie bardziej powszechny, a zatem oczekiwany, lecz w tym kontekście obie formy są praktycznie synonimiczne, żadna różnica odcienia nie zmienia podstawowego znaczenia).</w:t>
      </w:r>
    </w:p>
    <w:p>
      <w:pPr>
        <w:numPr>
          <w:ilvl w:val="0"/>
          <w:numId w:val="1021"/>
        </w:numPr>
      </w:pPr>
      <w:r>
        <w:t xml:space="preserve">Ewangelia Łukasza 3,1</w:t>
      </w:r>
      <w:r>
        <w:t xml:space="preserve"> </w:t>
      </w:r>
      <w:r>
        <w:rPr>
          <w:iCs/>
          <w:i/>
        </w:rPr>
        <w:t xml:space="preserve">αβιληνης</w:t>
      </w:r>
      <w:r>
        <w:t xml:space="preserve"> </w:t>
      </w:r>
      <w:r>
        <w:t xml:space="preserve">||</w:t>
      </w:r>
      <w:r>
        <w:t xml:space="preserve"> </w:t>
      </w:r>
      <w:r>
        <w:rPr>
          <w:iCs/>
          <w:i/>
        </w:rPr>
        <w:t xml:space="preserve">αβιλινης</w:t>
      </w:r>
      <w:r>
        <w:t xml:space="preserve"> </w:t>
      </w:r>
      <w:r>
        <w:t xml:space="preserve">2554 (być może itacyzm, który doprowadził do alternatywnej pisowni nazwy miejsca, obie formy wymawiano tak samo, nie uważam tego za właściwy wariant).</w:t>
      </w:r>
    </w:p>
    <w:p>
      <w:pPr>
        <w:numPr>
          <w:ilvl w:val="0"/>
          <w:numId w:val="1021"/>
        </w:numPr>
      </w:pPr>
      <w:r>
        <w:t xml:space="preserve">Ewangelia Łukasza 3,18</w:t>
      </w:r>
      <w:r>
        <w:t xml:space="preserve"> </w:t>
      </w:r>
      <w:r>
        <w:rPr>
          <w:iCs/>
          <w:i/>
        </w:rPr>
        <w:t xml:space="preserve">τω λαω</w:t>
      </w:r>
      <w:r>
        <w:t xml:space="preserve"> </w:t>
      </w:r>
      <w:r>
        <w:t xml:space="preserve">||</w:t>
      </w:r>
      <w:r>
        <w:t xml:space="preserve"> </w:t>
      </w:r>
      <w:r>
        <w:rPr>
          <w:iCs/>
          <w:i/>
        </w:rPr>
        <w:t xml:space="preserve">τον λαον</w:t>
      </w:r>
      <w:r>
        <w:t xml:space="preserve"> </w:t>
      </w:r>
      <w:r>
        <w:t xml:space="preserve">[85%] 2554 (ponieważ dopełnienie bliższe, „dobra nowina”, jest domyślnie zawarte w czasowniku, „lud” funkcjonuje jako dopełnienie dalsze, a celownik jest poprawny, występuje jednak także biernik, a w tym kontekście nie ma różnicy znaczeniowej).</w:t>
      </w:r>
    </w:p>
    <w:p>
      <w:pPr>
        <w:numPr>
          <w:ilvl w:val="0"/>
          <w:numId w:val="1021"/>
        </w:numPr>
      </w:pPr>
      <w:r>
        <w:t xml:space="preserve">Ewangelia Łukasza 12,18</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[7%]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1"/>
        </w:numPr>
      </w:pPr>
      <w:r>
        <w:t xml:space="preserve">Ewangelia Łukasza 21,33</w:t>
      </w:r>
      <w:r>
        <w:t xml:space="preserve"> </w:t>
      </w:r>
      <w:r>
        <w:rPr>
          <w:iCs/>
          <w:i/>
        </w:rPr>
        <w:t xml:space="preserve">παρελευσεται</w:t>
      </w:r>
      <w:r>
        <w:t xml:space="preserve"> </w:t>
      </w:r>
      <w:r>
        <w:t xml:space="preserve">||</w:t>
      </w:r>
      <w:r>
        <w:t xml:space="preserve"> </w:t>
      </w:r>
      <w:r>
        <w:rPr>
          <w:iCs/>
          <w:i/>
        </w:rPr>
        <w:t xml:space="preserve">παρελευσονται</w:t>
      </w:r>
      <w:r>
        <w:t xml:space="preserve"> </w:t>
      </w:r>
      <w:r>
        <w:t xml:space="preserve">[68%] 2554 (niezależnie od tego, czy złożony podmiot czasownika jest traktowany jako liczba pojedyncza czy mnoga, znaczenie jest takie samo, w języku angielskim tłumaczenie jest takie samo).</w:t>
      </w:r>
    </w:p>
    <w:p>
      <w:pPr>
        <w:numPr>
          <w:ilvl w:val="0"/>
          <w:numId w:val="1021"/>
        </w:numPr>
      </w:pPr>
      <w:r>
        <w:t xml:space="preserve">Ewangelia Łukasza 22,18</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[15%]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ma w Ewangelii Łukasza cztery właściwe warianty i nie wpływają one na znaczenie.</w:t>
      </w:r>
    </w:p>
    <w:p>
      <w:pPr>
        <w:numPr>
          <w:ilvl w:val="0"/>
          <w:numId w:val="1022"/>
        </w:numPr>
      </w:pPr>
      <w:r>
        <w:t xml:space="preserve">Ewangelia Jana 6,55</w:t>
      </w:r>
      <w:r>
        <w:t xml:space="preserve"> </w:t>
      </w:r>
      <w:r>
        <w:rPr>
          <w:iCs/>
          <w:i/>
        </w:rPr>
        <w:t xml:space="preserve">αληθως</w:t>
      </w:r>
      <w:r>
        <w:t xml:space="preserve"> </w:t>
      </w:r>
      <w:r>
        <w:t xml:space="preserve">||</w:t>
      </w:r>
      <w:r>
        <w:t xml:space="preserve"> </w:t>
      </w:r>
      <w:r>
        <w:rPr>
          <w:iCs/>
          <w:i/>
        </w:rPr>
        <w:t xml:space="preserve">αληθης</w:t>
      </w:r>
      <w:r>
        <w:t xml:space="preserve"> </w:t>
      </w:r>
      <w:r>
        <w:t xml:space="preserve">(24,5%) 2554</w:t>
      </w:r>
      <w:r>
        <w:rPr>
          <w:vertAlign w:val="superscript"/>
        </w:rPr>
        <w:t xml:space="preserve">2x</w:t>
      </w:r>
      <w:r>
        <w:t xml:space="preserve"> </w:t>
      </w:r>
      <w:r>
        <w:t xml:space="preserve">(niezależnie od tego, czy jest to przysłówek, czy przymiotnik, w tym kontekście mają to samo znaczenie, powtórzenie traktuję jako jeden wariant).</w:t>
      </w:r>
    </w:p>
    <w:p>
      <w:pPr>
        <w:numPr>
          <w:ilvl w:val="0"/>
          <w:numId w:val="1022"/>
        </w:numPr>
      </w:pPr>
      <w:r>
        <w:t xml:space="preserve">Ewangelia Jana 12,6</w:t>
      </w:r>
      <w:r>
        <w:t xml:space="preserve"> </w:t>
      </w:r>
      <w:r>
        <w:rPr>
          <w:iCs/>
          <w:i/>
        </w:rPr>
        <w:t xml:space="preserve">εμελεν</w:t>
      </w:r>
      <w:r>
        <w:t xml:space="preserve"> </w:t>
      </w:r>
      <w:r>
        <w:t xml:space="preserve">||</w:t>
      </w:r>
      <w:r>
        <w:t xml:space="preserve"> </w:t>
      </w:r>
      <w:r>
        <w:rPr>
          <w:iCs/>
          <w:i/>
        </w:rPr>
        <w:t xml:space="preserve">εμελλεν</w:t>
      </w:r>
      <w:r>
        <w:t xml:space="preserve"> </w:t>
      </w:r>
      <w:r>
        <w:t xml:space="preserve">[60%] (po uwzględnieniu poprawek skolacjonowane przeze mnie manuskrypty (57) dzielą się mniej więcej po równo. Czy czasownikiem jest μελω, czy μελλω? μελει jako forma bezosobowa jest najczęstsze, czasownik ten jest jednak używany także w sensie osobowym/czynnym. μελλω („mieć coś uczynić”) nie ma tutaj sensu. μελλω występuje około dziesięć razy częściej w Nowym Testamencie i niektórzy kopiści mogli bez zastanowienia zapisać bardziej zwyczajną pisownię. Zaledwie dwa wiersze wyżej napisali μελλων i mogli powtórzyć tę formę przez przyciąganie. Ponieważ jednak obie formy wymawia się tak samo, ktoś słuchający głośnego odczytywania Tekstu zrozumiałby go poprawnie, kierując się kontekstem. Właśnie z tego powodu możliwe jest, że zakres semantyczny dłuższej formy zaczęto uważać za obejmujący zakres formy krótszej, w takim przypadku mielibyśmy alternatywne pisownie tego samego czasownika. (Nie mam zwyczaju odwoływać się do wczesnych uncjałów, lecz wszystkie mają tutaj formę krótszą, co zgadzałoby się z moją powyższą hipotezą). Pierwsza ręka 2554 pozostawiła miejsce na drugą</w:t>
      </w:r>
      <w:r>
        <w:t xml:space="preserve"> </w:t>
      </w:r>
      <w:r>
        <w:rPr>
          <w:iCs/>
          <w:i/>
        </w:rPr>
        <w:t xml:space="preserve">lambdę</w:t>
      </w:r>
      <w:r>
        <w:t xml:space="preserve">, była więc świadoma wariantu, lecz poprawnie go nie skopiowała).</w:t>
      </w:r>
    </w:p>
    <w:p>
      <w:pPr>
        <w:numPr>
          <w:ilvl w:val="0"/>
          <w:numId w:val="1022"/>
        </w:numPr>
      </w:pPr>
      <w:r>
        <w:t xml:space="preserve">Ewangelia Jana 12,40</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[20%]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Ewangelii Jana dwa właściwe warianty i nie wpływają one na znaczenie. 2 + 4 + 1 = 7, manuskrypt mający tylko siedem wariantów we wszystkich czterech Ewangeliach jest z pewnością wzorem cnót. Nazywam to nadzwyczaj starannym przekazem, ponieważ z konieczności odnosiłoby się to również do wcześniejszych pokoleń.</w:t>
      </w:r>
    </w:p>
    <w:p>
      <w:pPr>
        <w:numPr>
          <w:ilvl w:val="0"/>
          <w:numId w:val="1023"/>
        </w:numPr>
      </w:pPr>
      <w:r>
        <w:t xml:space="preserve">Dzieje Apostolskie 1,11</w:t>
      </w:r>
      <w:r>
        <w:t xml:space="preserve"> </w:t>
      </w:r>
      <w:r>
        <w:rPr>
          <w:iCs/>
          <w:i/>
        </w:rPr>
        <w:t xml:space="preserve">ουτος</w:t>
      </w:r>
      <w:r>
        <w:t xml:space="preserve"> </w:t>
      </w:r>
      <w:r>
        <w:t xml:space="preserve">|| 1</w:t>
      </w:r>
      <w:r>
        <w:t xml:space="preserve"> </w:t>
      </w:r>
      <w:r>
        <w:rPr>
          <w:iCs/>
          <w:i/>
        </w:rPr>
        <w:t xml:space="preserve">ο</w:t>
      </w:r>
      <w:r>
        <w:t xml:space="preserve"> </w:t>
      </w:r>
      <w:r>
        <w:t xml:space="preserve">[70%] 2554 (zaimek wskazujący określa nawet bardziej niż rodzajnik określony, rodzajnik jest więc tutaj zbędny, w każdym razie znaczenie nie zostaje naruszone).</w:t>
      </w:r>
    </w:p>
    <w:p>
      <w:pPr>
        <w:numPr>
          <w:ilvl w:val="0"/>
          <w:numId w:val="1023"/>
        </w:numPr>
      </w:pPr>
      <w:r>
        <w:t xml:space="preserve">Dzieje Apostolskie 11,26</w:t>
      </w:r>
      <w:r>
        <w:t xml:space="preserve"> </w:t>
      </w:r>
      <w:r>
        <w:rPr>
          <w:iCs/>
          <w:i/>
        </w:rPr>
        <w:t xml:space="preserve">συναχθηναι</w:t>
      </w:r>
      <w:r>
        <w:t xml:space="preserve"> </w:t>
      </w:r>
      <w:r>
        <w:t xml:space="preserve">|| 1</w:t>
      </w:r>
      <w:r>
        <w:t xml:space="preserve"> </w:t>
      </w:r>
      <w:r>
        <w:rPr>
          <w:iCs/>
          <w:i/>
        </w:rPr>
        <w:t xml:space="preserve">εν</w:t>
      </w:r>
      <w:r>
        <w:t xml:space="preserve"> </w:t>
      </w:r>
      <w:r>
        <w:t xml:space="preserve">[20%] 2554 (rodzina jest tutaj podzielona, niewielka większość z 35 skolacjonowanych przeze mnie manuskryptów dodaje przyimek, co jest zmianą „naturalną”, lecz zbędną, w każdym razie znaczenie nie zostaje naruszone).</w:t>
      </w:r>
    </w:p>
    <w:p>
      <w:pPr>
        <w:numPr>
          <w:ilvl w:val="0"/>
          <w:numId w:val="1023"/>
        </w:numPr>
      </w:pPr>
      <w:r>
        <w:t xml:space="preserve">Dzieje Apostolskie 12,25</w:t>
      </w:r>
      <w:r>
        <w:t xml:space="preserve"> </w:t>
      </w:r>
      <w:r>
        <w:rPr>
          <w:iCs/>
          <w:i/>
        </w:rPr>
        <w:t xml:space="preserve">εις αντιοχειαν</w:t>
      </w:r>
      <w:r>
        <w:t xml:space="preserve"> </w:t>
      </w:r>
      <w:r>
        <w:t xml:space="preserve">||</w:t>
      </w:r>
      <w:r>
        <w:t xml:space="preserve"> </w:t>
      </w:r>
      <w:r>
        <w:rPr>
          <w:iCs/>
          <w:i/>
        </w:rPr>
        <w:t xml:space="preserve">απο ιερουσαλημ</w:t>
      </w:r>
      <w:r>
        <w:t xml:space="preserve"> </w:t>
      </w:r>
      <w:r>
        <w:t xml:space="preserve">2554 (jest to jedyne miejsce w całym Nowym Testamencie, w którym Rodzina 35 rozpada się na odłamy, istnieje bowiem sześciokrotny podział [zazwyczaj jest tylko dwóch głównych kandydatów], szczegółowe omówienie zawiera mój artykuł „Where to place a comma—Acts 12:25”, dostępny na mojej stronie www.prunch.org, w tym kontekście oba podane tutaj odczyty mają ten sam skutek, artykuł jest również ostatnią pozycją w Dodatku do mojego tłumaczenia Nowego Testamentu,</w:t>
      </w:r>
      <w:r>
        <w:t xml:space="preserve"> </w:t>
      </w:r>
      <w:r>
        <w:rPr>
          <w:iCs/>
          <w:i/>
        </w:rPr>
        <w:t xml:space="preserve">The Sovereign Creator Has Spoken</w:t>
      </w:r>
      <w:r>
        <w:t xml:space="preserve">, wydanie drugie).</w:t>
      </w:r>
    </w:p>
    <w:p>
      <w:pPr>
        <w:numPr>
          <w:ilvl w:val="0"/>
          <w:numId w:val="1023"/>
        </w:numPr>
      </w:pPr>
      <w:r>
        <w:t xml:space="preserve">Dzieje Apostolskie 16,9</w:t>
      </w:r>
      <w:r>
        <w:t xml:space="preserve"> </w:t>
      </w:r>
      <w:r>
        <w:rPr>
          <w:iCs/>
          <w:i/>
        </w:rPr>
        <w:t xml:space="preserve">την</w:t>
      </w:r>
      <w:r>
        <w:t xml:space="preserve"> </w:t>
      </w:r>
      <w:r>
        <w:t xml:space="preserve">2554</w:t>
      </w:r>
      <w:r>
        <w:rPr>
          <w:vertAlign w:val="superscript"/>
        </w:rPr>
        <w:t xml:space="preserve">c</w:t>
      </w:r>
      <w:r>
        <w:t xml:space="preserve"> </w:t>
      </w:r>
      <w:r>
        <w:t xml:space="preserve">|| --- [80%] 2554 (Rodzina 35 jest praktycznie jednomyślna na rzecz rodzajnika, pierwsza ręka mogła więc pominąć go samodzielnie, po czym został poprawiony przez kogoś innego, w każdym razie znaczenie nie zostaje naruszone).</w:t>
      </w:r>
    </w:p>
    <w:p>
      <w:pPr>
        <w:numPr>
          <w:ilvl w:val="0"/>
          <w:numId w:val="1023"/>
        </w:numPr>
      </w:pPr>
      <w:r>
        <w:t xml:space="preserve">Dzieje Apostolskie 18,17</w:t>
      </w:r>
      <w:r>
        <w:t xml:space="preserve"> </w:t>
      </w:r>
      <w:r>
        <w:rPr>
          <w:iCs/>
          <w:i/>
        </w:rPr>
        <w:t xml:space="preserve">εμελλεν</w:t>
      </w:r>
      <w:r>
        <w:t xml:space="preserve"> </w:t>
      </w:r>
      <w:r>
        <w:t xml:space="preserve">||</w:t>
      </w:r>
      <w:r>
        <w:t xml:space="preserve"> </w:t>
      </w:r>
      <w:r>
        <w:rPr>
          <w:iCs/>
          <w:i/>
        </w:rPr>
        <w:t xml:space="preserve">εμελεν</w:t>
      </w:r>
      <w:r>
        <w:t xml:space="preserve"> </w:t>
      </w:r>
      <w:r>
        <w:t xml:space="preserve">[14%] 2554</w:t>
      </w:r>
      <w:r>
        <w:rPr>
          <w:vertAlign w:val="superscript"/>
        </w:rPr>
        <w:t xml:space="preserve">c</w:t>
      </w:r>
      <w:r>
        <w:t xml:space="preserve"> </w:t>
      </w:r>
      <w:r>
        <w:t xml:space="preserve">(Rodzina 35 jest tutaj podzielona, 2554 ma pojedynczą</w:t>
      </w:r>
      <w:r>
        <w:t xml:space="preserve"> </w:t>
      </w:r>
      <w:r>
        <w:rPr>
          <w:iCs/>
          <w:i/>
        </w:rPr>
        <w:t xml:space="preserve">lambdę</w:t>
      </w:r>
      <w:r>
        <w:t xml:space="preserve"> </w:t>
      </w:r>
      <w:r>
        <w:t xml:space="preserve">w miejscu, które jest dla niej zbyt duże, zakładam więc, że pierwsza ręka miała podwójną, lecz została ona wymazana. Czy czasownikiem jest</w:t>
      </w:r>
      <w:r>
        <w:t xml:space="preserve"> </w:t>
      </w:r>
      <w:r>
        <w:rPr>
          <w:iCs/>
          <w:i/>
        </w:rPr>
        <w:t xml:space="preserve">μελλω</w:t>
      </w:r>
      <w:r>
        <w:t xml:space="preserve">, czy</w:t>
      </w:r>
      <w:r>
        <w:t xml:space="preserve"> </w:t>
      </w:r>
      <w:r>
        <w:rPr>
          <w:iCs/>
          <w:i/>
        </w:rPr>
        <w:t xml:space="preserve">μελω</w:t>
      </w:r>
      <w:r>
        <w:t xml:space="preserve">? Jeśli pierwszy, znaczenie nie jest powszechne i mogło łatwo dać początek drugiemu. Tłumaczenie: „Żadna z tych rzeczy nie była dla Galliona zwłoką”, Gallion jest w celowniku. Gallion przypuszczalnie uważał się za człowieka zajętego i nie doceniał zakłócenia, nie zamierzał pozwolić, by dalej go zatrzymywano. W 22,16 ten sam czasownik ma znaczenie „zwlekać”. Chociaż istnieje pewna różnica znaczeniowa, sens narracji nie zostaje zmieniony).</w:t>
      </w:r>
    </w:p>
    <w:p>
      <w:pPr>
        <w:numPr>
          <w:ilvl w:val="0"/>
          <w:numId w:val="1023"/>
        </w:numPr>
      </w:pPr>
      <w:r>
        <w:t xml:space="preserve">Dzieje Apostolskie 25,7</w:t>
      </w:r>
      <w:r>
        <w:t xml:space="preserve"> </w:t>
      </w:r>
      <w:r>
        <w:rPr>
          <w:iCs/>
          <w:i/>
        </w:rPr>
        <w:t xml:space="preserve">καταβεβηκοτες</w:t>
      </w:r>
      <w:r>
        <w:t xml:space="preserve"> </w:t>
      </w:r>
      <w:r>
        <w:t xml:space="preserve">|| 1</w:t>
      </w:r>
      <w:r>
        <w:t xml:space="preserve"> </w:t>
      </w:r>
      <w:r>
        <w:rPr>
          <w:iCs/>
          <w:i/>
        </w:rPr>
        <w:t xml:space="preserve">οι</w:t>
      </w:r>
      <w:r>
        <w:t xml:space="preserve"> </w:t>
      </w:r>
      <w:r>
        <w:t xml:space="preserve">2554 (wydaje się to niestarannym błędem kopisty, który jednak nadal ma sens, znaczenie nie zostaje naruszone).</w:t>
      </w:r>
    </w:p>
    <w:p>
      <w:pPr>
        <w:numPr>
          <w:ilvl w:val="0"/>
          <w:numId w:val="1023"/>
        </w:numPr>
      </w:pPr>
      <w:r>
        <w:t xml:space="preserve">Dzieje Apostolskie 28,27</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[60%]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Dziejach Apostolskich sześć właściwych wariantów, z których jeden został poprawiony, pozostaje więc pięć. Spośród tych pięciu cztery nie wpływają na znaczenie. W Dziejach Apostolskich 12,25 oba warianty są w tym kontekście praktycznie dwoma sposobami powiedzenia tego samego, sens narracji nie zostaje zmieniony.</w:t>
      </w:r>
    </w:p>
    <w:p>
      <w:pPr>
        <w:numPr>
          <w:ilvl w:val="0"/>
          <w:numId w:val="1024"/>
        </w:numPr>
      </w:pPr>
      <w:r>
        <w:t xml:space="preserve">List do Rzymian 7,13</w:t>
      </w:r>
      <w:r>
        <w:t xml:space="preserve"> </w:t>
      </w:r>
      <w:r>
        <w:rPr>
          <w:iCs/>
          <w:i/>
        </w:rPr>
        <w:t xml:space="preserve">αλλα</w:t>
      </w:r>
      <w:r>
        <w:t xml:space="preserve"> </w:t>
      </w:r>
      <w:r>
        <w:t xml:space="preserve">||</w:t>
      </w:r>
      <w:r>
        <w:t xml:space="preserve"> </w:t>
      </w:r>
      <w:r>
        <w:rPr>
          <w:iCs/>
          <w:i/>
        </w:rPr>
        <w:t xml:space="preserve">αλλ</w:t>
      </w:r>
      <w:r>
        <w:t xml:space="preserve"> </w:t>
      </w:r>
      <w:r>
        <w:t xml:space="preserve">[30%] 2554 (są to alternatywne pisownie tego samego słowa, nie jest to więc właściwy wariant).</w:t>
      </w:r>
    </w:p>
    <w:p>
      <w:pPr>
        <w:numPr>
          <w:ilvl w:val="0"/>
          <w:numId w:val="1024"/>
        </w:numPr>
      </w:pPr>
      <w:r>
        <w:t xml:space="preserve">List do Rzymian 16,24</w:t>
      </w:r>
      <w:r>
        <w:t xml:space="preserve"> </w:t>
      </w:r>
      <w:r>
        <w:rPr>
          <w:iCs/>
          <w:i/>
        </w:rPr>
        <w:t xml:space="preserve">ημων</w:t>
      </w:r>
      <w:r>
        <w:t xml:space="preserve"> </w:t>
      </w:r>
      <w:r>
        <w:t xml:space="preserve">||</w:t>
      </w:r>
      <w:r>
        <w:t xml:space="preserve"> </w:t>
      </w:r>
      <w:r>
        <w:rPr>
          <w:iCs/>
          <w:i/>
        </w:rPr>
        <w:t xml:space="preserve">υμων</w:t>
      </w:r>
      <w:r>
        <w:t xml:space="preserve"> </w:t>
      </w:r>
      <w:r>
        <w:t xml:space="preserve">[82%] 2554</w:t>
      </w:r>
      <w:r>
        <w:rPr>
          <w:vertAlign w:val="superscript"/>
        </w:rPr>
        <w:t xml:space="preserve">c</w:t>
      </w:r>
      <w:r>
        <w:t xml:space="preserve"> </w:t>
      </w:r>
      <w:r>
        <w:t xml:space="preserve">(jeśli werset 24 nie był dyktowany przez Pawła, pierwsza osoba jest szczególnie odpowiednia, ponieważ pochodzi od Tercjusza, w tym kontekście znaczenie zostaje naruszone w znikomym stopniu).</w:t>
      </w:r>
    </w:p>
    <w:p>
      <w:pPr>
        <w:pStyle w:val="FirstParagraph"/>
      </w:pPr>
      <w:r>
        <w:rPr>
          <w:bCs/>
          <w:b/>
        </w:rPr>
        <w:t xml:space="preserve">Komentarz</w:t>
      </w:r>
      <w:r>
        <w:t xml:space="preserve">: Uważam, że pierwsza ręka daje nam doskonałą kopię archetypu dla Listu do Rzymian, ponieważ nie ma właściwych wariantów. 1 List do Koryntian również daje nam doskonałą kopię archetypu.</w:t>
      </w:r>
    </w:p>
    <w:p>
      <w:pPr>
        <w:numPr>
          <w:ilvl w:val="0"/>
          <w:numId w:val="1025"/>
        </w:numPr>
      </w:pPr>
      <w:r>
        <w:t xml:space="preserve">2 List do Koryntian 8,9</w:t>
      </w:r>
      <w:r>
        <w:t xml:space="preserve"> </w:t>
      </w:r>
      <w:r>
        <w:rPr>
          <w:iCs/>
          <w:i/>
        </w:rPr>
        <w:t xml:space="preserve">ημας</w:t>
      </w:r>
      <w:r>
        <w:t xml:space="preserve"> </w:t>
      </w:r>
      <w:r>
        <w:t xml:space="preserve">||</w:t>
      </w:r>
      <w:r>
        <w:t xml:space="preserve"> </w:t>
      </w:r>
      <w:r>
        <w:rPr>
          <w:iCs/>
          <w:i/>
        </w:rPr>
        <w:t xml:space="preserve">υμας</w:t>
      </w:r>
      <w:r>
        <w:t xml:space="preserve"> </w:t>
      </w:r>
      <w:r>
        <w:t xml:space="preserve">[60%] (Rodzina 35 jest tutaj podzielona, lecz lepsi przedstawiciele, łącznie z 2554, opowiadają się za pierwszą osobą, która jest bardziej inkluzywna, w tym kontekście nie ma rzeczywistej różnicy znaczeniowej).</w:t>
      </w:r>
    </w:p>
    <w:p>
      <w:pPr>
        <w:numPr>
          <w:ilvl w:val="0"/>
          <w:numId w:val="1025"/>
        </w:numPr>
      </w:pPr>
      <w:r>
        <w:t xml:space="preserve">2 List do Koryntian 9,10</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[6%]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5"/>
        </w:numPr>
      </w:pPr>
      <w:r>
        <w:t xml:space="preserve">2 List do Koryntian 11,7</w:t>
      </w:r>
      <w:r>
        <w:t xml:space="preserve"> </w:t>
      </w:r>
      <w:r>
        <w:rPr>
          <w:iCs/>
          <w:i/>
        </w:rPr>
        <w:t xml:space="preserve">εαυτον</w:t>
      </w:r>
      <w:r>
        <w:t xml:space="preserve"> </w:t>
      </w:r>
      <w:r>
        <w:t xml:space="preserve">||</w:t>
      </w:r>
      <w:r>
        <w:t xml:space="preserve"> </w:t>
      </w:r>
      <w:r>
        <w:rPr>
          <w:iCs/>
          <w:i/>
        </w:rPr>
        <w:t xml:space="preserve">εμαυτον</w:t>
      </w:r>
      <w:r>
        <w:t xml:space="preserve"> </w:t>
      </w:r>
      <w:r>
        <w:t xml:space="preserve">[78%] 2554</w:t>
      </w:r>
      <w:r>
        <w:rPr>
          <w:vertAlign w:val="superscript"/>
        </w:rPr>
        <w:t xml:space="preserve">c</w:t>
      </w:r>
      <w:r>
        <w:t xml:space="preserve"> </w:t>
      </w:r>
      <w:r>
        <w:t xml:space="preserve">(</w:t>
      </w:r>
      <w:r>
        <w:rPr>
          <w:iCs/>
          <w:i/>
        </w:rPr>
        <w:t xml:space="preserve">mu</w:t>
      </w:r>
      <w:r>
        <w:t xml:space="preserve"> </w:t>
      </w:r>
      <w:r>
        <w:t xml:space="preserve">zostało dodane nad wierszem przez późniejszą rękę,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2 Listu do Koryntian. List do Galacjan, List do Efezjan, List do Filipian i List do Kolosan również dają nam doskonałą kopię archetypu.</w:t>
      </w:r>
    </w:p>
    <w:p>
      <w:pPr>
        <w:numPr>
          <w:ilvl w:val="0"/>
          <w:numId w:val="1026"/>
        </w:numPr>
        <w:pStyle w:val="Compact"/>
      </w:pPr>
      <w:r>
        <w:t xml:space="preserve">1 List do Tesaloniczan 2,8</w:t>
      </w:r>
      <w:r>
        <w:t xml:space="preserve"> </w:t>
      </w:r>
      <w:r>
        <w:rPr>
          <w:iCs/>
          <w:i/>
        </w:rPr>
        <w:t xml:space="preserve">ιμειρομενοι</w:t>
      </w:r>
      <w:r>
        <w:t xml:space="preserve"> </w:t>
      </w:r>
      <w:r>
        <w:t xml:space="preserve">||</w:t>
      </w:r>
      <w:r>
        <w:t xml:space="preserve"> </w:t>
      </w:r>
      <w:r>
        <w:rPr>
          <w:iCs/>
          <w:i/>
        </w:rPr>
        <w:t xml:space="preserve">ομειρομενοι</w:t>
      </w:r>
      <w:r>
        <w:t xml:space="preserve"> </w:t>
      </w:r>
      <w:r>
        <w:t xml:space="preserve">[30%] 2554</w:t>
      </w:r>
      <w:r>
        <w:rPr>
          <w:vertAlign w:val="superscript"/>
        </w:rPr>
        <w:t xml:space="preserve">c</w:t>
      </w:r>
      <w:r>
        <w:t xml:space="preserve"> </w:t>
      </w:r>
      <w:r>
        <w:t xml:space="preserve">(wygląda na to, że</w:t>
      </w:r>
      <w:r>
        <w:t xml:space="preserve"> </w:t>
      </w:r>
      <w:r>
        <w:rPr>
          <w:iCs/>
          <w:i/>
        </w:rPr>
        <w:t xml:space="preserve">omikron</w:t>
      </w:r>
      <w:r>
        <w:t xml:space="preserve"> </w:t>
      </w:r>
      <w:r>
        <w:t xml:space="preserve">zapisano wokół</w:t>
      </w:r>
      <w:r>
        <w:t xml:space="preserve"> </w:t>
      </w:r>
      <w:r>
        <w:rPr>
          <w:iCs/>
          <w:i/>
        </w:rPr>
        <w:t xml:space="preserve">ioty</w:t>
      </w:r>
      <w:r>
        <w:t xml:space="preserve">, lecz trudno to stwierdzić na podstawie mikrofilmu, w każdym razie ponieważ wydają się to alternatywne pisownie tego samego słowa, nie jest to właściwy wariant).</w:t>
      </w:r>
    </w:p>
    <w:p>
      <w:pPr>
        <w:pStyle w:val="FirstParagraph"/>
      </w:pPr>
      <w:r>
        <w:rPr>
          <w:bCs/>
          <w:b/>
        </w:rPr>
        <w:t xml:space="preserve">Komentarz</w:t>
      </w:r>
      <w:r>
        <w:t xml:space="preserve">: Uważam, że pierwsza ręka daje nam doskonałą kopię archetypu dla 1 Listu do Tesaloniczan. 2 List do Tesaloniczan również daje nam doskonałą kopię archetypu.</w:t>
      </w:r>
    </w:p>
    <w:p>
      <w:pPr>
        <w:numPr>
          <w:ilvl w:val="0"/>
          <w:numId w:val="1027"/>
        </w:numPr>
      </w:pPr>
      <w:r>
        <w:t xml:space="preserve">1 List do Tymoteusza 1,9a</w:t>
      </w:r>
      <w:r>
        <w:t xml:space="preserve"> </w:t>
      </w:r>
      <w:r>
        <w:rPr>
          <w:iCs/>
          <w:i/>
        </w:rPr>
        <w:t xml:space="preserve">πατραλοιαις</w:t>
      </w:r>
      <w:r>
        <w:t xml:space="preserve"> </w:t>
      </w:r>
      <w:r>
        <w:t xml:space="preserve">||</w:t>
      </w:r>
      <w:r>
        <w:t xml:space="preserve"> </w:t>
      </w:r>
      <w:r>
        <w:rPr>
          <w:iCs/>
          <w:i/>
        </w:rPr>
        <w:t xml:space="preserve">πατρολωαις</w:t>
      </w:r>
      <w:r>
        <w:t xml:space="preserve"> </w:t>
      </w:r>
      <w:r>
        <w:t xml:space="preserve">[34%] (Rodzina 35 jest tutaj podzielona, lecz większość, łącznie z 2554, ma pierwszy odczyt. Liddell i Scott podają go oraz jego żeński odpowiednik jako formy podstawowe, których znaczeniem jest „bijący”, nie zaś „zabójca”, co ma lepszy sens).</w:t>
      </w:r>
    </w:p>
    <w:p>
      <w:pPr>
        <w:numPr>
          <w:ilvl w:val="0"/>
          <w:numId w:val="1027"/>
        </w:numPr>
      </w:pPr>
      <w:r>
        <w:t xml:space="preserve">1 List do Tymoteusza 1,9b</w:t>
      </w:r>
      <w:r>
        <w:t xml:space="preserve"> </w:t>
      </w:r>
      <w:r>
        <w:rPr>
          <w:iCs/>
          <w:i/>
        </w:rPr>
        <w:t xml:space="preserve">μητραλοιαις</w:t>
      </w:r>
      <w:r>
        <w:t xml:space="preserve"> </w:t>
      </w:r>
      <w:r>
        <w:t xml:space="preserve">||</w:t>
      </w:r>
      <w:r>
        <w:t xml:space="preserve"> </w:t>
      </w:r>
      <w:r>
        <w:rPr>
          <w:iCs/>
          <w:i/>
        </w:rPr>
        <w:t xml:space="preserve">μητρολωαις</w:t>
      </w:r>
      <w:r>
        <w:t xml:space="preserve"> </w:t>
      </w:r>
      <w:r>
        <w:t xml:space="preserve">[40%] (tak samo jak wyżej).</w:t>
      </w:r>
    </w:p>
    <w:p>
      <w:pPr>
        <w:numPr>
          <w:ilvl w:val="0"/>
          <w:numId w:val="1027"/>
        </w:numPr>
      </w:pPr>
      <w:r>
        <w:t xml:space="preserve">1 List do Tymoteusza 5,21</w:t>
      </w:r>
      <w:r>
        <w:t xml:space="preserve"> </w:t>
      </w:r>
      <w:r>
        <w:rPr>
          <w:iCs/>
          <w:i/>
        </w:rPr>
        <w:t xml:space="preserve">προσκλισιν</w:t>
      </w:r>
      <w:r>
        <w:t xml:space="preserve"> </w:t>
      </w:r>
      <w:r>
        <w:t xml:space="preserve">||</w:t>
      </w:r>
      <w:r>
        <w:t xml:space="preserve"> </w:t>
      </w:r>
      <w:r>
        <w:rPr>
          <w:iCs/>
          <w:i/>
        </w:rPr>
        <w:t xml:space="preserve">προσκλησιν</w:t>
      </w:r>
      <w:r>
        <w:t xml:space="preserve"> </w:t>
      </w:r>
      <w:r>
        <w:t xml:space="preserve">[75%] (Rodzina 35 jest tutaj podzielona, lecz większość, łącznie z 2554, ma pierwszy odczyt, obie formy wymawiano tak samo, w tym kontekście znaczenie nie zostaje naruszone).</w:t>
      </w:r>
    </w:p>
    <w:p>
      <w:pPr>
        <w:pStyle w:val="FirstParagraph"/>
      </w:pPr>
      <w:r>
        <w:rPr>
          <w:bCs/>
          <w:b/>
        </w:rPr>
        <w:t xml:space="preserve">Komentarz</w:t>
      </w:r>
      <w:r>
        <w:t xml:space="preserve">: Uważam, że pierwsza ręka daje nam doskonałą kopię archetypu dla 1 Listu do Tymoteusza.</w:t>
      </w:r>
    </w:p>
    <w:p>
      <w:pPr>
        <w:numPr>
          <w:ilvl w:val="0"/>
          <w:numId w:val="1028"/>
        </w:numPr>
      </w:pPr>
      <w:r>
        <w:t xml:space="preserve">2 List do Tymoteusza 3,14</w:t>
      </w:r>
      <w:r>
        <w:t xml:space="preserve"> </w:t>
      </w:r>
      <w:r>
        <w:rPr>
          <w:iCs/>
          <w:i/>
        </w:rPr>
        <w:t xml:space="preserve">επιστωθης</w:t>
      </w:r>
      <w:r>
        <w:t xml:space="preserve"> </w:t>
      </w:r>
      <w:r>
        <w:t xml:space="preserve">||</w:t>
      </w:r>
      <w:r>
        <w:t xml:space="preserve"> </w:t>
      </w:r>
      <w:r>
        <w:rPr>
          <w:iCs/>
          <w:i/>
        </w:rPr>
        <w:t xml:space="preserve">επιστευθης</w:t>
      </w:r>
      <w:r>
        <w:t xml:space="preserve"> </w:t>
      </w:r>
      <w:r>
        <w:t xml:space="preserve">[10%] 2554 (obie formy reprezentują różne czasowniki, lecz w tym kontekście działają jako synonimy, znaczenie nie zostaje naruszone).</w:t>
      </w:r>
    </w:p>
    <w:p>
      <w:pPr>
        <w:numPr>
          <w:ilvl w:val="0"/>
          <w:numId w:val="1028"/>
        </w:numPr>
      </w:pPr>
      <w:r>
        <w:t xml:space="preserve">List do Tytusa 2,7</w:t>
      </w:r>
      <w:r>
        <w:t xml:space="preserve"> </w:t>
      </w:r>
      <w:r>
        <w:rPr>
          <w:iCs/>
          <w:i/>
        </w:rPr>
        <w:t xml:space="preserve">αδιαφθοριαν</w:t>
      </w:r>
      <w:r>
        <w:t xml:space="preserve"> </w:t>
      </w:r>
      <w:r>
        <w:t xml:space="preserve">||</w:t>
      </w:r>
      <w:r>
        <w:t xml:space="preserve"> </w:t>
      </w:r>
      <w:r>
        <w:rPr>
          <w:iCs/>
          <w:i/>
        </w:rPr>
        <w:t xml:space="preserve">αδιαφοριαν</w:t>
      </w:r>
      <w:r>
        <w:t xml:space="preserve"> </w:t>
      </w:r>
      <w:r>
        <w:t xml:space="preserve">(8%) 2554 (jest to tylko alternatywna pisownia tego samego słowa, a zatem nie jest właściwym wariantem).</w:t>
      </w:r>
    </w:p>
    <w:p>
      <w:pPr>
        <w:pStyle w:val="FirstParagraph"/>
      </w:pPr>
      <w:r>
        <w:rPr>
          <w:bCs/>
          <w:b/>
        </w:rPr>
        <w:t xml:space="preserve">Komentarz</w:t>
      </w:r>
      <w:r>
        <w:t xml:space="preserve">: Uważam, że pierwsza ręka ma w 2 Liście do Tymoteusza tylko jeden właściwy wariant i nie wpływa on na znaczenie. List do Tytusa i List do Filemona dają nam doskonałą kopię archetypu.</w:t>
      </w:r>
    </w:p>
    <w:p>
      <w:pPr>
        <w:numPr>
          <w:ilvl w:val="0"/>
          <w:numId w:val="1029"/>
        </w:numPr>
      </w:pPr>
      <w:r>
        <w:t xml:space="preserve">List do Hebrajczyków 3,13</w:t>
      </w:r>
      <w:r>
        <w:t xml:space="preserve"> </w:t>
      </w:r>
      <w:r>
        <w:rPr>
          <w:iCs/>
          <w:i/>
        </w:rPr>
        <w:t xml:space="preserve">καλειται</w:t>
      </w:r>
      <w:r>
        <w:t xml:space="preserve"> </w:t>
      </w:r>
      <w:r>
        <w:t xml:space="preserve">||</w:t>
      </w:r>
      <w:r>
        <w:t xml:space="preserve"> </w:t>
      </w:r>
      <w:r>
        <w:rPr>
          <w:iCs/>
          <w:i/>
        </w:rPr>
        <w:t xml:space="preserve">καληται</w:t>
      </w:r>
      <w:r>
        <w:t xml:space="preserve"> </w:t>
      </w:r>
      <w:r>
        <w:t xml:space="preserve">2554</w:t>
      </w:r>
      <w:r>
        <w:rPr>
          <w:vertAlign w:val="superscript"/>
        </w:rPr>
        <w:t xml:space="preserve">c</w:t>
      </w:r>
      <w:r>
        <w:t xml:space="preserve"> </w:t>
      </w:r>
      <w:r>
        <w:t xml:space="preserve">(itacyzm wprowadzony przez późniejszą rękę, powodujący nonsens).</w:t>
      </w:r>
    </w:p>
    <w:p>
      <w:pPr>
        <w:numPr>
          <w:ilvl w:val="0"/>
          <w:numId w:val="1029"/>
        </w:numPr>
      </w:pPr>
      <w:r>
        <w:t xml:space="preserve">List do Hebrajczyków 9,1</w:t>
      </w:r>
      <w:r>
        <w:t xml:space="preserve"> </w:t>
      </w:r>
      <w:r>
        <w:rPr>
          <w:iCs/>
          <w:i/>
        </w:rPr>
        <w:t xml:space="preserve">πρωτη</w:t>
      </w:r>
      <w:r>
        <w:t xml:space="preserve"> </w:t>
      </w:r>
      <w:r>
        <w:t xml:space="preserve">|| 1</w:t>
      </w:r>
      <w:r>
        <w:t xml:space="preserve"> </w:t>
      </w:r>
      <w:r>
        <w:rPr>
          <w:iCs/>
          <w:i/>
        </w:rPr>
        <w:t xml:space="preserve">σκηνη</w:t>
      </w:r>
      <w:r>
        <w:t xml:space="preserve"> </w:t>
      </w:r>
      <w:r>
        <w:t xml:space="preserve">[30%] (Rodzina 35 jest tutaj podzielona, lecz po uwzględnieniu poprawek większość, łącznie z 2554, ma pierwszy odczyt, w każdym razie w tym kontekście znaczenie nie zostaje naruszone).</w:t>
      </w:r>
    </w:p>
    <w:p>
      <w:pPr>
        <w:pStyle w:val="FirstParagraph"/>
      </w:pPr>
      <w:r>
        <w:rPr>
          <w:bCs/>
          <w:b/>
        </w:rPr>
        <w:t xml:space="preserve">Komentarz</w:t>
      </w:r>
      <w:r>
        <w:t xml:space="preserve">: Uważam, że pierwsza ręka daje nam doskonałą kopię archetypu dla Listu do Hebrajczyków. List Jakuba oraz 1 i 2 List Piotra również dają nam doskonałą kopię archetypu. Manuskrypt mający tylko jeden właściwy wariant w całym korpusie Pawłowym jest z pewnością wzorem cnót. Nazywam to nadzwyczaj starannym przekazem, ponieważ z konieczności odnosiłoby się to również do wcześniejszych pokoleń.</w:t>
      </w:r>
    </w:p>
    <w:p>
      <w:pPr>
        <w:numPr>
          <w:ilvl w:val="0"/>
          <w:numId w:val="1030"/>
        </w:numPr>
      </w:pPr>
      <w:r>
        <w:t xml:space="preserve">1 List Jana 1,6</w:t>
      </w:r>
      <w:r>
        <w:t xml:space="preserve"> </w:t>
      </w:r>
      <w:r>
        <w:rPr>
          <w:iCs/>
          <w:i/>
        </w:rPr>
        <w:t xml:space="preserve">περιπατουμεν</w:t>
      </w:r>
      <w:r>
        <w:t xml:space="preserve"> </w:t>
      </w:r>
      <w:r>
        <w:t xml:space="preserve">||</w:t>
      </w:r>
      <w:r>
        <w:t xml:space="preserve"> </w:t>
      </w:r>
      <w:r>
        <w:rPr>
          <w:iCs/>
          <w:i/>
        </w:rPr>
        <w:t xml:space="preserve">περιπατωμεν</w:t>
      </w:r>
      <w:r>
        <w:t xml:space="preserve"> </w:t>
      </w:r>
      <w:r>
        <w:t xml:space="preserve">[71%] (Rodzina 35 jest tutaj podzielona, podążam za mniejszością złożoną z lepszych manuskryptów, łącznie z 2554. Czasownik „mówić” poprawnie występuje w trybie łączącym, ponieważ jest kontrolowany przez εαν, lecz czasowniki „mieć” i „chodzić” są częścią twierdzenia i poprawnie występują w trybie oznajmującym — tylko jeśli rzeczywiście chodzimy w ciemności, stajemy się kłamcami, twierdząc, że mamy społeczność. Dlatego περιπατουμεν jest poprawne. W każdym razie w tym kontekście znaczenie nie zostaje naruszone).</w:t>
      </w:r>
    </w:p>
    <w:p>
      <w:pPr>
        <w:numPr>
          <w:ilvl w:val="0"/>
          <w:numId w:val="1030"/>
        </w:numPr>
      </w:pPr>
      <w:r>
        <w:t xml:space="preserve">1 List Jana 3,23</w:t>
      </w:r>
      <w:r>
        <w:t xml:space="preserve"> </w:t>
      </w:r>
      <w:r>
        <w:rPr>
          <w:iCs/>
          <w:i/>
        </w:rPr>
        <w:t xml:space="preserve">πιστευσωμεν</w:t>
      </w:r>
      <w:r>
        <w:t xml:space="preserve"> </w:t>
      </w:r>
      <w:r>
        <w:t xml:space="preserve">||</w:t>
      </w:r>
      <w:r>
        <w:t xml:space="preserve"> </w:t>
      </w:r>
      <w:r>
        <w:rPr>
          <w:iCs/>
          <w:i/>
        </w:rPr>
        <w:t xml:space="preserve">πιστευωμεν</w:t>
      </w:r>
      <w:r>
        <w:t xml:space="preserve"> </w:t>
      </w:r>
      <w:r>
        <w:t xml:space="preserve">(26,5%) 2554</w:t>
      </w:r>
      <w:r>
        <w:rPr>
          <w:vertAlign w:val="superscript"/>
        </w:rPr>
        <w:t xml:space="preserve">c</w:t>
      </w:r>
      <w:r>
        <w:t xml:space="preserve"> </w:t>
      </w:r>
      <w:r>
        <w:t xml:space="preserve">(widoczne są ślady</w:t>
      </w:r>
      <w:r>
        <w:t xml:space="preserve"> </w:t>
      </w:r>
      <w:r>
        <w:rPr>
          <w:iCs/>
          <w:i/>
        </w:rPr>
        <w:t xml:space="preserve">sigmy</w:t>
      </w:r>
      <w:r>
        <w:t xml:space="preserve">, w każdym razie w tym kontekście zmiana czasu nie wpływa na znaczenie).</w:t>
      </w:r>
    </w:p>
    <w:p>
      <w:pPr>
        <w:pStyle w:val="FirstParagraph"/>
      </w:pPr>
      <w:r>
        <w:rPr>
          <w:bCs/>
          <w:b/>
        </w:rPr>
        <w:t xml:space="preserve">Komentarz</w:t>
      </w:r>
      <w:r>
        <w:t xml:space="preserve">: Uważam, że pierwsza ręka daje nam doskonałą kopię archetypu dla 1 Listu Jana. 2 i 3 List Jana oraz List Judy również dają nam doskonałą kopię archetypu. Manuskrypt niemający ani jednego wariantu we wszystkich siedmiu Listach Ogólnych jest z pewnością wzorem cnót. Nazywam to nadzwyczaj starannym przekazem, ponieważ z konieczności odnosiłoby się to również do wcześniejszych pokoleń. Dotąd wystąpiło tylko trzynaście właściwych wariantów, zobaczmy jednak, co wydarzy się w Objawieniu Jana.</w:t>
      </w:r>
    </w:p>
    <w:p>
      <w:pPr>
        <w:numPr>
          <w:ilvl w:val="0"/>
          <w:numId w:val="1031"/>
        </w:numPr>
      </w:pPr>
      <w:r>
        <w:t xml:space="preserve">Objawienie Jana 1,17</w:t>
      </w:r>
      <w:r>
        <w:t xml:space="preserve"> </w:t>
      </w:r>
      <w:r>
        <w:rPr>
          <w:iCs/>
          <w:i/>
        </w:rPr>
        <w:t xml:space="preserve">επεσα</w:t>
      </w:r>
      <w:r>
        <w:t xml:space="preserve"> </w:t>
      </w:r>
      <w:r>
        <w:t xml:space="preserve">||</w:t>
      </w:r>
      <w:r>
        <w:t xml:space="preserve"> </w:t>
      </w:r>
      <w:r>
        <w:rPr>
          <w:iCs/>
          <w:i/>
        </w:rPr>
        <w:t xml:space="preserve">επεσον</w:t>
      </w:r>
      <w:r>
        <w:t xml:space="preserve"> </w:t>
      </w:r>
      <w:r>
        <w:t xml:space="preserve">2554 (wydają się to alternatywne formy tego samego słowa, nie jest to więc właściwy wariant).</w:t>
      </w:r>
      <w:r>
        <w:rPr>
          <w:rStyle w:val="FootnoteReference"/>
        </w:rPr>
        <w:footnoteReference w:id="318"/>
      </w:r>
    </w:p>
    <w:p>
      <w:pPr>
        <w:numPr>
          <w:ilvl w:val="0"/>
          <w:numId w:val="1031"/>
        </w:numPr>
      </w:pPr>
      <w:r>
        <w:t xml:space="preserve">Objawienie Jana 4,8</w:t>
      </w:r>
      <w:r>
        <w:t xml:space="preserve"> </w:t>
      </w:r>
      <w:r>
        <w:rPr>
          <w:iCs/>
          <w:i/>
        </w:rPr>
        <w:t xml:space="preserve">λεγοντα</w:t>
      </w:r>
      <w:r>
        <w:t xml:space="preserve"> </w:t>
      </w:r>
      <w:r>
        <w:t xml:space="preserve">||</w:t>
      </w:r>
      <w:r>
        <w:t xml:space="preserve"> </w:t>
      </w:r>
      <w:r>
        <w:rPr>
          <w:iCs/>
          <w:i/>
        </w:rPr>
        <w:t xml:space="preserve">λεγοντες</w:t>
      </w:r>
      <w:r>
        <w:t xml:space="preserve"> </w:t>
      </w:r>
      <w:r>
        <w:t xml:space="preserve">2554</w:t>
      </w:r>
      <w:r>
        <w:rPr>
          <w:vertAlign w:val="superscript"/>
        </w:rPr>
        <w:t xml:space="preserve">alt</w:t>
      </w:r>
      <w:r>
        <w:t xml:space="preserve"> </w:t>
      </w:r>
      <w:r>
        <w:t xml:space="preserve">(Czy podmiotem czasownika są wyłącznie istoty żywe, czy obejmuje on również starszych? Na podstawie wersetów 9-11 byłyby to wyłącznie istoty żywe. W każdym razie tłumaczenie obu form na język angielski będzie takie samo).</w:t>
      </w:r>
    </w:p>
    <w:p>
      <w:pPr>
        <w:numPr>
          <w:ilvl w:val="0"/>
          <w:numId w:val="1031"/>
        </w:numPr>
      </w:pPr>
      <w:r>
        <w:t xml:space="preserve">Objawienie Jana 7,17a</w:t>
      </w:r>
      <w:r>
        <w:t xml:space="preserve"> </w:t>
      </w:r>
      <w:r>
        <w:rPr>
          <w:iCs/>
          <w:i/>
        </w:rPr>
        <w:t xml:space="preserve">ποιμαινει</w:t>
      </w:r>
      <w:r>
        <w:t xml:space="preserve"> </w:t>
      </w:r>
      <w:r>
        <w:t xml:space="preserve">2554</w:t>
      </w:r>
      <w:r>
        <w:rPr>
          <w:vertAlign w:val="superscript"/>
        </w:rPr>
        <w:t xml:space="preserve">alt</w:t>
      </w:r>
      <w:r>
        <w:t xml:space="preserve"> </w:t>
      </w:r>
      <w:r>
        <w:t xml:space="preserve">||</w:t>
      </w:r>
      <w:r>
        <w:t xml:space="preserve"> </w:t>
      </w:r>
      <w:r>
        <w:rPr>
          <w:iCs/>
          <w:i/>
        </w:rPr>
        <w:t xml:space="preserve">ποιμανει</w:t>
      </w:r>
      <w:r>
        <w:t xml:space="preserve"> </w:t>
      </w:r>
      <w:r>
        <w:t xml:space="preserve">2554 (znacznie ponad połowa przedstawicieli rodziny mających czas przyszły ma ponad wierszem formę czasu teraźniejszego jako wariant alternatywny, podobnie jak 2554, wydaje się, że było to standardowym postępowaniem w Objawieniu Jana, gdy istniała wątpliwość między dwiema formami, dzięki czemu archetyp jest zawsze reprezentowany, w tym kontekście znaczenie nie zostaje naruszone).</w:t>
      </w:r>
    </w:p>
    <w:p>
      <w:pPr>
        <w:numPr>
          <w:ilvl w:val="0"/>
          <w:numId w:val="1031"/>
        </w:numPr>
      </w:pPr>
      <w:r>
        <w:t xml:space="preserve">Objawienie Jana 7,17b</w:t>
      </w:r>
      <w:r>
        <w:t xml:space="preserve"> </w:t>
      </w:r>
      <w:r>
        <w:rPr>
          <w:iCs/>
          <w:i/>
        </w:rPr>
        <w:t xml:space="preserve">οδηγει</w:t>
      </w:r>
      <w:r>
        <w:t xml:space="preserve"> </w:t>
      </w:r>
      <w:r>
        <w:t xml:space="preserve">2554</w:t>
      </w:r>
      <w:r>
        <w:rPr>
          <w:vertAlign w:val="superscript"/>
        </w:rPr>
        <w:t xml:space="preserve">alt</w:t>
      </w:r>
      <w:r>
        <w:t xml:space="preserve"> </w:t>
      </w:r>
      <w:r>
        <w:t xml:space="preserve">||</w:t>
      </w:r>
      <w:r>
        <w:t xml:space="preserve"> </w:t>
      </w:r>
      <w:r>
        <w:rPr>
          <w:iCs/>
          <w:i/>
        </w:rPr>
        <w:t xml:space="preserve">οδηγησει</w:t>
      </w:r>
      <w:r>
        <w:t xml:space="preserve"> </w:t>
      </w:r>
      <w:r>
        <w:t xml:space="preserve">2554 (tak samo jak wyżej).</w:t>
      </w:r>
    </w:p>
    <w:p>
      <w:pPr>
        <w:numPr>
          <w:ilvl w:val="0"/>
          <w:numId w:val="1031"/>
        </w:numPr>
      </w:pPr>
      <w:r>
        <w:t xml:space="preserve">Objawienie Jana 9,5</w:t>
      </w:r>
      <w:r>
        <w:t xml:space="preserve"> </w:t>
      </w:r>
      <w:r>
        <w:rPr>
          <w:iCs/>
          <w:i/>
        </w:rPr>
        <w:t xml:space="preserve">πληξη</w:t>
      </w:r>
      <w:r>
        <w:t xml:space="preserve"> </w:t>
      </w:r>
      <w:r>
        <w:t xml:space="preserve">2554</w:t>
      </w:r>
      <w:r>
        <w:rPr>
          <w:vertAlign w:val="superscript"/>
        </w:rPr>
        <w:t xml:space="preserve">alt</w:t>
      </w:r>
      <w:r>
        <w:t xml:space="preserve"> </w:t>
      </w:r>
      <w:r>
        <w:t xml:space="preserve">||</w:t>
      </w:r>
      <w:r>
        <w:t xml:space="preserve"> </w:t>
      </w:r>
      <w:r>
        <w:rPr>
          <w:iCs/>
          <w:i/>
        </w:rPr>
        <w:t xml:space="preserve">παιση</w:t>
      </w:r>
      <w:r>
        <w:t xml:space="preserve"> </w:t>
      </w:r>
      <w:r>
        <w:t xml:space="preserve">2554 (tak samo jak wyżej, z tym wyjątkiem, że tutaj zmieniono czasownik, w tym kontekście znaczenie nie zostaje naruszone).</w:t>
      </w:r>
    </w:p>
    <w:p>
      <w:pPr>
        <w:numPr>
          <w:ilvl w:val="0"/>
          <w:numId w:val="1031"/>
        </w:numPr>
      </w:pPr>
      <w:r>
        <w:t xml:space="preserve">Objawienie Jana 14,14</w:t>
      </w:r>
      <w:r>
        <w:t xml:space="preserve"> </w:t>
      </w:r>
      <w:r>
        <w:rPr>
          <w:iCs/>
          <w:i/>
        </w:rPr>
        <w:t xml:space="preserve">καθημενος ομοιος</w:t>
      </w:r>
      <w:r>
        <w:t xml:space="preserve"> </w:t>
      </w:r>
      <w:r>
        <w:t xml:space="preserve">2554</w:t>
      </w:r>
      <w:r>
        <w:rPr>
          <w:vertAlign w:val="superscript"/>
        </w:rPr>
        <w:t xml:space="preserve">alt</w:t>
      </w:r>
      <w:r>
        <w:t xml:space="preserve"> </w:t>
      </w:r>
      <w:r>
        <w:t xml:space="preserve">||</w:t>
      </w:r>
      <w:r>
        <w:t xml:space="preserve"> </w:t>
      </w:r>
      <w:r>
        <w:rPr>
          <w:iCs/>
          <w:i/>
        </w:rPr>
        <w:t xml:space="preserve">καθημενον ομοιον</w:t>
      </w:r>
      <w:r>
        <w:t xml:space="preserve"> </w:t>
      </w:r>
      <w:r>
        <w:t xml:space="preserve">2554 (tak samo jak wyżej, z tym wyjątkiem, że tutaj zmieniono tylko przypadek, w tym kontekście znaczenie nie zostaje naruszone).</w:t>
      </w:r>
    </w:p>
    <w:p>
      <w:pPr>
        <w:numPr>
          <w:ilvl w:val="0"/>
          <w:numId w:val="1031"/>
        </w:numPr>
      </w:pPr>
      <w:r>
        <w:t xml:space="preserve">Objawienie Jana 14,19</w:t>
      </w:r>
      <w:r>
        <w:t xml:space="preserve"> </w:t>
      </w:r>
      <w:r>
        <w:rPr>
          <w:iCs/>
          <w:i/>
        </w:rPr>
        <w:t xml:space="preserve">τον μεγαν</w:t>
      </w:r>
      <w:r>
        <w:t xml:space="preserve"> </w:t>
      </w:r>
      <w:r>
        <w:t xml:space="preserve">||</w:t>
      </w:r>
      <w:r>
        <w:t xml:space="preserve"> </w:t>
      </w:r>
      <w:r>
        <w:rPr>
          <w:iCs/>
          <w:i/>
        </w:rPr>
        <w:t xml:space="preserve">την μεγαλην</w:t>
      </w:r>
      <w:r>
        <w:t xml:space="preserve"> </w:t>
      </w:r>
      <w:r>
        <w:t xml:space="preserve">2554 (Czy fraza określa „gniew”, czy „tłocznię”? W tym kontekście są to dwa sposoby powiedzenia tego samego).</w:t>
      </w:r>
    </w:p>
    <w:p>
      <w:pPr>
        <w:numPr>
          <w:ilvl w:val="0"/>
          <w:numId w:val="1031"/>
        </w:numPr>
      </w:pPr>
      <w:r>
        <w:t xml:space="preserve">Objawienie Jana 16,12</w:t>
      </w:r>
      <w:r>
        <w:t xml:space="preserve"> </w:t>
      </w:r>
      <w:r>
        <w:rPr>
          <w:iCs/>
          <w:i/>
        </w:rPr>
        <w:t xml:space="preserve">μεγαν</w:t>
      </w:r>
      <w:r>
        <w:t xml:space="preserve"> </w:t>
      </w:r>
      <w:r>
        <w:t xml:space="preserve">|| 1</w:t>
      </w:r>
      <w:r>
        <w:t xml:space="preserve"> </w:t>
      </w:r>
      <w:r>
        <w:rPr>
          <w:iCs/>
          <w:i/>
        </w:rPr>
        <w:t xml:space="preserve">τον</w:t>
      </w:r>
      <w:r>
        <w:t xml:space="preserve"> </w:t>
      </w:r>
      <w:r>
        <w:t xml:space="preserve">2554 (wariant nie wpływa na znaczenie).</w:t>
      </w:r>
    </w:p>
    <w:p>
      <w:pPr>
        <w:numPr>
          <w:ilvl w:val="0"/>
          <w:numId w:val="1031"/>
        </w:numPr>
      </w:pPr>
      <w:r>
        <w:t xml:space="preserve">Objawienie Jana 19,18</w:t>
      </w:r>
      <w:r>
        <w:t xml:space="preserve"> </w:t>
      </w:r>
      <w:r>
        <w:rPr>
          <w:iCs/>
          <w:i/>
        </w:rPr>
        <w:t xml:space="preserve">και</w:t>
      </w:r>
      <w:r>
        <w:rPr>
          <w:vertAlign w:val="superscript"/>
        </w:rPr>
        <w:t xml:space="preserve">7</w:t>
      </w:r>
      <w:r>
        <w:t xml:space="preserve"> </w:t>
      </w:r>
      <w:r>
        <w:t xml:space="preserve">|| --- 2554 (wydaje się to odczytem singularnym, nie wpływa on na znaczenie).</w:t>
      </w:r>
    </w:p>
    <w:p>
      <w:pPr>
        <w:pStyle w:val="FirstParagraph"/>
      </w:pPr>
      <w:r>
        <w:rPr>
          <w:bCs/>
          <w:b/>
        </w:rPr>
        <w:t xml:space="preserve">Komentarz</w:t>
      </w:r>
      <w:r>
        <w:t xml:space="preserve">: Uważam, że pierwsza ręka ma siedem odmienności od archetypu, z których cztery są poprawione za pomocą wariantu alternatywnego, pozostają więc trzy właściwe warianty, z których żaden nie wpływa na znaczenie. Żaden z wariantów alternatywnych również nie wpływa na znaczenie. Do wszystkich celów praktycznych 2554 jest doskonałym przedstawicielem archetypu w Objawieniu Jana.</w:t>
      </w:r>
    </w:p>
    <w:bookmarkStart w:id="320" w:name="wniosek"/>
    <w:p>
      <w:pPr>
        <w:pStyle w:val="Heading3"/>
      </w:pPr>
      <w:r>
        <w:t xml:space="preserve">Wniosek</w:t>
      </w:r>
    </w:p>
    <w:p>
      <w:pPr>
        <w:pStyle w:val="FirstParagraph"/>
      </w:pPr>
      <w:r>
        <w:t xml:space="preserve">Spośród 49 przypadków wymienionych wyżej tylko szesnaście można sklasyfikować jako „właściwy wariant”, a tylko o jednym można powiedzieć, że wpływa na znaczenie: Dzieje Apostolskie 12,25.</w:t>
      </w:r>
      <w:r>
        <w:rPr>
          <w:rStyle w:val="FootnoteReference"/>
        </w:rPr>
        <w:footnoteReference w:id="319"/>
      </w:r>
      <w:r>
        <w:t xml:space="preserve"> </w:t>
      </w:r>
      <w:r>
        <w:t xml:space="preserve">Nawet tutaj, w tym kontekście, dwa wymienione odczyty mają ten sam skutek. Manuskrypt GA 2554 jest praktycznie doskonałym przedstawicielem swojego archetypu dla całego Nowego Testamentu, i to w XV wieku! Oznacza to, że wszystkie wcześniejsze pokolenia również musiały być praktycznie doskonałe. To właśnie nazywam nadzwyczaj starannym przekazem.</w:t>
      </w:r>
      <w:r>
        <w:t xml:space="preserve"> </w:t>
      </w:r>
      <w:r>
        <w:rPr>
          <w:bCs/>
          <w:b/>
        </w:rPr>
        <w:t xml:space="preserve">Bóg zachował swój Tekst!</w:t>
      </w:r>
    </w:p>
    <w:bookmarkEnd w:id="320"/>
    <w:bookmarkEnd w:id="321"/>
    <w:bookmarkStart w:id="323" w:name="główne-podziały-f35-w-ewangelii-mateusza"/>
    <w:p>
      <w:pPr>
        <w:pStyle w:val="Heading2"/>
      </w:pPr>
      <w:r>
        <w:t xml:space="preserve">Główne podziały</w:t>
      </w:r>
      <w:r>
        <w:t xml:space="preserve"> </w:t>
      </w:r>
      <w:r>
        <w:rPr>
          <w:bCs/>
          <w:b/>
        </w:rPr>
        <w:t xml:space="preserve">f</w:t>
      </w:r>
      <w:r>
        <w:rPr>
          <w:vertAlign w:val="superscript"/>
          <w:bCs/>
          <w:b/>
        </w:rPr>
        <w:t xml:space="preserve">35</w:t>
      </w:r>
      <w:r>
        <w:t xml:space="preserve"> </w:t>
      </w:r>
      <w:r>
        <w:t xml:space="preserve">w Ewangelii Mateusza</w:t>
      </w:r>
    </w:p>
    <w:p>
      <w:pPr>
        <w:pStyle w:val="FirstParagraph"/>
      </w:pPr>
      <w:r>
        <w:t xml:space="preserve">W Ewangelii Mateusza istnieje tylko pięć podziałów, które można by nazwać „głównymi”. Odczyt wymieniony jako pierwszy jest tym, który wybrałem jako reprezentujący archetyp rodziny, z powodów wyjaśnionych na końcu tego artykułu.</w:t>
      </w:r>
    </w:p>
    <w:p>
      <w:pPr>
        <w:numPr>
          <w:ilvl w:val="0"/>
          <w:numId w:val="1032"/>
        </w:numPr>
      </w:pPr>
      <w:r>
        <w:t xml:space="preserve">9,17 απολουνται [80%] || απολλυνται [20%] — czasownik jest ten sam i obie formy występują w trybie oznajmującym, pierwsza to czas przyszły strony zwrotnej, a druga to czas teraźniejszy strony biernej. W bezpośrednio poprzedzających zdaniach zarówno εκχεται, jak i ρηγνυνται występują w czasie teraźniejszym strony biernej i idą ze sobą w parze, po co więc drugie odniesienie do bukłaków? Każda różnica znaczeniowa jest niemal zbyt nieznaczna, by ją przetłumaczyć.</w:t>
      </w:r>
    </w:p>
    <w:p>
      <w:pPr>
        <w:numPr>
          <w:ilvl w:val="0"/>
          <w:numId w:val="1032"/>
        </w:numPr>
      </w:pPr>
      <w:r>
        <w:t xml:space="preserve">19,29 οικιας [66%] || οικιαν [30%] — liczba mnoga czy pojedyncza? Podobnie jak w przypadku braci, jeśli masz tylko jednego, jest to wszystko, co możesz opuścić, a jeśli nie masz żadnego, nie opuszczasz żadnego.</w:t>
      </w:r>
    </w:p>
    <w:p>
      <w:pPr>
        <w:numPr>
          <w:ilvl w:val="0"/>
          <w:numId w:val="1032"/>
        </w:numPr>
      </w:pPr>
      <w:r>
        <w:t xml:space="preserve">25,32 συναχθησονται [25%] || συναχθησεται [75%] — liczba mnoga czy pojedyncza, rzeczownik zbiorowy czy nie? Tłumaczenie jest takie samo.</w:t>
      </w:r>
    </w:p>
    <w:p>
      <w:pPr>
        <w:numPr>
          <w:ilvl w:val="0"/>
          <w:numId w:val="1032"/>
        </w:numPr>
      </w:pPr>
      <w:r>
        <w:t xml:space="preserve">26,29 γενηματος [30%] || γεννηματος [70%] — rzeczowniki są różne, pierwszy odnosi się do płodów roślinnych, a drugi do potomstwa zwierząt, jeśli drugi jest używany w odniesieniu do roślin, jest to znaczenie wtórne. Tłumaczenie jest takie samo.</w:t>
      </w:r>
    </w:p>
    <w:p>
      <w:pPr>
        <w:numPr>
          <w:ilvl w:val="0"/>
          <w:numId w:val="1032"/>
        </w:numPr>
      </w:pPr>
      <w:r>
        <w:t xml:space="preserve">27,35 βαλοντες [25%] || βαλλοντες [75%] — aoryst czy czas teraźniejszy? W kontekście każda różnica znaczeniowa jest tak niewielka, że tłumaczenie jest takie samo.</w:t>
      </w:r>
    </w:p>
    <w:p>
      <w:pPr>
        <w:pStyle w:val="FirstParagraph"/>
      </w:pPr>
      <w:r>
        <w:t xml:space="preserve">Jak jest typowe dla zróżnicowania w obrębie rodziny, różnica dotyczy jednej litery, z wyjątkiem jednej sylaby, a Ewangelia Mateusza nie jest małą księgą. Nazywam to niewiarygodnie starannym przekazem — w żadnym miejscu czytelnik nie zostanie wprowadzony w błąd co do zamierzonego znaczenia. Oryginalne sformułowania Ewangelii Mateusza zostały precyzyjnie zachowane aż do naszych czasów. (Wartości procentowe w nawiasach kwadratowych są szacunkami odnoszącymi się do ogółu zachowanych manuskryptów Ewangelii Mateusza).</w:t>
      </w:r>
    </w:p>
    <w:p>
      <w:pPr>
        <w:pStyle w:val="BodyText"/>
      </w:pPr>
      <w:r>
        <w:t xml:space="preserve">Sprawdziłem 114 przedstawicieli Rodziny 35 w odniesieniu do pięciu głównych podziałów, a wynik przedstawiono w poniższej tabeli. Ufam, że każda rozsądna osoba przyzna, iż próba ta jest odpowiednia do mojego celu (zachowanych przedstawicieli Rodziny 35 dla Ewangelii Mateusza jest co najmniej 250). ++ oznacza pierwszy odczyt, — drugi.</w:t>
      </w:r>
    </w:p>
    <w:tbl>
      <w:tblPr>
        <w:tblStyle w:val="Table"/>
        <w:tblW w:type="pct" w:w="5000"/>
        <w:tblLook w:firstRow="1" w:lastRow="0" w:firstColumn="0" w:lastColumn="0" w:noHBand="0" w:noVBand="0" w:val="0020"/>
        <w:jc w:val="start"/>
      </w:tblPr>
      <w:tblGrid>
        <w:gridCol w:w="856"/>
        <w:gridCol w:w="1070"/>
        <w:gridCol w:w="1070"/>
        <w:gridCol w:w="1070"/>
        <w:gridCol w:w="1070"/>
        <w:gridCol w:w="1070"/>
        <w:gridCol w:w="856"/>
        <w:gridCol w:w="856"/>
      </w:tblGrid>
      <w:tr>
        <w:trPr>
          <w:tblHeader w:val="true"/>
        </w:trPr>
        <w:tc>
          <w:tcPr/>
          <w:p>
            <w:pPr>
              <w:pStyle w:val="Compact"/>
              <w:jc w:val="right"/>
            </w:pPr>
            <w:r>
              <w:rPr>
                <w:bCs/>
                <w:b/>
              </w:rPr>
              <w:t xml:space="preserve">Manuskrypt</w:t>
            </w:r>
          </w:p>
        </w:tc>
        <w:tc>
          <w:tcPr/>
          <w:p>
            <w:pPr>
              <w:pStyle w:val="Compact"/>
              <w:jc w:val="center"/>
            </w:pPr>
            <w:r>
              <w:t xml:space="preserve">9,17</w:t>
            </w:r>
          </w:p>
        </w:tc>
        <w:tc>
          <w:tcPr/>
          <w:p>
            <w:pPr>
              <w:pStyle w:val="Compact"/>
              <w:jc w:val="center"/>
            </w:pPr>
            <w:r>
              <w:t xml:space="preserve">19,29</w:t>
            </w:r>
          </w:p>
        </w:tc>
        <w:tc>
          <w:tcPr/>
          <w:p>
            <w:pPr>
              <w:pStyle w:val="Compact"/>
              <w:jc w:val="center"/>
            </w:pPr>
            <w:r>
              <w:t xml:space="preserve">25,32</w:t>
            </w:r>
          </w:p>
        </w:tc>
        <w:tc>
          <w:tcPr/>
          <w:p>
            <w:pPr>
              <w:pStyle w:val="Compact"/>
              <w:jc w:val="center"/>
            </w:pPr>
            <w:r>
              <w:t xml:space="preserve">26,29</w:t>
            </w:r>
          </w:p>
        </w:tc>
        <w:tc>
          <w:tcPr/>
          <w:p>
            <w:pPr>
              <w:pStyle w:val="Compact"/>
              <w:jc w:val="center"/>
            </w:pPr>
            <w:r>
              <w:t xml:space="preserve">27,35</w:t>
            </w:r>
          </w:p>
        </w:tc>
        <w:tc>
          <w:tcPr/>
          <w:p>
            <w:pPr>
              <w:pStyle w:val="Compact"/>
              <w:jc w:val="left"/>
            </w:pPr>
            <w:r>
              <w:t xml:space="preserve">Miejsce</w:t>
            </w:r>
          </w:p>
        </w:tc>
        <w:tc>
          <w:tcPr/>
          <w:p>
            <w:pPr>
              <w:pStyle w:val="Compact"/>
              <w:jc w:val="left"/>
            </w:pPr>
            <w:r>
              <w:t xml:space="preserve">Data i zawartość</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1364 eapr</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obszar egejski</w:t>
            </w:r>
          </w:p>
        </w:tc>
        <w:tc>
          <w:tcPr/>
          <w:p>
            <w:pPr>
              <w:pStyle w:val="Compact"/>
              <w:jc w:val="left"/>
            </w:pPr>
            <w:r>
              <w:t xml:space="preserve">XI eapr</w:t>
            </w:r>
          </w:p>
        </w:tc>
      </w:tr>
      <w:tr>
        <w:tc>
          <w:tcPr/>
          <w:p>
            <w:pPr>
              <w:pStyle w:val="Compact"/>
              <w:jc w:val="right"/>
            </w:pPr>
            <w:r>
              <w:t xml:space="preserve">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Bodleian</w:t>
            </w:r>
          </w:p>
        </w:tc>
        <w:tc>
          <w:tcPr/>
          <w:p>
            <w:pPr>
              <w:pStyle w:val="Compact"/>
              <w:jc w:val="left"/>
            </w:pPr>
            <w:r>
              <w:t xml:space="preserve">XIV e</w:t>
            </w:r>
          </w:p>
        </w:tc>
      </w:tr>
      <w:tr>
        <w:tc>
          <w:tcPr/>
          <w:p>
            <w:pPr>
              <w:pStyle w:val="Compact"/>
              <w:jc w:val="right"/>
            </w:pPr>
            <w:r>
              <w:t xml:space="preserve">83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Monachium</w:t>
            </w:r>
          </w:p>
        </w:tc>
        <w:tc>
          <w:tcPr/>
          <w:p>
            <w:pPr>
              <w:pStyle w:val="Compact"/>
              <w:jc w:val="left"/>
            </w:pPr>
            <w:r>
              <w:t xml:space="preserve">XI e</w:t>
            </w:r>
          </w:p>
        </w:tc>
      </w:tr>
      <w:tr>
        <w:tc>
          <w:tcPr/>
          <w:p>
            <w:pPr>
              <w:pStyle w:val="Compact"/>
              <w:jc w:val="right"/>
            </w:pPr>
            <w:r>
              <w:t xml:space="preserve">125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Wiedeń</w:t>
            </w:r>
          </w:p>
        </w:tc>
        <w:tc>
          <w:tcPr/>
          <w:p>
            <w:pPr>
              <w:pStyle w:val="Compact"/>
              <w:jc w:val="left"/>
            </w:pPr>
            <w:r>
              <w:t xml:space="preserve">XI e</w:t>
            </w:r>
          </w:p>
        </w:tc>
      </w:tr>
      <w:tr>
        <w:tc>
          <w:tcPr/>
          <w:p>
            <w:pPr>
              <w:pStyle w:val="Compact"/>
              <w:jc w:val="right"/>
            </w:pPr>
            <w:r>
              <w:t xml:space="preserve">128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141</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eapr</w:t>
            </w:r>
          </w:p>
        </w:tc>
      </w:tr>
      <w:tr>
        <w:tc>
          <w:tcPr/>
          <w:p>
            <w:pPr>
              <w:pStyle w:val="Compact"/>
              <w:jc w:val="right"/>
            </w:pPr>
            <w:r>
              <w:t xml:space="preserve">155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XIII eap</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1357 eapr</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left"/>
            </w:pPr>
            <w:r>
              <w:t xml:space="preserve">XIII eap</w:t>
            </w:r>
          </w:p>
        </w:tc>
      </w:tr>
      <w:tr>
        <w:tc>
          <w:tcPr/>
          <w:p>
            <w:pPr>
              <w:pStyle w:val="Compact"/>
              <w:jc w:val="right"/>
            </w:pPr>
            <w:r>
              <w:t xml:space="preserve">214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XIV e</w:t>
            </w:r>
          </w:p>
        </w:tc>
      </w:tr>
      <w:tr>
        <w:tc>
          <w:tcPr/>
          <w:p>
            <w:pPr>
              <w:pStyle w:val="Compact"/>
              <w:jc w:val="right"/>
            </w:pPr>
            <w:r>
              <w:t xml:space="preserve">246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Moskwa</w:t>
            </w:r>
          </w:p>
        </w:tc>
        <w:tc>
          <w:tcPr/>
          <w:p>
            <w:pPr>
              <w:pStyle w:val="Compact"/>
              <w:jc w:val="left"/>
            </w:pPr>
            <w:r>
              <w:t xml:space="preserve">XIV e</w:t>
            </w:r>
          </w:p>
        </w:tc>
      </w:tr>
      <w:tr>
        <w:tc>
          <w:tcPr/>
          <w:p>
            <w:pPr>
              <w:pStyle w:val="Compact"/>
              <w:jc w:val="right"/>
            </w:pPr>
            <w:r>
              <w:t xml:space="preserve">363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XIV eap</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eapr</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Rzym</w:t>
            </w:r>
          </w:p>
        </w:tc>
        <w:tc>
          <w:tcPr/>
          <w:p>
            <w:pPr>
              <w:pStyle w:val="Compact"/>
              <w:jc w:val="left"/>
            </w:pPr>
            <w:r>
              <w:t xml:space="preserve">1330 eap</w:t>
            </w:r>
          </w:p>
        </w:tc>
      </w:tr>
      <w:tr>
        <w:tc>
          <w:tcPr/>
          <w:p>
            <w:pPr>
              <w:pStyle w:val="Compact"/>
              <w:jc w:val="right"/>
            </w:pPr>
            <w:r>
              <w:t xml:space="preserve">402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Neapol</w:t>
            </w:r>
          </w:p>
        </w:tc>
        <w:tc>
          <w:tcPr/>
          <w:p>
            <w:pPr>
              <w:pStyle w:val="Compact"/>
              <w:jc w:val="left"/>
            </w:pPr>
            <w:r>
              <w:t xml:space="preserve">XIV e</w:t>
            </w:r>
          </w:p>
        </w:tc>
      </w:tr>
      <w:tr>
        <w:tc>
          <w:tcPr/>
          <w:p>
            <w:pPr>
              <w:pStyle w:val="Compact"/>
              <w:jc w:val="right"/>
            </w:pPr>
            <w:r>
              <w:t xml:space="preserve">415</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1356 e</w:t>
            </w:r>
          </w:p>
        </w:tc>
      </w:tr>
      <w:tr>
        <w:tc>
          <w:tcPr/>
          <w:p>
            <w:pPr>
              <w:pStyle w:val="Compact"/>
              <w:jc w:val="right"/>
            </w:pPr>
            <w:r>
              <w:t xml:space="preserve">479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Birmingham</w:t>
            </w:r>
          </w:p>
        </w:tc>
        <w:tc>
          <w:tcPr/>
          <w:p>
            <w:pPr>
              <w:pStyle w:val="Compact"/>
              <w:jc w:val="left"/>
            </w:pPr>
            <w:r>
              <w:t xml:space="preserve">XIII eap</w:t>
            </w:r>
          </w:p>
        </w:tc>
      </w:tr>
      <w:tr>
        <w:tc>
          <w:tcPr/>
          <w:p>
            <w:pPr>
              <w:pStyle w:val="Compact"/>
              <w:jc w:val="right"/>
            </w:pPr>
            <w:r>
              <w:t xml:space="preserve">480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1366 e</w:t>
            </w:r>
          </w:p>
        </w:tc>
      </w:tr>
      <w:tr>
        <w:tc>
          <w:tcPr/>
          <w:p>
            <w:pPr>
              <w:pStyle w:val="Compact"/>
              <w:jc w:val="right"/>
            </w:pPr>
            <w:r>
              <w:t xml:space="preserve">510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 e</w:t>
            </w:r>
          </w:p>
        </w:tc>
      </w:tr>
      <w:tr>
        <w:tc>
          <w:tcPr/>
          <w:p>
            <w:pPr>
              <w:pStyle w:val="Compact"/>
              <w:jc w:val="right"/>
            </w:pPr>
            <w:r>
              <w:t xml:space="preserve">520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536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ea</w:t>
            </w:r>
          </w:p>
        </w:tc>
      </w:tr>
      <w:tr>
        <w:tc>
          <w:tcPr/>
          <w:p>
            <w:pPr>
              <w:pStyle w:val="Compact"/>
              <w:jc w:val="right"/>
            </w:pPr>
            <w:r>
              <w:t xml:space="preserve">547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 eap</w:t>
            </w:r>
          </w:p>
        </w:tc>
      </w:tr>
      <w:tr>
        <w:tc>
          <w:tcPr/>
          <w:p>
            <w:pPr>
              <w:pStyle w:val="Compact"/>
              <w:jc w:val="right"/>
            </w:pPr>
            <w:r>
              <w:t xml:space="preserve">553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586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Modena</w:t>
            </w:r>
          </w:p>
        </w:tc>
        <w:tc>
          <w:tcPr/>
          <w:p>
            <w:pPr>
              <w:pStyle w:val="Compact"/>
              <w:jc w:val="left"/>
            </w:pPr>
            <w:r>
              <w:t xml:space="preserve">XIV e</w:t>
            </w:r>
          </w:p>
        </w:tc>
      </w:tr>
      <w:tr>
        <w:tc>
          <w:tcPr/>
          <w:p>
            <w:pPr>
              <w:pStyle w:val="Compact"/>
              <w:jc w:val="right"/>
            </w:pPr>
            <w:r>
              <w:t xml:space="preserve">645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Cypr</w:t>
            </w:r>
          </w:p>
        </w:tc>
        <w:tc>
          <w:tcPr/>
          <w:p>
            <w:pPr>
              <w:pStyle w:val="Compact"/>
              <w:jc w:val="left"/>
            </w:pPr>
            <w:r>
              <w:t xml:space="preserve">1304 e</w:t>
            </w:r>
          </w:p>
        </w:tc>
      </w:tr>
      <w:tr>
        <w:tc>
          <w:tcPr/>
          <w:p>
            <w:pPr>
              <w:pStyle w:val="Compact"/>
              <w:jc w:val="right"/>
            </w:pPr>
            <w:r>
              <w:t xml:space="preserve">676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Münster</w:t>
            </w:r>
          </w:p>
        </w:tc>
        <w:tc>
          <w:tcPr/>
          <w:p>
            <w:pPr>
              <w:pStyle w:val="Compact"/>
              <w:jc w:val="left"/>
            </w:pPr>
            <w:r>
              <w:t xml:space="preserve">XIII eap</w:t>
            </w:r>
          </w:p>
        </w:tc>
      </w:tr>
      <w:tr>
        <w:tc>
          <w:tcPr/>
          <w:p>
            <w:pPr>
              <w:pStyle w:val="Compact"/>
              <w:jc w:val="right"/>
            </w:pPr>
            <w:r>
              <w:t xml:space="preserve">685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w:t>
            </w:r>
          </w:p>
        </w:tc>
      </w:tr>
      <w:tr>
        <w:tc>
          <w:tcPr/>
          <w:p>
            <w:pPr>
              <w:pStyle w:val="Compact"/>
              <w:jc w:val="right"/>
            </w:pPr>
            <w:r>
              <w:t xml:space="preserve">689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757</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eapr</w:t>
            </w:r>
          </w:p>
        </w:tc>
      </w:tr>
      <w:tr>
        <w:tc>
          <w:tcPr/>
          <w:p>
            <w:pPr>
              <w:pStyle w:val="Compact"/>
              <w:jc w:val="right"/>
            </w:pPr>
            <w:r>
              <w:t xml:space="preserve">758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left"/>
            </w:pPr>
            <w:r>
              <w:t xml:space="preserve">XIV eapr</w:t>
            </w:r>
          </w:p>
        </w:tc>
      </w:tr>
      <w:tr>
        <w:tc>
          <w:tcPr/>
          <w:p>
            <w:pPr>
              <w:pStyle w:val="Compact"/>
              <w:jc w:val="right"/>
            </w:pPr>
            <w:r>
              <w:t xml:space="preserve">867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w:t>
            </w:r>
          </w:p>
        </w:tc>
      </w:tr>
      <w:tr>
        <w:tc>
          <w:tcPr/>
          <w:p>
            <w:pPr>
              <w:pStyle w:val="Compact"/>
              <w:jc w:val="right"/>
            </w:pPr>
            <w:r>
              <w:t xml:space="preserve">897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Edynburg</w:t>
            </w:r>
          </w:p>
        </w:tc>
        <w:tc>
          <w:tcPr/>
          <w:p>
            <w:pPr>
              <w:pStyle w:val="Compact"/>
              <w:jc w:val="left"/>
            </w:pPr>
            <w:r>
              <w:t xml:space="preserve">XIII 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1304 eap</w:t>
            </w:r>
          </w:p>
        </w:tc>
      </w:tr>
      <w:tr>
        <w:tc>
          <w:tcPr/>
          <w:p>
            <w:pPr>
              <w:pStyle w:val="Compact"/>
              <w:jc w:val="right"/>
            </w:pPr>
            <w:r>
              <w:t xml:space="preserve">938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1318 e</w:t>
            </w:r>
          </w:p>
        </w:tc>
      </w:tr>
      <w:tr>
        <w:tc>
          <w:tcPr/>
          <w:p>
            <w:pPr>
              <w:pStyle w:val="Compact"/>
              <w:jc w:val="right"/>
            </w:pPr>
            <w:r>
              <w:t xml:space="preserve">959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1331 eap</w:t>
            </w:r>
          </w:p>
        </w:tc>
      </w:tr>
      <w:tr>
        <w:tc>
          <w:tcPr/>
          <w:p>
            <w:pPr>
              <w:pStyle w:val="Compact"/>
              <w:jc w:val="right"/>
            </w:pPr>
            <w:r>
              <w:t xml:space="preserve">986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Esfigmenu</w:t>
            </w:r>
          </w:p>
        </w:tc>
        <w:tc>
          <w:tcPr/>
          <w:p>
            <w:pPr>
              <w:pStyle w:val="Compact"/>
              <w:jc w:val="left"/>
            </w:pPr>
            <w:r>
              <w:t xml:space="preserve">XIV eapr</w:t>
            </w:r>
          </w:p>
        </w:tc>
      </w:tr>
      <w:tr>
        <w:tc>
          <w:tcPr/>
          <w:p>
            <w:pPr>
              <w:pStyle w:val="Compact"/>
              <w:jc w:val="right"/>
            </w:pPr>
            <w:r>
              <w:t xml:space="preserve">1023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1338 e</w:t>
            </w:r>
          </w:p>
        </w:tc>
      </w:tr>
      <w:tr>
        <w:tc>
          <w:tcPr/>
          <w:p>
            <w:pPr>
              <w:pStyle w:val="Compact"/>
              <w:jc w:val="right"/>
            </w:pPr>
            <w:r>
              <w:t xml:space="preserve">1040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XIV eap</w:t>
            </w:r>
          </w:p>
        </w:tc>
      </w:tr>
      <w:tr>
        <w:tc>
          <w:tcPr/>
          <w:p>
            <w:pPr>
              <w:pStyle w:val="Compact"/>
              <w:jc w:val="right"/>
            </w:pPr>
            <w:r>
              <w:t xml:space="preserve">1062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Kutlumusiu</w:t>
            </w:r>
          </w:p>
        </w:tc>
        <w:tc>
          <w:tcPr/>
          <w:p>
            <w:pPr>
              <w:pStyle w:val="Compact"/>
              <w:jc w:val="left"/>
            </w:pPr>
            <w:r>
              <w:t xml:space="preserve">XIV 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eapr</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1111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w:t>
            </w:r>
          </w:p>
        </w:tc>
        <w:tc>
          <w:tcPr/>
          <w:p>
            <w:pPr>
              <w:pStyle w:val="Compact"/>
              <w:jc w:val="left"/>
            </w:pPr>
            <w:r>
              <w:t xml:space="preserve">XIV e</w:t>
            </w:r>
          </w:p>
        </w:tc>
      </w:tr>
      <w:tr>
        <w:tc>
          <w:tcPr/>
          <w:p>
            <w:pPr>
              <w:pStyle w:val="Compact"/>
              <w:jc w:val="right"/>
            </w:pPr>
            <w:r>
              <w:t xml:space="preserve">1117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1147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1370 e</w:t>
            </w:r>
          </w:p>
        </w:tc>
      </w:tr>
      <w:tr>
        <w:tc>
          <w:tcPr/>
          <w:p>
            <w:pPr>
              <w:pStyle w:val="Compact"/>
              <w:jc w:val="right"/>
            </w:pPr>
            <w:r>
              <w:t xml:space="preserve">1158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XIV e</w:t>
            </w:r>
          </w:p>
        </w:tc>
      </w:tr>
      <w:tr>
        <w:tc>
          <w:tcPr/>
          <w:p>
            <w:pPr>
              <w:pStyle w:val="Compact"/>
              <w:jc w:val="right"/>
            </w:pPr>
            <w:r>
              <w:t xml:space="preserve">1189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1346 e</w:t>
            </w:r>
          </w:p>
        </w:tc>
      </w:tr>
      <w:tr>
        <w:tc>
          <w:tcPr/>
          <w:p>
            <w:pPr>
              <w:pStyle w:val="Compact"/>
              <w:jc w:val="right"/>
            </w:pPr>
            <w:r>
              <w:t xml:space="preserve">1199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 e</w:t>
            </w:r>
          </w:p>
        </w:tc>
      </w:tr>
      <w:tr>
        <w:tc>
          <w:tcPr/>
          <w:p>
            <w:pPr>
              <w:pStyle w:val="Compact"/>
              <w:jc w:val="right"/>
            </w:pPr>
            <w:r>
              <w:t xml:space="preserve">1234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1247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eapr</w:t>
            </w:r>
          </w:p>
        </w:tc>
      </w:tr>
      <w:tr>
        <w:tc>
          <w:tcPr/>
          <w:p>
            <w:pPr>
              <w:pStyle w:val="Compact"/>
              <w:jc w:val="right"/>
            </w:pPr>
            <w:r>
              <w:t xml:space="preserve">1250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XIII eap</w:t>
            </w:r>
          </w:p>
        </w:tc>
      </w:tr>
      <w:tr>
        <w:tc>
          <w:tcPr/>
          <w:p>
            <w:pPr>
              <w:pStyle w:val="Compact"/>
              <w:jc w:val="right"/>
            </w:pPr>
            <w:r>
              <w:t xml:space="preserve">1323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 e</w:t>
            </w:r>
          </w:p>
        </w:tc>
      </w:tr>
      <w:tr>
        <w:tc>
          <w:tcPr/>
          <w:p>
            <w:pPr>
              <w:pStyle w:val="Compact"/>
              <w:jc w:val="right"/>
            </w:pPr>
            <w:r>
              <w:t xml:space="preserve">1328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XIV er</w:t>
            </w:r>
          </w:p>
        </w:tc>
      </w:tr>
      <w:tr>
        <w:tc>
          <w:tcPr/>
          <w:p>
            <w:pPr>
              <w:pStyle w:val="Compact"/>
              <w:jc w:val="right"/>
            </w:pPr>
            <w:r>
              <w:t xml:space="preserve">1334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1339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Andros</w:t>
            </w:r>
          </w:p>
        </w:tc>
        <w:tc>
          <w:tcPr/>
          <w:p>
            <w:pPr>
              <w:pStyle w:val="Compact"/>
              <w:jc w:val="left"/>
            </w:pPr>
            <w:r>
              <w:t xml:space="preserve">XI eapr</w:t>
            </w:r>
          </w:p>
        </w:tc>
      </w:tr>
      <w:tr>
        <w:tc>
          <w:tcPr/>
          <w:p>
            <w:pPr>
              <w:pStyle w:val="Compact"/>
              <w:jc w:val="right"/>
            </w:pPr>
            <w:r>
              <w:t xml:space="preserve">1435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 e</w:t>
            </w:r>
          </w:p>
        </w:tc>
      </w:tr>
      <w:tr>
        <w:tc>
          <w:tcPr/>
          <w:p>
            <w:pPr>
              <w:pStyle w:val="Compact"/>
              <w:jc w:val="right"/>
            </w:pPr>
            <w:r>
              <w:t xml:space="preserve">1445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1323 e</w:t>
            </w:r>
          </w:p>
        </w:tc>
      </w:tr>
      <w:tr>
        <w:tc>
          <w:tcPr/>
          <w:p>
            <w:pPr>
              <w:pStyle w:val="Compact"/>
              <w:jc w:val="right"/>
            </w:pPr>
            <w:r>
              <w:t xml:space="preserve">1461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1482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1304 eap</w:t>
            </w:r>
          </w:p>
        </w:tc>
      </w:tr>
      <w:tr>
        <w:tc>
          <w:tcPr/>
          <w:p>
            <w:pPr>
              <w:pStyle w:val="Compact"/>
              <w:jc w:val="right"/>
            </w:pPr>
            <w:r>
              <w:t xml:space="preserve">1490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 eap</w:t>
            </w:r>
          </w:p>
        </w:tc>
      </w:tr>
      <w:tr>
        <w:tc>
          <w:tcPr/>
          <w:p>
            <w:pPr>
              <w:pStyle w:val="Compact"/>
              <w:jc w:val="right"/>
            </w:pPr>
            <w:r>
              <w:t xml:space="preserve">1496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1317 eapr</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1359 eap</w:t>
            </w:r>
          </w:p>
        </w:tc>
      </w:tr>
      <w:tr>
        <w:tc>
          <w:tcPr/>
          <w:p>
            <w:pPr>
              <w:pStyle w:val="Compact"/>
              <w:jc w:val="right"/>
            </w:pPr>
            <w:r>
              <w:t xml:space="preserve">1551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XIII er</w:t>
            </w:r>
          </w:p>
        </w:tc>
      </w:tr>
      <w:tr>
        <w:tc>
          <w:tcPr/>
          <w:p>
            <w:pPr>
              <w:pStyle w:val="Compact"/>
              <w:jc w:val="right"/>
            </w:pPr>
            <w:r>
              <w:t xml:space="preserve">1559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1304 e</w:t>
            </w:r>
          </w:p>
        </w:tc>
      </w:tr>
      <w:tr>
        <w:tc>
          <w:tcPr/>
          <w:p>
            <w:pPr>
              <w:pStyle w:val="Compact"/>
              <w:jc w:val="right"/>
            </w:pPr>
            <w:r>
              <w:t xml:space="preserve">1614</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1324 e</w:t>
            </w:r>
          </w:p>
        </w:tc>
      </w:tr>
      <w:tr>
        <w:tc>
          <w:tcPr/>
          <w:p>
            <w:pPr>
              <w:pStyle w:val="Compact"/>
              <w:jc w:val="right"/>
            </w:pPr>
            <w:r>
              <w:t xml:space="preserve">1617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1400 eap</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1328 eapr</w:t>
            </w:r>
          </w:p>
        </w:tc>
      </w:tr>
      <w:tr>
        <w:tc>
          <w:tcPr/>
          <w:p>
            <w:pPr>
              <w:pStyle w:val="Compact"/>
              <w:jc w:val="right"/>
            </w:pPr>
            <w:r>
              <w:t xml:space="preserve">1652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XVI eapr</w:t>
            </w:r>
          </w:p>
        </w:tc>
      </w:tr>
      <w:tr>
        <w:tc>
          <w:tcPr/>
          <w:p>
            <w:pPr>
              <w:pStyle w:val="Compact"/>
              <w:jc w:val="right"/>
            </w:pPr>
            <w:r>
              <w:t xml:space="preserve">1667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Panteleimonos</w:t>
            </w:r>
          </w:p>
        </w:tc>
        <w:tc>
          <w:tcPr/>
          <w:p>
            <w:pPr>
              <w:pStyle w:val="Compact"/>
              <w:jc w:val="left"/>
            </w:pPr>
            <w:r>
              <w:t xml:space="preserve">1309 e</w:t>
            </w:r>
          </w:p>
        </w:tc>
      </w:tr>
      <w:tr>
        <w:tc>
          <w:tcPr/>
          <w:p>
            <w:pPr>
              <w:pStyle w:val="Compact"/>
              <w:jc w:val="right"/>
            </w:pPr>
            <w:r>
              <w:t xml:space="preserve">1686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1418 e</w:t>
            </w:r>
          </w:p>
        </w:tc>
      </w:tr>
      <w:tr>
        <w:tc>
          <w:tcPr/>
          <w:p>
            <w:pPr>
              <w:pStyle w:val="Compact"/>
              <w:jc w:val="right"/>
            </w:pPr>
            <w:r>
              <w:t xml:space="preserve">1694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1698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1705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XIV e</w:t>
            </w:r>
          </w:p>
        </w:tc>
      </w:tr>
      <w:tr>
        <w:tc>
          <w:tcPr/>
          <w:p>
            <w:pPr>
              <w:pStyle w:val="Compact"/>
              <w:jc w:val="right"/>
            </w:pPr>
            <w:r>
              <w:t xml:space="preserve">1713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XV e</w:t>
            </w:r>
          </w:p>
        </w:tc>
      </w:tr>
      <w:tr>
        <w:tc>
          <w:tcPr/>
          <w:p>
            <w:pPr>
              <w:pStyle w:val="Compact"/>
              <w:jc w:val="right"/>
            </w:pPr>
            <w:r>
              <w:t xml:space="preserve">1813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Duke</w:t>
            </w:r>
          </w:p>
        </w:tc>
        <w:tc>
          <w:tcPr/>
          <w:p>
            <w:pPr>
              <w:pStyle w:val="Compact"/>
              <w:jc w:val="left"/>
            </w:pPr>
            <w:r>
              <w:t xml:space="preserve">XII e</w:t>
            </w:r>
          </w:p>
        </w:tc>
      </w:tr>
      <w:tr>
        <w:tc>
          <w:tcPr/>
          <w:p>
            <w:pPr>
              <w:pStyle w:val="Compact"/>
              <w:jc w:val="right"/>
            </w:pPr>
            <w:r>
              <w:t xml:space="preserve">2122</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 e</w:t>
            </w:r>
          </w:p>
        </w:tc>
      </w:tr>
      <w:tr>
        <w:tc>
          <w:tcPr/>
          <w:p>
            <w:pPr>
              <w:pStyle w:val="Compact"/>
              <w:jc w:val="right"/>
            </w:pPr>
            <w:r>
              <w:t xml:space="preserve">2175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Petersburg</w:t>
            </w:r>
          </w:p>
        </w:tc>
        <w:tc>
          <w:tcPr/>
          <w:p>
            <w:pPr>
              <w:pStyle w:val="Compact"/>
              <w:jc w:val="left"/>
            </w:pPr>
            <w:r>
              <w:t xml:space="preserve">XIV eap</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left"/>
            </w:pPr>
            <w:r>
              <w:t xml:space="preserve">1432 eap</w:t>
            </w:r>
          </w:p>
        </w:tc>
      </w:tr>
      <w:tr>
        <w:tc>
          <w:tcPr/>
          <w:p>
            <w:pPr>
              <w:pStyle w:val="Compact"/>
              <w:jc w:val="right"/>
            </w:pPr>
            <w:r>
              <w:t xml:space="preserve">2253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 e</w:t>
            </w:r>
          </w:p>
        </w:tc>
      </w:tr>
      <w:tr>
        <w:tc>
          <w:tcPr/>
          <w:p>
            <w:pPr>
              <w:pStyle w:val="Compact"/>
              <w:jc w:val="right"/>
            </w:pPr>
            <w:r>
              <w:t xml:space="preserve">2261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Kalawrita</w:t>
            </w:r>
          </w:p>
        </w:tc>
        <w:tc>
          <w:tcPr/>
          <w:p>
            <w:pPr>
              <w:pStyle w:val="Compact"/>
              <w:jc w:val="left"/>
            </w:pPr>
            <w:r>
              <w:t xml:space="preserve">XIV eap</w:t>
            </w:r>
          </w:p>
        </w:tc>
      </w:tr>
      <w:tr>
        <w:tc>
          <w:tcPr/>
          <w:p>
            <w:pPr>
              <w:pStyle w:val="Compact"/>
              <w:jc w:val="right"/>
            </w:pPr>
            <w:r>
              <w:t xml:space="preserve">2284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Manchester</w:t>
            </w:r>
          </w:p>
        </w:tc>
        <w:tc>
          <w:tcPr/>
          <w:p>
            <w:pPr>
              <w:pStyle w:val="Compact"/>
              <w:jc w:val="left"/>
            </w:pPr>
            <w:r>
              <w:t xml:space="preserve">XIII e</w:t>
            </w:r>
          </w:p>
        </w:tc>
      </w:tr>
      <w:tr>
        <w:tc>
          <w:tcPr/>
          <w:p>
            <w:pPr>
              <w:pStyle w:val="Compact"/>
              <w:jc w:val="right"/>
            </w:pPr>
            <w:r>
              <w:t xml:space="preserve">2322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wyspa Prinkipos</w:t>
            </w:r>
          </w:p>
        </w:tc>
        <w:tc>
          <w:tcPr/>
          <w:p>
            <w:pPr>
              <w:pStyle w:val="Compact"/>
              <w:jc w:val="left"/>
            </w:pPr>
            <w:r>
              <w:t xml:space="preserve">XII e</w:t>
            </w:r>
          </w:p>
        </w:tc>
      </w:tr>
      <w:tr>
        <w:tc>
          <w:tcPr/>
          <w:p>
            <w:pPr>
              <w:pStyle w:val="Compact"/>
              <w:jc w:val="right"/>
            </w:pPr>
            <w:r>
              <w:t xml:space="preserve">2323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Benaki (Ateny)</w:t>
            </w:r>
          </w:p>
        </w:tc>
        <w:tc>
          <w:tcPr/>
          <w:p>
            <w:pPr>
              <w:pStyle w:val="Compact"/>
              <w:jc w:val="left"/>
            </w:pPr>
            <w:r>
              <w:t xml:space="preserve">XIII er</w:t>
            </w:r>
          </w:p>
        </w:tc>
      </w:tr>
      <w:tr>
        <w:tc>
          <w:tcPr/>
          <w:p>
            <w:pPr>
              <w:pStyle w:val="Compact"/>
              <w:jc w:val="right"/>
            </w:pPr>
            <w:r>
              <w:t xml:space="preserve">2352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left"/>
            </w:pPr>
            <w:r>
              <w:t xml:space="preserve">XIV eapr</w:t>
            </w:r>
          </w:p>
        </w:tc>
      </w:tr>
      <w:tr>
        <w:tc>
          <w:tcPr/>
          <w:p>
            <w:pPr>
              <w:pStyle w:val="Compact"/>
              <w:jc w:val="right"/>
            </w:pPr>
            <w:r>
              <w:t xml:space="preserve">2367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Princeton</w:t>
            </w:r>
          </w:p>
        </w:tc>
        <w:tc>
          <w:tcPr/>
          <w:p>
            <w:pPr>
              <w:pStyle w:val="Compact"/>
              <w:jc w:val="left"/>
            </w:pPr>
            <w:r>
              <w:t xml:space="preserve">XII e</w:t>
            </w:r>
          </w:p>
        </w:tc>
      </w:tr>
      <w:tr>
        <w:tc>
          <w:tcPr/>
          <w:p>
            <w:pPr>
              <w:pStyle w:val="Compact"/>
              <w:jc w:val="right"/>
            </w:pPr>
            <w:r>
              <w:t xml:space="preserve">2382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2399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XIV e</w:t>
            </w:r>
          </w:p>
        </w:tc>
      </w:tr>
      <w:tr>
        <w:tc>
          <w:tcPr/>
          <w:p>
            <w:pPr>
              <w:pStyle w:val="Compact"/>
              <w:jc w:val="right"/>
            </w:pPr>
            <w:r>
              <w:t xml:space="preserve">2407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1332 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Patmos</w:t>
            </w:r>
          </w:p>
        </w:tc>
        <w:tc>
          <w:tcPr/>
          <w:p>
            <w:pPr>
              <w:pStyle w:val="Compact"/>
              <w:jc w:val="left"/>
            </w:pPr>
            <w:r>
              <w:t xml:space="preserve">1329 eap</w:t>
            </w:r>
          </w:p>
        </w:tc>
      </w:tr>
      <w:tr>
        <w:tc>
          <w:tcPr/>
          <w:p>
            <w:pPr>
              <w:pStyle w:val="Compact"/>
              <w:jc w:val="right"/>
            </w:pPr>
            <w:r>
              <w:t xml:space="preserve">2503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left"/>
            </w:pPr>
            <w:r>
              <w:t xml:space="preserve">1434 eapr</w:t>
            </w:r>
          </w:p>
        </w:tc>
      </w:tr>
      <w:tr>
        <w:tc>
          <w:tcPr/>
          <w:p>
            <w:pPr>
              <w:pStyle w:val="Compact"/>
              <w:jc w:val="right"/>
            </w:pPr>
            <w:r>
              <w:t xml:space="preserve">2559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Benaki (Ateny)</w:t>
            </w:r>
          </w:p>
        </w:tc>
        <w:tc>
          <w:tcPr/>
          <w:p>
            <w:pPr>
              <w:pStyle w:val="Compact"/>
              <w:jc w:val="left"/>
            </w:pPr>
            <w:r>
              <w:t xml:space="preserve">XII e</w:t>
            </w:r>
          </w:p>
        </w:tc>
      </w:tr>
      <w:tr>
        <w:tc>
          <w:tcPr/>
          <w:p>
            <w:pPr>
              <w:pStyle w:val="Compact"/>
              <w:jc w:val="right"/>
            </w:pPr>
            <w:r>
              <w:t xml:space="preserve">2765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Korynt? (Oksford)</w:t>
            </w:r>
          </w:p>
        </w:tc>
        <w:tc>
          <w:tcPr/>
          <w:p>
            <w:pPr>
              <w:pStyle w:val="Compact"/>
              <w:jc w:val="left"/>
            </w:pPr>
            <w:r>
              <w:t xml:space="preserve">XIV e</w:t>
            </w:r>
          </w:p>
        </w:tc>
      </w:tr>
      <w:tr>
        <w:tc>
          <w:tcPr/>
          <w:p>
            <w:pPr>
              <w:pStyle w:val="Compact"/>
              <w:jc w:val="right"/>
            </w:pPr>
            <w:r>
              <w:t xml:space="preserve">2897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Orlando</w:t>
            </w:r>
          </w:p>
        </w:tc>
        <w:tc>
          <w:tcPr/>
          <w:p>
            <w:pPr>
              <w:pStyle w:val="Compact"/>
              <w:jc w:val="left"/>
            </w:pPr>
            <w:r>
              <w:t xml:space="preserve">XIII e</w:t>
            </w:r>
          </w:p>
        </w:tc>
      </w:tr>
      <w:tr>
        <w:tc>
          <w:tcPr/>
          <w:p>
            <w:pPr>
              <w:pStyle w:val="Compact"/>
              <w:jc w:val="right"/>
            </w:pPr>
            <w:r>
              <w:t xml:space="preserve">2916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I.2110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1322 e</w:t>
            </w:r>
          </w:p>
        </w:tc>
      </w:tr>
      <w:tr>
        <w:tc>
          <w:tcPr/>
          <w:p>
            <w:pPr>
              <w:pStyle w:val="Compact"/>
              <w:jc w:val="right"/>
            </w:pPr>
            <w:r>
              <w:t xml:space="preserve">L.65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Leukosia</w:t>
            </w:r>
          </w:p>
        </w:tc>
        <w:tc>
          <w:tcPr/>
          <w:p>
            <w:pPr>
              <w:pStyle w:val="Compact"/>
              <w:jc w:val="left"/>
            </w:pPr>
            <w:r>
              <w:t xml:space="preserve">XIV e</w:t>
            </w:r>
          </w:p>
        </w:tc>
      </w:tr>
    </w:tbl>
    <w:p>
      <w:pPr>
        <w:pStyle w:val="BodyText"/>
      </w:pPr>
      <w:r>
        <w:t xml:space="preserve">Przedstawię teraz wzorce dla pięciu zestawów wariantów. Zauważyłem osiem „poprawek” i dziewięć „wariantów alternatywnych”, rozproszonych tu i ówdzie, zignorowałem je na potrzeby tego ćwiczenia (chociaż 12 spośród 17 zmienia „—” na „++”). Celem jest ocena, czy wzorce wskazują na niezależne linie przekazu w obrębie Rodziny 35. Oto wzorce. Liczby oznaczają pierwszy odczyt (++), — drugi.</w:t>
      </w:r>
    </w:p>
    <w:tbl>
      <w:tblPr>
        <w:tblStyle w:val="Table"/>
        <w:tblW w:type="pct" w:w="5000"/>
        <w:tblLook w:firstRow="1" w:lastRow="0" w:firstColumn="0" w:lastColumn="0" w:noHBand="0" w:noVBand="0" w:val="0020"/>
        <w:jc w:val="start"/>
      </w:tblPr>
      <w:tblGrid>
        <w:gridCol w:w="1200"/>
        <w:gridCol w:w="1200"/>
        <w:gridCol w:w="1200"/>
        <w:gridCol w:w="1200"/>
        <w:gridCol w:w="1200"/>
        <w:gridCol w:w="960"/>
        <w:gridCol w:w="960"/>
      </w:tblGrid>
      <w:tr>
        <w:trPr>
          <w:tblHeader w:val="true"/>
        </w:trP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Liczba manuskryptów</w:t>
            </w:r>
          </w:p>
        </w:tc>
        <w:tc>
          <w:tcPr/>
          <w:p>
            <w:pPr>
              <w:pStyle w:val="Compact"/>
              <w:jc w:val="left"/>
            </w:pPr>
            <w:r>
              <w:t xml:space="preserve">Uwagi</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23**</w:t>
            </w:r>
          </w:p>
        </w:tc>
        <w:tc>
          <w:tcPr/>
          <w:p>
            <w:pPr>
              <w:pStyle w:val="Compact"/>
              <w:jc w:val="left"/>
            </w:pPr>
            <w:r>
              <w:t xml:space="preserve">[+2]</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9*</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brak</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brak</w:t>
            </w:r>
          </w:p>
        </w:tc>
        <w:tc>
          <w:tcPr/>
          <w:p>
            <w:pPr>
              <w:pStyle w:val="Compact"/>
              <w:jc w:val="center"/>
            </w:pPr>
            <w:r>
              <w:t xml:space="preserve">4</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8*</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7*</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nieczyt.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nieczyt.</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6*</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7*</w:t>
            </w:r>
          </w:p>
        </w:tc>
        <w:tc>
          <w:tcPr/>
          <w:p>
            <w:pPr>
              <w:pStyle w:val="Compact"/>
              <w:jc w:val="left"/>
            </w:pPr>
            <w:r>
              <w:t xml:space="preserve">[+3]</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2</w:t>
            </w:r>
          </w:p>
        </w:tc>
        <w:tc>
          <w:tcPr/>
          <w:p>
            <w:pPr>
              <w:pStyle w:val="Compact"/>
              <w:jc w:val="left"/>
            </w:pPr>
            <w:r>
              <w:t xml:space="preserve">(egzemplarze prawdopodobnie nie miały żadnego)</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jc w:val="left"/>
            </w:pPr>
            <w:r>
              <w:t xml:space="preserve">(egzemplarz prawdopodobnie nie miał żadnego)</w:t>
            </w:r>
            <w:r>
              <w:rPr>
                <w:rStyle w:val="FootnoteReference"/>
              </w:rPr>
              <w:footnoteReference w:id="322"/>
            </w:r>
          </w:p>
        </w:tc>
      </w:tr>
    </w:tbl>
    <w:p>
      <w:pPr>
        <w:pStyle w:val="BodyText"/>
      </w:pPr>
      <w:r>
        <w:t xml:space="preserve">Odkładając na bok 14 niekompletnych manuskryptów, kolejnych 12 ma prywatny wzorzec (jak dotąd). Dwa wzorce wykazują po 2 manuskrypty, kolejne dwa po 3 manuskrypty, a jeden wykazuje 4 manuskrypty. Wszystkie te pominę. Zwracam uwagę na następujących siedem wzorców:</w:t>
      </w:r>
    </w:p>
    <w:p>
      <w:pPr>
        <w:numPr>
          <w:ilvl w:val="0"/>
          <w:numId w:val="1033"/>
        </w:numPr>
      </w:pPr>
      <w:r>
        <w:t xml:space="preserve">1, 2, 3, 4, 5 = 23 [+2] manuskrypty</w:t>
      </w:r>
    </w:p>
    <w:p>
      <w:pPr>
        <w:numPr>
          <w:ilvl w:val="0"/>
          <w:numId w:val="1033"/>
        </w:numPr>
      </w:pPr>
      <w:r>
        <w:t xml:space="preserve">—, —, —, 4, — = 14 manuskryptów</w:t>
      </w:r>
    </w:p>
    <w:p>
      <w:pPr>
        <w:numPr>
          <w:ilvl w:val="0"/>
          <w:numId w:val="1033"/>
        </w:numPr>
      </w:pPr>
      <w:r>
        <w:t xml:space="preserve">—, —, —, —, — = 7 [+3] manuskryptów</w:t>
      </w:r>
    </w:p>
    <w:p>
      <w:pPr>
        <w:numPr>
          <w:ilvl w:val="0"/>
          <w:numId w:val="1033"/>
        </w:numPr>
      </w:pPr>
      <w:r>
        <w:t xml:space="preserve">1, 2, 3, —, 5 = 9 manuskryptów</w:t>
      </w:r>
    </w:p>
    <w:p>
      <w:pPr>
        <w:numPr>
          <w:ilvl w:val="0"/>
          <w:numId w:val="1033"/>
        </w:numPr>
      </w:pPr>
      <w:r>
        <w:t xml:space="preserve">1, —, —, —, 5 = 8 manuskryptów</w:t>
      </w:r>
    </w:p>
    <w:p>
      <w:pPr>
        <w:numPr>
          <w:ilvl w:val="0"/>
          <w:numId w:val="1033"/>
        </w:numPr>
      </w:pPr>
      <w:r>
        <w:t xml:space="preserve">1, —, —, 4, — = 7 manuskryptów</w:t>
      </w:r>
    </w:p>
    <w:p>
      <w:pPr>
        <w:numPr>
          <w:ilvl w:val="0"/>
          <w:numId w:val="1033"/>
        </w:numPr>
      </w:pPr>
      <w:r>
        <w:t xml:space="preserve">—, —, 3, —, — = 6 manuskryptów</w:t>
      </w:r>
    </w:p>
    <w:p>
      <w:pPr>
        <w:pStyle w:val="FirstParagraph"/>
      </w:pPr>
      <w:r>
        <w:t xml:space="preserve">Uważam, że wzorzec 1) reprezentuje archetyp rodziny, jest zdecydowanie najsilniejszym wzorcem i z konieczności reprezentuje linię przekazu. Co jednak ze wzorcem 2), czy 14 kopistów przypadkiem dokonało niezależnie tego samego zestawu wyborów? Czy nie jest znacznie bardziej prawdopodobne, że reprezentują niezależną linię przekazu? W rzeczy samej, skolacjonowałem wiele dziesiątek manuskryptów</w:t>
      </w:r>
      <w:r>
        <w:t xml:space="preserve"> </w:t>
      </w:r>
      <w:r>
        <w:rPr>
          <w:bCs/>
          <w:b/>
        </w:rPr>
        <w:t xml:space="preserve">f</w:t>
      </w:r>
      <w:r>
        <w:rPr>
          <w:vertAlign w:val="superscript"/>
          <w:bCs/>
          <w:b/>
        </w:rPr>
        <w:t xml:space="preserve">35</w:t>
      </w:r>
      <w:r>
        <w:t xml:space="preserve"> </w:t>
      </w:r>
      <w:r>
        <w:t xml:space="preserve">i z nielicznymi wyjątkami kopiści byli wierni swojemu egzemplarzowi. Rozważmy na przykład następujące dowody dla sześciu spośród wyżej wymienionych wzorców:</w:t>
      </w:r>
    </w:p>
    <w:p>
      <w:pPr>
        <w:numPr>
          <w:ilvl w:val="0"/>
          <w:numId w:val="1034"/>
        </w:numPr>
      </w:pPr>
      <w:r>
        <w:t xml:space="preserve">Wzorzec 1) — GA 2554 (Bukareszt, 1434, eapr) jest precyzyjnie doskonałą kopią linii przekazu mającej wzorzec 1). Istnieje kilka innych, które są niemal doskonałe.</w:t>
      </w:r>
    </w:p>
    <w:p>
      <w:pPr>
        <w:numPr>
          <w:ilvl w:val="0"/>
          <w:numId w:val="1034"/>
        </w:numPr>
      </w:pPr>
      <w:r>
        <w:t xml:space="preserve">Wzorzec 2) — w GA 867 (Watykan, XIV, e) brakuje pierwszych pięciu rozdziałów Ewangelii Mateusza, lecz poza tym jest precyzyjnie doskonałą kopią linii przekazu mającej wzorzec 2). GA 128 (Watykan, XIII, e) jest prawie doskonały.</w:t>
      </w:r>
    </w:p>
    <w:p>
      <w:pPr>
        <w:numPr>
          <w:ilvl w:val="0"/>
          <w:numId w:val="1034"/>
        </w:numPr>
      </w:pPr>
      <w:r>
        <w:t xml:space="preserve">Wzorzec 3) — GA 1189 (Synaj, 1346, e) jest praktycznie doskonałą kopią linii przekazu mającej wzorzec 3). GA 928 (Dionysiu, 1304, eap), GA 1572 (Vatopediu, 1304, e) i GA 2466 (Patmos, 1329, eap) są wszystkie dobre.</w:t>
      </w:r>
    </w:p>
    <w:p>
      <w:pPr>
        <w:numPr>
          <w:ilvl w:val="0"/>
          <w:numId w:val="1034"/>
        </w:numPr>
      </w:pPr>
      <w:r>
        <w:t xml:space="preserve">Wzorzec 4) — GA 1072 (M. Lavras, XIII, eapr) jest niemal doskonałą kopią linii przekazu mającej wzorzec 4). GA 246 (Moskwa, XIV, e) jest prawie doskonały.</w:t>
      </w:r>
    </w:p>
    <w:p>
      <w:pPr>
        <w:numPr>
          <w:ilvl w:val="0"/>
          <w:numId w:val="1034"/>
        </w:numPr>
      </w:pPr>
      <w:r>
        <w:t xml:space="preserve">Wzorzec 5) — GA 18 (Konstantynopol, 1364, eapr) i GA 2503 (Synaj, XIV, e) są prawie doskonałymi kopiami linii przekazu mającej wzorzec 5).</w:t>
      </w:r>
    </w:p>
    <w:p>
      <w:pPr>
        <w:numPr>
          <w:ilvl w:val="0"/>
          <w:numId w:val="1034"/>
        </w:numPr>
      </w:pPr>
      <w:r>
        <w:t xml:space="preserve">Wzorzec 6) — GA 586 (Modena, XIV, e) jest doskonałą kopią linii przekazu mającej wzorzec 6). GA 2382 (Konstantynopol, XII, e) jest prawie doskonały, a GA 510 (Oksford-cc, XII, e) praktycznie taki jest.</w:t>
      </w:r>
    </w:p>
    <w:p>
      <w:pPr>
        <w:pStyle w:val="FirstParagraph"/>
      </w:pPr>
      <w:r>
        <w:t xml:space="preserve">Kopiści najwyraźniej wiernie odtwarzali swoje egzemplarze, które reprezentowały odrębne linie przekazu. Trzy wzorce mają jawne poświadczenie z XI wieku, kolejny ma jawne poświadczenie z XII wieku, a wszystkie mają rozproszone rozmieszczenie geograficzne. Stojące przed nami dowody po prostu wymagają wniosku, że archetyp Rodziny 35 musiał istnieć w okresie uncjalnym, i to prawdopodobnie dość daleko wstecz w tym okresie. W innym miejscu argumentowałem, że dostępne dowody wskazują, iż istniał już w III wieku, jeśli nie jeszcze wcześniej.</w:t>
      </w:r>
      <w:r>
        <w:t xml:space="preserve"> </w:t>
      </w:r>
      <w:r>
        <w:rPr>
          <w:bCs/>
          <w:b/>
        </w:rPr>
        <w:t xml:space="preserve">Należy odrzucić wszystkie z góry przyjęte poglądy dotyczące K</w:t>
      </w:r>
      <w:r>
        <w:rPr>
          <w:vertAlign w:val="superscript"/>
          <w:bCs/>
          <w:b/>
        </w:rPr>
        <w:t xml:space="preserve">r</w:t>
      </w:r>
      <w:r>
        <w:rPr>
          <w:bCs/>
          <w:b/>
        </w:rPr>
        <w:t xml:space="preserve"> </w:t>
      </w:r>
      <w:r>
        <w:rPr>
          <w:bCs/>
          <w:b/>
        </w:rPr>
        <w:t xml:space="preserve">von Sodena.</w:t>
      </w:r>
    </w:p>
    <w:p>
      <w:pPr>
        <w:pStyle w:val="BodyText"/>
      </w:pPr>
      <w:r>
        <w:t xml:space="preserve">Jeśli ktoś zada sobie trud policzenia manuskryptów za i przeciw, odkryje, że forma, którą wybrałem jako archetypalną, ma większość liczbową tylko w dwóch spośród pięciu przypadków. Licząc wyłącznie manuskrypty uwzględnione w siedmiu wiodących wzorcach, mój wybór ma przewagę w czterech spośród pięciu. Poza dominującą naturą wzorca 1) mój wybór w każdym przypadku podyktowany był jakością manuskryptu i rozmieszczeniem geograficznym. Jak jednak wskazano na początku, różnica znaczeniowa jest tak niewielka, że w każdym przypadku jedno tłumaczenie może obejmować oba odczyty.</w:t>
      </w:r>
      <w:r>
        <w:t xml:space="preserve"> </w:t>
      </w:r>
      <w:r>
        <w:rPr>
          <w:bCs/>
          <w:b/>
        </w:rPr>
        <w:t xml:space="preserve">Bóg zachował swój Tekst!</w:t>
      </w:r>
    </w:p>
    <w:bookmarkEnd w:id="323"/>
    <w:bookmarkStart w:id="340" w:name="Xde6e4061a08dc5aa27d42892f0f4e85991bac47"/>
    <w:p>
      <w:pPr>
        <w:pStyle w:val="Heading2"/>
      </w:pPr>
      <w:r>
        <w:t xml:space="preserve">Boskie zachowanie oryginalnych sformułowań Listów Ogólnych</w:t>
      </w:r>
    </w:p>
    <w:p>
      <w:pPr>
        <w:pStyle w:val="FirstParagraph"/>
      </w:pPr>
      <w:r>
        <w:t xml:space="preserve">Jako punkt wyjścia dla tego omówienia posłużę się definicją „zachowania” napisaną przez Barta D. Ehrmana:</w:t>
      </w:r>
    </w:p>
    <w:p>
      <w:pPr>
        <w:pStyle w:val="BlockText"/>
      </w:pPr>
      <w:r>
        <w:t xml:space="preserve">Każde twierdzenie, że Bóg zachował tekst Nowego Testamentu w stanie nienaruszonym, dając swojemu Kościołowi rzeczywiste, nie zaś teoretyczne posiadanie go,</w:t>
      </w:r>
      <w:r>
        <w:t xml:space="preserve"> </w:t>
      </w:r>
      <w:r>
        <w:rPr>
          <w:u w:val="single"/>
        </w:rPr>
        <w:t xml:space="preserve">musi (wyróżnienie dodane) oznaczać jedną z trzech rzeczy — albo 1) Bóg</w:t>
      </w:r>
      <w:r>
        <w:t xml:space="preserve"> </w:t>
      </w:r>
      <w:r>
        <w:t xml:space="preserve">zachował go we wszystkich zachowanych manuskryptach, tak że żaden z nich nie zawiera żadnych skażeń tekstu, albo 2) zachował go w grupie manuskryptów, z których żaden nie zawiera żadnych skażeń, albo 3) zachował go w jednym manuskrypcie, który jako jedyny nie zawiera żadnych skażeń.</w:t>
      </w:r>
      <w:r>
        <w:rPr>
          <w:rStyle w:val="FootnoteReference"/>
        </w:rPr>
        <w:footnoteReference w:id="324"/>
      </w:r>
    </w:p>
    <w:p>
      <w:pPr>
        <w:pStyle w:val="FirstParagraph"/>
      </w:pPr>
      <w:r>
        <w:t xml:space="preserve">Ogranicza on pojęcie zachowania w sposób graniczący ze stworzeniem chochoła, lecz jego definicja bardzo dobrze służy mojemu obecnemu celowi. Oczywiste jest, że możliwość 1) nie może się ostać, lecz co z 2) i 3)? Jak wskazuje tytuł, niniejsza część ogranicza się do Listów Ogólnych, ta grupa siedmiu ksiąg jest jedną z części, na które skrybowie dzielili Nowy Testament w celu sporządzania kopii.</w:t>
      </w:r>
      <w:r>
        <w:rPr>
          <w:rStyle w:val="FootnoteReference"/>
        </w:rPr>
        <w:footnoteReference w:id="325"/>
      </w:r>
      <w:r>
        <w:t xml:space="preserve"> </w:t>
      </w:r>
      <w:r>
        <w:t xml:space="preserve">Ponieważ spośród trzech możliwości Ehrmana trzecia wydaje się najłatwiejsza do spełnienia, jeśli możemy ją spełnić, od niej zacznę.</w:t>
      </w:r>
      <w:r>
        <w:rPr>
          <w:rStyle w:val="FootnoteReference"/>
        </w:rPr>
        <w:footnoteReference w:id="326"/>
      </w:r>
    </w:p>
    <w:p>
      <w:pPr>
        <w:pStyle w:val="BodyText"/>
      </w:pPr>
      <w:r>
        <w:t xml:space="preserve">Najpierw musimy określić zakres — czy szukamy manuskryptu doskonałego dla całej księgi,</w:t>
      </w:r>
      <w:r>
        <w:rPr>
          <w:rStyle w:val="FootnoteReference"/>
        </w:rPr>
        <w:footnoteReference w:id="327"/>
      </w:r>
      <w:r>
        <w:t xml:space="preserve"> </w:t>
      </w:r>
      <w:r>
        <w:t xml:space="preserve">całej części czy całego Nowego Testamentu? Sądzę, że jest dość jasne, iż poprawną odpowiedzią jest cała księga, w końcu właśnie tak napisano Nowy Testament, wynika z tego, że pierwsze kopie sporządzano księga po księdze (a wszystkie późniejsze kopie są od nich zależne). O ile mi wiadomo, nikt nie przypisuje Boskiego natchnienia podziałowi na części — na przestrzeni stuleci kopiowania stało się to przyjętą odpowiedzią na ograniczenia materiału i czasu. Ponieważ jednak większość zachowanych kopii odzwierciedla ten podział, interesujące będzie sprawdzenie, czy możemy znaleźć manuskrypt doskonały dla całej części. Formalne uznanie pełnego kanonu Nowego Testamentu nastąpiło dopiero pod koniec IV wieku, choć nieformalnie był on znany w II wieku (a do tego czasu istniało wiele setek, jeśli nie tysięcy kopii — w rzeczywistości główne linie przekazu ustaliły się już dawno), lecz pytanie dotyczyło dokładnego wykazu ksiąg, które należy uwzględnić, nie zaś precyzyjnych sformułowań poszczególnych ksiąg. Chociaż wielu z nas wierzy, że Bóg z pewnością nadzorował ten wybór ksiąg, sformułowania nie były przedmiotem sporu. Szukamy zatem manuskryptów doskonałych dla całej księgi.</w:t>
      </w:r>
    </w:p>
    <w:p>
      <w:pPr>
        <w:pStyle w:val="BodyText"/>
      </w:pPr>
      <w:r>
        <w:t xml:space="preserve">Następnie musimy zdefiniować tekst — jakiego dokładnie profilu szukamy, skąd możemy wiedzieć, czy manuskrypt jest „doskonały”? Pytanie to sprowadza nas wprost do gniazda węży krytyki tekstu Nowego Testamentu (a większość węży jest jadowita). To, co sądzę na ten temat, zaczęło ukazywać się drukiem w 1977 roku</w:t>
      </w:r>
      <w:r>
        <w:rPr>
          <w:rStyle w:val="FootnoteReference"/>
        </w:rPr>
        <w:footnoteReference w:id="328"/>
      </w:r>
      <w:r>
        <w:t xml:space="preserve"> </w:t>
      </w:r>
      <w:r>
        <w:t xml:space="preserve">i nie będę tutaj powtarzał tego, co jest dostępne gdzie indziej. Dokonując taktycznego odwrotu, wycofam się do łatwiejszego pytania (lecz wrócę do głównego): skąd możemy wiedzieć, czy manuskrypt jest doskonałym przedstawicielem swojego typu tekstu, to znaczy archetypu swojej rodziny? Aby zyskać na czasie, zilustruję teorię konkretnym przykładem. Zwracam uwagę na poniższą tabelę:</w:t>
      </w:r>
    </w:p>
    <w:bookmarkStart w:id="333" w:name="X1d3a324f5a8db0ec6a014c62025bac490a89b77"/>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poszczególnych księgach Listów Ogólnych</w:t>
      </w:r>
      <w:r>
        <w:rPr>
          <w:rStyle w:val="FootnoteReference"/>
        </w:rPr>
        <w:footnoteReference w:id="329"/>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w:t>
            </w:r>
          </w:p>
        </w:tc>
      </w:tr>
      <w:tr>
        <w:tc>
          <w:tcPr/>
          <w:p>
            <w:pPr>
              <w:pStyle w:val="Compact"/>
              <w:jc w:val="center"/>
            </w:pPr>
            <w:r>
              <w:t xml:space="preserve">/</w:t>
            </w:r>
          </w:p>
        </w:tc>
        <w:tc>
          <w:tcPr/>
          <w:p>
            <w:pPr>
              <w:pStyle w:val="Compact"/>
              <w:jc w:val="left"/>
            </w:pPr>
            <w:r>
              <w:t xml:space="preserve">rodzina jest podzielona (grupa odłamowa)</w:t>
            </w:r>
          </w:p>
        </w:tc>
      </w:tr>
      <w:tr>
        <w:tc>
          <w:tcPr/>
          <w:p>
            <w:pPr>
              <w:pStyle w:val="Compact"/>
              <w:jc w:val="center"/>
            </w:pPr>
            <w:r>
              <w:t xml:space="preserve">h</w:t>
            </w:r>
          </w:p>
        </w:tc>
        <w:tc>
          <w:tcPr/>
          <w:p>
            <w:pPr>
              <w:pStyle w:val="Compact"/>
              <w:jc w:val="left"/>
            </w:pPr>
            <w:r>
              <w:t xml:space="preserve">oczywisty przypadek homoioteleutonu (lub homoioarktonu), obejmujący wiersz lub więcej</w:t>
            </w:r>
          </w:p>
        </w:tc>
      </w:tr>
      <w:tr>
        <w:tc>
          <w:tcPr/>
          <w:p>
            <w:pPr>
              <w:pStyle w:val="Compact"/>
              <w:jc w:val="center"/>
            </w:pPr>
            <w:r>
              <w:t xml:space="preserve">i</w:t>
            </w:r>
          </w:p>
        </w:tc>
        <w:tc>
          <w:tcPr/>
          <w:p>
            <w:pPr>
              <w:pStyle w:val="Compact"/>
              <w:jc w:val="left"/>
            </w:pPr>
            <w:r>
              <w:t xml:space="preserve">zwykła nieuwaga (zazwyczaj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tbl>
      <w:tblPr>
        <w:tblStyle w:val="Table"/>
        <w:tblW w:type="pct" w:w="5000"/>
        <w:tblLook w:firstRow="1" w:lastRow="0" w:firstColumn="0" w:lastColumn="0" w:noHBand="0" w:noVBand="0" w:val="0020"/>
        <w:jc w:val="start"/>
      </w:tblPr>
      <w:tblGrid>
        <w:gridCol w:w="597"/>
        <w:gridCol w:w="747"/>
        <w:gridCol w:w="747"/>
        <w:gridCol w:w="747"/>
        <w:gridCol w:w="747"/>
        <w:gridCol w:w="747"/>
        <w:gridCol w:w="747"/>
        <w:gridCol w:w="747"/>
        <w:gridCol w:w="747"/>
        <w:gridCol w:w="597"/>
        <w:gridCol w:w="747"/>
      </w:tblGrid>
      <w:tr>
        <w:trPr>
          <w:tblHeader w:val="true"/>
        </w:trPr>
        <w:tc>
          <w:tcPr/>
          <w:p>
            <w:pPr>
              <w:pStyle w:val="Compact"/>
              <w:jc w:val="right"/>
            </w:pPr>
            <w:r>
              <w:rPr>
                <w:bCs/>
                <w:b/>
              </w:rPr>
              <w:t xml:space="preserve">Manuskrypt</w:t>
            </w:r>
          </w:p>
        </w:tc>
        <w:tc>
          <w:tcPr/>
          <w:p>
            <w:pPr>
              <w:pStyle w:val="Compact"/>
              <w:jc w:val="center"/>
            </w:pPr>
            <w:r>
              <w:t xml:space="preserve">List Jakuba</w:t>
            </w:r>
          </w:p>
        </w:tc>
        <w:tc>
          <w:tcPr/>
          <w:p>
            <w:pPr>
              <w:pStyle w:val="Compact"/>
              <w:jc w:val="center"/>
            </w:pPr>
            <w:r>
              <w:t xml:space="preserve">1 List Piotra</w:t>
            </w:r>
          </w:p>
        </w:tc>
        <w:tc>
          <w:tcPr/>
          <w:p>
            <w:pPr>
              <w:pStyle w:val="Compact"/>
              <w:jc w:val="center"/>
            </w:pPr>
            <w:r>
              <w:t xml:space="preserve">2 List Piotra</w:t>
            </w:r>
          </w:p>
        </w:tc>
        <w:tc>
          <w:tcPr/>
          <w:p>
            <w:pPr>
              <w:pStyle w:val="Compact"/>
              <w:jc w:val="center"/>
            </w:pPr>
            <w:r>
              <w:t xml:space="preserve">1 List Jana</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center"/>
            </w:pPr>
            <w:r>
              <w:t xml:space="preserve">Data</w:t>
            </w:r>
          </w:p>
        </w:tc>
        <w:tc>
          <w:tcPr/>
          <w:p>
            <w:pPr>
              <w:pStyle w:val="Compact"/>
              <w:jc w:val="left"/>
            </w:pPr>
            <w:r>
              <w:t xml:space="preserve">Miejsce</w:t>
            </w:r>
          </w:p>
        </w:tc>
        <w:tc>
          <w:tcPr/>
          <w:p>
            <w:pPr>
              <w:pStyle w:val="Compact"/>
              <w:jc w:val="center"/>
            </w:pPr>
            <w:r>
              <w:t xml:space="preserve">Egzemplarz korpusu</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1x, 2/</w:t>
            </w:r>
          </w:p>
        </w:tc>
        <w:tc>
          <w:tcPr/>
          <w:p>
            <w:pPr>
              <w:pStyle w:val="Compact"/>
              <w:jc w:val="center"/>
            </w:pPr>
            <w:r>
              <w:t xml:space="preserve">1s</w:t>
            </w:r>
          </w:p>
        </w:tc>
        <w:tc>
          <w:tcPr/>
          <w:p>
            <w:pPr>
              <w:pStyle w:val="Compact"/>
              <w:jc w:val="center"/>
            </w:pPr>
            <w:r>
              <w:t xml:space="preserve">1x, 2/</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2x, 4/</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1/, 2s</w:t>
            </w:r>
          </w:p>
        </w:tc>
        <w:tc>
          <w:tcPr/>
          <w:p>
            <w:pPr>
              <w:pStyle w:val="Compact"/>
              <w:jc w:val="center"/>
            </w:pPr>
            <w:r>
              <w:t xml:space="preserve">1x, 4/, 2s</w:t>
            </w:r>
          </w:p>
        </w:tc>
        <w:tc>
          <w:tcPr/>
          <w:p>
            <w:pPr>
              <w:pStyle w:val="Compact"/>
              <w:jc w:val="center"/>
            </w:pPr>
            <w:r>
              <w:t xml:space="preserve">1c, 1s</w:t>
            </w:r>
          </w:p>
        </w:tc>
        <w:tc>
          <w:tcPr/>
          <w:p>
            <w:pPr>
              <w:pStyle w:val="Compact"/>
              <w:jc w:val="center"/>
            </w:pPr>
            <w:r>
              <w:t xml:space="preserve">1/, 3s, 2h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1x, 6/</w:t>
            </w:r>
          </w:p>
        </w:tc>
      </w:tr>
      <w:tr>
        <w:tc>
          <w:tcPr/>
          <w:p>
            <w:pPr>
              <w:pStyle w:val="Compact"/>
              <w:jc w:val="right"/>
            </w:pPr>
            <w:r>
              <w:t xml:space="preserve">149</w:t>
            </w:r>
          </w:p>
        </w:tc>
        <w:tc>
          <w:tcPr/>
          <w:p>
            <w:pPr>
              <w:pStyle w:val="Compact"/>
              <w:jc w:val="center"/>
            </w:pPr>
            <w:r>
              <w:t xml:space="preserve">1x, 5/, 1c, 7s</w:t>
            </w:r>
          </w:p>
        </w:tc>
        <w:tc>
          <w:tcPr/>
          <w:p>
            <w:pPr>
              <w:pStyle w:val="Compact"/>
              <w:jc w:val="center"/>
            </w:pPr>
            <w:r>
              <w:t xml:space="preserve">1x, 8/, 3s</w:t>
            </w:r>
          </w:p>
        </w:tc>
        <w:tc>
          <w:tcPr/>
          <w:p>
            <w:pPr>
              <w:pStyle w:val="Compact"/>
              <w:jc w:val="center"/>
            </w:pPr>
            <w:r>
              <w:t xml:space="preserve">5/, 2s</w:t>
            </w:r>
          </w:p>
        </w:tc>
        <w:tc>
          <w:tcPr/>
          <w:p>
            <w:pPr>
              <w:pStyle w:val="Compact"/>
              <w:jc w:val="center"/>
            </w:pPr>
            <w:r>
              <w:t xml:space="preserve">4/, 1c, 3s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24/</w:t>
            </w:r>
          </w:p>
        </w:tc>
      </w:tr>
      <w:tr>
        <w:tc>
          <w:tcPr/>
          <w:p>
            <w:pPr>
              <w:pStyle w:val="Compact"/>
              <w:jc w:val="right"/>
            </w:pPr>
            <w:r>
              <w:t xml:space="preserve">201</w:t>
            </w:r>
          </w:p>
        </w:tc>
        <w:tc>
          <w:tcPr/>
          <w:p>
            <w:pPr>
              <w:pStyle w:val="Compact"/>
              <w:jc w:val="center"/>
            </w:pPr>
            <w:r>
              <w:t xml:space="preserve">5/, 1s</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1357</w:t>
            </w:r>
          </w:p>
        </w:tc>
        <w:tc>
          <w:tcPr/>
          <w:p>
            <w:pPr>
              <w:pStyle w:val="Compact"/>
              <w:jc w:val="left"/>
            </w:pPr>
            <w:r>
              <w:t xml:space="preserve">Londyn</w:t>
            </w:r>
          </w:p>
        </w:tc>
        <w:tc>
          <w:tcPr/>
          <w:p>
            <w:pPr>
              <w:pStyle w:val="Compact"/>
              <w:jc w:val="center"/>
            </w:pPr>
            <w:r>
              <w:t xml:space="preserve">19/</w:t>
            </w:r>
          </w:p>
        </w:tc>
      </w:tr>
      <w:tr>
        <w:tc>
          <w:tcPr/>
          <w:p>
            <w:pPr>
              <w:pStyle w:val="Compact"/>
              <w:jc w:val="right"/>
            </w:pPr>
            <w:r>
              <w:t xml:space="preserve">204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2/,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1x, 3/</w:t>
            </w:r>
          </w:p>
        </w:tc>
      </w:tr>
      <w:tr>
        <w:tc>
          <w:tcPr/>
          <w:p>
            <w:pPr>
              <w:pStyle w:val="Compact"/>
              <w:jc w:val="right"/>
            </w:pPr>
            <w:r>
              <w:t xml:space="preserve">328</w:t>
            </w:r>
          </w:p>
        </w:tc>
        <w:tc>
          <w:tcPr/>
          <w:p>
            <w:pPr>
              <w:pStyle w:val="Compact"/>
              <w:jc w:val="center"/>
            </w:pPr>
            <w:r>
              <w:t xml:space="preserve">1x, 5/, 2s</w:t>
            </w:r>
          </w:p>
        </w:tc>
        <w:tc>
          <w:tcPr/>
          <w:p>
            <w:pPr>
              <w:pStyle w:val="Compact"/>
              <w:jc w:val="center"/>
            </w:pPr>
            <w:r>
              <w:t xml:space="preserve">5/, 4s</w:t>
            </w:r>
          </w:p>
        </w:tc>
        <w:tc>
          <w:tcPr/>
          <w:p>
            <w:pPr>
              <w:pStyle w:val="Compact"/>
              <w:jc w:val="center"/>
            </w:pPr>
            <w:r>
              <w:t xml:space="preserve">1x, 2/, 1s</w:t>
            </w:r>
          </w:p>
        </w:tc>
        <w:tc>
          <w:tcPr/>
          <w:p>
            <w:pPr>
              <w:pStyle w:val="Compact"/>
              <w:jc w:val="center"/>
            </w:pPr>
            <w:r>
              <w:t xml:space="preserve">2x, 4/, 1c,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center"/>
            </w:pPr>
            <w:r>
              <w:t xml:space="preserve">XIII</w:t>
            </w:r>
          </w:p>
        </w:tc>
        <w:tc>
          <w:tcPr/>
          <w:p>
            <w:pPr>
              <w:pStyle w:val="Compact"/>
              <w:jc w:val="left"/>
            </w:pPr>
            <w:r>
              <w:t xml:space="preserve">Lejda</w:t>
            </w:r>
          </w:p>
        </w:tc>
        <w:tc>
          <w:tcPr/>
          <w:p>
            <w:pPr>
              <w:pStyle w:val="Compact"/>
              <w:jc w:val="center"/>
            </w:pPr>
            <w:r>
              <w:t xml:space="preserve">5x, 16/</w:t>
            </w:r>
          </w:p>
        </w:tc>
      </w:tr>
      <w:tr>
        <w:tc>
          <w:tcPr/>
          <w:p>
            <w:pPr>
              <w:pStyle w:val="Compact"/>
              <w:jc w:val="right"/>
            </w:pPr>
            <w:r>
              <w:t xml:space="preserve">386</w:t>
            </w:r>
          </w:p>
        </w:tc>
        <w:tc>
          <w:tcPr/>
          <w:p>
            <w:pPr>
              <w:pStyle w:val="Compact"/>
              <w:jc w:val="center"/>
            </w:pPr>
            <w:r>
              <w:t xml:space="preserve">2/</w:t>
            </w:r>
          </w:p>
        </w:tc>
        <w:tc>
          <w:tcPr/>
          <w:p>
            <w:pPr>
              <w:pStyle w:val="Compact"/>
              <w:jc w:val="center"/>
            </w:pPr>
            <w:r>
              <w:t xml:space="preserve">1/, 1s</w:t>
            </w:r>
          </w:p>
        </w:tc>
        <w:tc>
          <w:tcPr/>
          <w:p>
            <w:pPr>
              <w:pStyle w:val="Compact"/>
              <w:jc w:val="center"/>
            </w:pPr>
            <w:r>
              <w:t xml:space="preserve">1/, 2s</w:t>
            </w:r>
          </w:p>
        </w:tc>
        <w:tc>
          <w:tcPr/>
          <w:p>
            <w:pPr>
              <w:pStyle w:val="Compact"/>
              <w:jc w:val="center"/>
            </w:pPr>
            <w:r>
              <w:t xml:space="preserve">3/, 3s, 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7/</w:t>
            </w:r>
          </w:p>
        </w:tc>
      </w:tr>
      <w:tr>
        <w:tc>
          <w:tcPr/>
          <w:p>
            <w:pPr>
              <w:pStyle w:val="Compact"/>
              <w:jc w:val="right"/>
            </w:pPr>
            <w:r>
              <w:t xml:space="preserve">394</w:t>
            </w:r>
          </w:p>
        </w:tc>
        <w:tc>
          <w:tcPr/>
          <w:p>
            <w:pPr>
              <w:pStyle w:val="Compact"/>
              <w:jc w:val="center"/>
            </w:pPr>
            <w:r>
              <w:t xml:space="preserve">2/</w:t>
            </w:r>
          </w:p>
        </w:tc>
        <w:tc>
          <w:tcPr/>
          <w:p>
            <w:pPr>
              <w:pStyle w:val="Compact"/>
              <w:jc w:val="center"/>
            </w:pPr>
            <w:r>
              <w:t xml:space="preserve">4/, 1c, 1i</w:t>
            </w:r>
          </w:p>
        </w:tc>
        <w:tc>
          <w:tcPr/>
          <w:p>
            <w:pPr>
              <w:pStyle w:val="Compact"/>
              <w:jc w:val="center"/>
            </w:pPr>
            <w:r>
              <w:t xml:space="preserve">4/</w:t>
            </w:r>
          </w:p>
        </w:tc>
        <w:tc>
          <w:tcPr/>
          <w:p>
            <w:pPr>
              <w:pStyle w:val="Compact"/>
              <w:jc w:val="center"/>
            </w:pPr>
            <w:r>
              <w:t xml:space="preserve">4/, 1s</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14/</w:t>
            </w:r>
          </w:p>
        </w:tc>
      </w:tr>
      <w:tr>
        <w:tc>
          <w:tcPr/>
          <w:p>
            <w:pPr>
              <w:pStyle w:val="Compact"/>
              <w:jc w:val="right"/>
            </w:pPr>
            <w:r>
              <w:t xml:space="preserve">432</w:t>
            </w:r>
          </w:p>
        </w:tc>
        <w:tc>
          <w:tcPr/>
          <w:p>
            <w:pPr>
              <w:pStyle w:val="Compact"/>
              <w:jc w:val="center"/>
            </w:pPr>
            <w:r>
              <w:t xml:space="preserve">5/, 3s, 1h</w:t>
            </w:r>
          </w:p>
        </w:tc>
        <w:tc>
          <w:tcPr/>
          <w:p>
            <w:pPr>
              <w:pStyle w:val="Compact"/>
              <w:jc w:val="center"/>
            </w:pPr>
            <w:r>
              <w:t xml:space="preserve">10/, 6s</w:t>
            </w:r>
          </w:p>
        </w:tc>
        <w:tc>
          <w:tcPr/>
          <w:p>
            <w:pPr>
              <w:pStyle w:val="Compact"/>
              <w:jc w:val="center"/>
            </w:pPr>
            <w:r>
              <w:t xml:space="preserve">1x, 2/, 1c, 1s</w:t>
            </w:r>
          </w:p>
        </w:tc>
        <w:tc>
          <w:tcPr/>
          <w:p>
            <w:pPr>
              <w:pStyle w:val="Compact"/>
              <w:jc w:val="center"/>
            </w:pPr>
            <w:r>
              <w:t xml:space="preserve">1x, 5/, 1c, 1s, 1h</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23/</w:t>
            </w:r>
          </w:p>
        </w:tc>
      </w:tr>
      <w:tr>
        <w:tc>
          <w:tcPr/>
          <w:p>
            <w:pPr>
              <w:pStyle w:val="Compact"/>
              <w:jc w:val="right"/>
            </w:pPr>
            <w:r>
              <w:t xml:space="preserve">604</w:t>
            </w:r>
          </w:p>
        </w:tc>
        <w:tc>
          <w:tcPr/>
          <w:p>
            <w:pPr>
              <w:pStyle w:val="Compact"/>
              <w:jc w:val="center"/>
            </w:pPr>
            <w:r>
              <w:t xml:space="preserve">6/, 1s</w:t>
            </w:r>
          </w:p>
        </w:tc>
        <w:tc>
          <w:tcPr/>
          <w:p>
            <w:pPr>
              <w:pStyle w:val="Compact"/>
              <w:jc w:val="center"/>
            </w:pPr>
            <w:r>
              <w:t xml:space="preserve">1x, 11/, 1s</w:t>
            </w:r>
          </w:p>
        </w:tc>
        <w:tc>
          <w:tcPr/>
          <w:p>
            <w:pPr>
              <w:pStyle w:val="Compact"/>
              <w:jc w:val="center"/>
            </w:pPr>
            <w:r>
              <w:t xml:space="preserve">4/, 1c, 1s</w:t>
            </w:r>
          </w:p>
        </w:tc>
        <w:tc>
          <w:tcPr/>
          <w:p>
            <w:pPr>
              <w:pStyle w:val="Compact"/>
              <w:jc w:val="center"/>
            </w:pPr>
            <w:r>
              <w:t xml:space="preserve">7/, 1s</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Paryż</w:t>
            </w:r>
          </w:p>
        </w:tc>
        <w:tc>
          <w:tcPr/>
          <w:p>
            <w:pPr>
              <w:pStyle w:val="Compact"/>
              <w:jc w:val="center"/>
            </w:pPr>
            <w:r>
              <w:t xml:space="preserve">2x, 29/</w:t>
            </w:r>
          </w:p>
        </w:tc>
      </w:tr>
      <w:tr>
        <w:tc>
          <w:tcPr/>
          <w:p>
            <w:pPr>
              <w:pStyle w:val="Compact"/>
              <w:jc w:val="right"/>
            </w:pPr>
            <w:r>
              <w:t xml:space="preserve">664</w:t>
            </w:r>
            <w:r>
              <w:rPr>
                <w:rStyle w:val="FootnoteReference"/>
              </w:rPr>
              <w:footnoteReference w:id="330"/>
            </w:r>
          </w:p>
        </w:tc>
        <w:tc>
          <w:tcPr/>
          <w:p>
            <w:pPr>
              <w:pStyle w:val="Compact"/>
              <w:jc w:val="center"/>
            </w:pPr>
            <w:r>
              <w:t xml:space="preserve">4x, 5/, 21s</w:t>
            </w:r>
          </w:p>
        </w:tc>
        <w:tc>
          <w:tcPr/>
          <w:p>
            <w:pPr>
              <w:pStyle w:val="Compact"/>
              <w:jc w:val="center"/>
            </w:pPr>
            <w:r>
              <w:t xml:space="preserve">5x, 9/, 1c, 25s</w:t>
            </w:r>
          </w:p>
        </w:tc>
        <w:tc>
          <w:tcPr/>
          <w:p>
            <w:pPr>
              <w:pStyle w:val="Compact"/>
              <w:jc w:val="center"/>
            </w:pPr>
            <w:r>
              <w:t xml:space="preserve">4/, 1c, 14s</w:t>
            </w:r>
          </w:p>
        </w:tc>
        <w:tc>
          <w:tcPr/>
          <w:p>
            <w:pPr>
              <w:pStyle w:val="Compact"/>
              <w:jc w:val="center"/>
            </w:pPr>
            <w:r>
              <w:t xml:space="preserve">6x, 6/, 14s, 1h</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Żytawa</w:t>
            </w:r>
          </w:p>
        </w:tc>
        <w:tc>
          <w:tcPr/>
          <w:p>
            <w:pPr>
              <w:pStyle w:val="Compact"/>
              <w:jc w:val="center"/>
            </w:pPr>
            <w:r>
              <w:t xml:space="preserve">16x, 24</w:t>
            </w:r>
          </w:p>
        </w:tc>
      </w:tr>
      <w:tr>
        <w:tc>
          <w:tcPr/>
          <w:p>
            <w:pPr>
              <w:pStyle w:val="Compact"/>
              <w:jc w:val="right"/>
            </w:pPr>
            <w:r>
              <w:t xml:space="preserve">757</w:t>
            </w:r>
          </w:p>
        </w:tc>
        <w:tc>
          <w:tcPr/>
          <w:p>
            <w:pPr>
              <w:pStyle w:val="Compact"/>
              <w:jc w:val="center"/>
            </w:pPr>
            <w:r>
              <w:t xml:space="preserve">1x</w:t>
            </w:r>
          </w:p>
        </w:tc>
        <w:tc>
          <w:tcPr/>
          <w:p>
            <w:pPr>
              <w:pStyle w:val="Compact"/>
              <w:jc w:val="center"/>
            </w:pPr>
            <w:r>
              <w:t xml:space="preserve">3/, 1c, 1s</w:t>
            </w:r>
          </w:p>
        </w:tc>
        <w:tc>
          <w:tcPr/>
          <w:p>
            <w:pPr>
              <w:pStyle w:val="Compact"/>
              <w:jc w:val="center"/>
            </w:pPr>
            <w:r>
              <w:t xml:space="preserve">1x, 1s</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2x, 4/</w:t>
            </w:r>
          </w:p>
        </w:tc>
      </w:tr>
      <w:tr>
        <w:tc>
          <w:tcPr/>
          <w:p>
            <w:pPr>
              <w:pStyle w:val="Compact"/>
              <w:jc w:val="right"/>
            </w:pPr>
            <w:r>
              <w:t xml:space="preserve">824</w:t>
            </w:r>
          </w:p>
        </w:tc>
        <w:tc>
          <w:tcPr/>
          <w:p>
            <w:pPr>
              <w:pStyle w:val="Compact"/>
              <w:jc w:val="center"/>
            </w:pPr>
            <w:r>
              <w:t xml:space="preserve">1x, 2s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1x</w:t>
            </w:r>
          </w:p>
        </w:tc>
      </w:tr>
      <w:tr>
        <w:tc>
          <w:tcPr/>
          <w:p>
            <w:pPr>
              <w:pStyle w:val="Compact"/>
              <w:jc w:val="right"/>
            </w:pPr>
            <w:r>
              <w:t xml:space="preserve">928</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9/</w:t>
            </w:r>
          </w:p>
        </w:tc>
      </w:tr>
      <w:tr>
        <w:tc>
          <w:tcPr/>
          <w:p>
            <w:pPr>
              <w:pStyle w:val="Compact"/>
              <w:jc w:val="right"/>
            </w:pPr>
            <w:r>
              <w:t xml:space="preserve">986</w:t>
            </w:r>
            <w:r>
              <w:rPr>
                <w:rStyle w:val="FootnoteReference"/>
              </w:rPr>
              <w:footnoteReference w:id="331"/>
            </w:r>
          </w:p>
        </w:tc>
        <w:tc>
          <w:tcPr/>
          <w:p>
            <w:pPr>
              <w:pStyle w:val="Compact"/>
              <w:jc w:val="center"/>
            </w:pPr>
            <w:r>
              <w:t xml:space="preserve">4/, 2s, 1i</w:t>
            </w:r>
          </w:p>
        </w:tc>
        <w:tc>
          <w:tcPr/>
          <w:p>
            <w:pPr>
              <w:pStyle w:val="Compact"/>
              <w:jc w:val="center"/>
            </w:pPr>
            <w:r>
              <w:t xml:space="preserve">6/, 4s</w:t>
            </w:r>
          </w:p>
        </w:tc>
        <w:tc>
          <w:tcPr/>
          <w:p>
            <w:pPr>
              <w:pStyle w:val="Compact"/>
              <w:jc w:val="center"/>
            </w:pPr>
            <w:r>
              <w:t xml:space="preserve">1/, 1s</w:t>
            </w:r>
          </w:p>
        </w:tc>
        <w:tc>
          <w:tcPr/>
          <w:p>
            <w:pPr>
              <w:pStyle w:val="Compact"/>
              <w:jc w:val="center"/>
            </w:pPr>
            <w:r>
              <w:t xml:space="preserve">3/, 3s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14/</w:t>
            </w:r>
          </w:p>
        </w:tc>
      </w:tr>
      <w:tr>
        <w:tc>
          <w:tcPr/>
          <w:p>
            <w:pPr>
              <w:pStyle w:val="Compact"/>
              <w:jc w:val="right"/>
            </w:pPr>
            <w:r>
              <w:t xml:space="preserve">1072</w:t>
            </w:r>
          </w:p>
        </w:tc>
        <w:tc>
          <w:tcPr/>
          <w:p>
            <w:pPr>
              <w:pStyle w:val="Compact"/>
              <w:jc w:val="center"/>
            </w:pPr>
            <w:r>
              <w:t xml:space="preserve">2/, 1h, 1i</w:t>
            </w:r>
          </w:p>
        </w:tc>
        <w:tc>
          <w:tcPr/>
          <w:p>
            <w:pPr>
              <w:pStyle w:val="Compact"/>
              <w:jc w:val="center"/>
            </w:pPr>
            <w:r>
              <w:t xml:space="preserve">3/, 2c, 1s</w:t>
            </w:r>
          </w:p>
        </w:tc>
        <w:tc>
          <w:tcPr/>
          <w:p>
            <w:pPr>
              <w:pStyle w:val="Compact"/>
              <w:jc w:val="center"/>
            </w:pPr>
            <w:r>
              <w:t xml:space="preserve">1s</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1075</w:t>
            </w:r>
          </w:p>
        </w:tc>
        <w:tc>
          <w:tcPr/>
          <w:p>
            <w:pPr>
              <w:pStyle w:val="Compact"/>
              <w:jc w:val="center"/>
            </w:pPr>
            <w:r>
              <w:t xml:space="preserve">1/, 1s</w:t>
            </w:r>
          </w:p>
        </w:tc>
        <w:tc>
          <w:tcPr/>
          <w:p>
            <w:pPr>
              <w:pStyle w:val="Compact"/>
              <w:jc w:val="center"/>
            </w:pPr>
            <w:r>
              <w:t xml:space="preserve">7/, 2s</w:t>
            </w:r>
          </w:p>
        </w:tc>
        <w:tc>
          <w:tcPr/>
          <w:p>
            <w:pPr>
              <w:pStyle w:val="Compact"/>
              <w:jc w:val="center"/>
            </w:pPr>
            <w:r>
              <w:t xml:space="preserve">1s</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9/</w:t>
            </w:r>
          </w:p>
        </w:tc>
      </w:tr>
      <w:tr>
        <w:tc>
          <w:tcPr/>
          <w:p>
            <w:pPr>
              <w:pStyle w:val="Compact"/>
              <w:jc w:val="right"/>
            </w:pPr>
            <w:r>
              <w:t xml:space="preserve">1100</w:t>
            </w:r>
          </w:p>
        </w:tc>
        <w:tc>
          <w:tcPr/>
          <w:p>
            <w:pPr>
              <w:pStyle w:val="Compact"/>
              <w:jc w:val="center"/>
            </w:pPr>
            <w:r>
              <w:t xml:space="preserve">2x, 1s</w:t>
            </w:r>
          </w:p>
        </w:tc>
        <w:tc>
          <w:tcPr/>
          <w:p>
            <w:pPr>
              <w:pStyle w:val="Compact"/>
              <w:jc w:val="center"/>
            </w:pPr>
            <w:r>
              <w:t xml:space="preserve">1/, 1i</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2x, 2/</w:t>
            </w:r>
          </w:p>
        </w:tc>
      </w:tr>
      <w:tr>
        <w:tc>
          <w:tcPr/>
          <w:p>
            <w:pPr>
              <w:pStyle w:val="Compact"/>
              <w:jc w:val="right"/>
            </w:pPr>
            <w:r>
              <w:t xml:space="preserve">1248</w:t>
            </w:r>
          </w:p>
        </w:tc>
        <w:tc>
          <w:tcPr/>
          <w:p>
            <w:pPr>
              <w:pStyle w:val="Compact"/>
              <w:jc w:val="center"/>
            </w:pPr>
            <w:r>
              <w:t xml:space="preserve">1x, 2/, 2c, 2s, 2h</w:t>
            </w:r>
          </w:p>
        </w:tc>
        <w:tc>
          <w:tcPr/>
          <w:p>
            <w:pPr>
              <w:pStyle w:val="Compact"/>
              <w:jc w:val="center"/>
            </w:pPr>
            <w:r>
              <w:t xml:space="preserve">1x, 5/, 2c, 3s, 1h</w:t>
            </w:r>
          </w:p>
        </w:tc>
        <w:tc>
          <w:tcPr/>
          <w:p>
            <w:pPr>
              <w:pStyle w:val="Compact"/>
              <w:jc w:val="center"/>
            </w:pPr>
            <w:r>
              <w:t xml:space="preserve">2x, 1/, 7s</w:t>
            </w:r>
          </w:p>
        </w:tc>
        <w:tc>
          <w:tcPr/>
          <w:p>
            <w:pPr>
              <w:pStyle w:val="Compact"/>
              <w:jc w:val="center"/>
            </w:pPr>
            <w:r>
              <w:t xml:space="preserve">4s, 2h</w:t>
            </w:r>
          </w:p>
        </w:tc>
        <w:tc>
          <w:tcPr/>
          <w:p>
            <w:pPr>
              <w:pStyle w:val="Compact"/>
              <w:jc w:val="center"/>
            </w:pPr>
            <w:r>
              <w:t xml:space="preserve">2/</w:t>
            </w:r>
          </w:p>
        </w:tc>
        <w:tc>
          <w:tcPr/>
          <w:p>
            <w:pPr>
              <w:pStyle w:val="Compact"/>
              <w:jc w:val="center"/>
            </w:pPr>
            <w:r>
              <w:t xml:space="preserve">1/, 2s, 1h</w:t>
            </w:r>
          </w:p>
        </w:tc>
        <w:tc>
          <w:tcPr/>
          <w:p>
            <w:pPr>
              <w:pStyle w:val="Compact"/>
              <w:jc w:val="center"/>
            </w:pPr>
            <w:r>
              <w:t xml:space="preserve">2s, 2h</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4x, 11/</w:t>
            </w:r>
          </w:p>
        </w:tc>
      </w:tr>
      <w:tr>
        <w:tc>
          <w:tcPr/>
          <w:p>
            <w:pPr>
              <w:pStyle w:val="Compact"/>
              <w:jc w:val="right"/>
            </w:pPr>
            <w:r>
              <w:t xml:space="preserve">1249</w:t>
            </w:r>
          </w:p>
        </w:tc>
        <w:tc>
          <w:tcPr/>
          <w:p>
            <w:pPr>
              <w:pStyle w:val="Compact"/>
              <w:jc w:val="center"/>
            </w:pPr>
            <w:r>
              <w:t xml:space="preserve">3/</w:t>
            </w:r>
          </w:p>
        </w:tc>
        <w:tc>
          <w:tcPr/>
          <w:p>
            <w:pPr>
              <w:pStyle w:val="Compact"/>
              <w:jc w:val="center"/>
            </w:pPr>
            <w:r>
              <w:t xml:space="preserve">1x, 5/, 2s</w:t>
            </w:r>
          </w:p>
        </w:tc>
        <w:tc>
          <w:tcPr/>
          <w:p>
            <w:pPr>
              <w:pStyle w:val="Compact"/>
              <w:jc w:val="center"/>
            </w:pPr>
            <w:r>
              <w:t xml:space="preserve">4/</w:t>
            </w:r>
          </w:p>
        </w:tc>
        <w:tc>
          <w:tcPr/>
          <w:p>
            <w:pPr>
              <w:pStyle w:val="Compact"/>
              <w:jc w:val="center"/>
            </w:pPr>
            <w:r>
              <w:t xml:space="preserve">1x, 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2x, 17/</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3/, 1c</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3/</w:t>
            </w:r>
          </w:p>
        </w:tc>
      </w:tr>
      <w:tr>
        <w:tc>
          <w:tcPr/>
          <w:p>
            <w:pPr>
              <w:pStyle w:val="Compact"/>
              <w:jc w:val="right"/>
            </w:pPr>
            <w:r>
              <w:t xml:space="preserve">1548</w:t>
            </w:r>
          </w:p>
        </w:tc>
        <w:tc>
          <w:tcPr/>
          <w:p>
            <w:pPr>
              <w:pStyle w:val="Compact"/>
              <w:jc w:val="center"/>
            </w:pPr>
            <w:r>
              <w:t xml:space="preserve">2/, 2s</w:t>
            </w:r>
          </w:p>
        </w:tc>
        <w:tc>
          <w:tcPr/>
          <w:p>
            <w:pPr>
              <w:pStyle w:val="Compact"/>
              <w:jc w:val="center"/>
            </w:pPr>
            <w:r>
              <w:t xml:space="preserve">1x, 6/, 1c, 2s</w:t>
            </w:r>
          </w:p>
        </w:tc>
        <w:tc>
          <w:tcPr/>
          <w:p>
            <w:pPr>
              <w:pStyle w:val="Compact"/>
              <w:jc w:val="center"/>
            </w:pPr>
            <w:r>
              <w:t xml:space="preserve">1/, 2s</w:t>
            </w:r>
          </w:p>
        </w:tc>
        <w:tc>
          <w:tcPr/>
          <w:p>
            <w:pPr>
              <w:pStyle w:val="Compact"/>
              <w:jc w:val="center"/>
            </w:pPr>
            <w:r>
              <w:t xml:space="preserve">1/,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1x, 10/</w:t>
            </w:r>
          </w:p>
        </w:tc>
      </w:tr>
      <w:tr>
        <w:tc>
          <w:tcPr/>
          <w:p>
            <w:pPr>
              <w:pStyle w:val="Compact"/>
              <w:jc w:val="right"/>
            </w:pPr>
            <w:r>
              <w:t xml:space="preserve">1637</w:t>
            </w:r>
          </w:p>
        </w:tc>
        <w:tc>
          <w:tcPr/>
          <w:p>
            <w:pPr>
              <w:pStyle w:val="Compact"/>
              <w:jc w:val="center"/>
            </w:pPr>
            <w:r>
              <w:t xml:space="preserve">1/, 1s</w:t>
            </w:r>
          </w:p>
        </w:tc>
        <w:tc>
          <w:tcPr/>
          <w:p>
            <w:pPr>
              <w:pStyle w:val="Compact"/>
              <w:jc w:val="center"/>
            </w:pPr>
            <w:r>
              <w:t xml:space="preserve">4/, 1c, 1s</w:t>
            </w:r>
          </w:p>
        </w:tc>
        <w:tc>
          <w:tcPr/>
          <w:p>
            <w:pPr>
              <w:pStyle w:val="Compact"/>
              <w:jc w:val="center"/>
            </w:pPr>
            <w:r>
              <w:t xml:space="preserve">1/</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2s</w:t>
            </w:r>
          </w:p>
        </w:tc>
        <w:tc>
          <w:tcPr/>
          <w:p>
            <w:pPr>
              <w:pStyle w:val="Compact"/>
              <w:jc w:val="center"/>
            </w:pPr>
            <w:r>
              <w:t xml:space="preserve">1/, 2s</w:t>
            </w:r>
          </w:p>
        </w:tc>
        <w:tc>
          <w:tcPr/>
          <w:p>
            <w:pPr>
              <w:pStyle w:val="Compact"/>
              <w:jc w:val="center"/>
            </w:pPr>
            <w:r>
              <w:t xml:space="preserve">1/, 1i</w:t>
            </w:r>
          </w:p>
        </w:tc>
        <w:tc>
          <w:tcPr/>
          <w:p>
            <w:pPr>
              <w:pStyle w:val="Compact"/>
              <w:jc w:val="center"/>
            </w:pPr>
            <w:r>
              <w:t xml:space="preserve">2s</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2/</w:t>
            </w:r>
          </w:p>
        </w:tc>
      </w:tr>
      <w:tr>
        <w:tc>
          <w:tcPr/>
          <w:p>
            <w:pPr>
              <w:pStyle w:val="Compact"/>
              <w:jc w:val="right"/>
            </w:pPr>
            <w:r>
              <w:t xml:space="preserve">1754</w:t>
            </w:r>
            <w:r>
              <w:rPr>
                <w:rStyle w:val="FootnoteReference"/>
              </w:rPr>
              <w:footnoteReference w:id="332"/>
            </w:r>
          </w:p>
        </w:tc>
        <w:tc>
          <w:tcPr/>
          <w:p>
            <w:pPr>
              <w:pStyle w:val="Compact"/>
              <w:jc w:val="center"/>
            </w:pPr>
            <w:r>
              <w:t xml:space="preserve">2/, 16s</w:t>
            </w:r>
          </w:p>
        </w:tc>
        <w:tc>
          <w:tcPr/>
          <w:p>
            <w:pPr>
              <w:pStyle w:val="Compact"/>
              <w:jc w:val="center"/>
            </w:pPr>
            <w:r>
              <w:t xml:space="preserve">3/, 8s</w:t>
            </w:r>
          </w:p>
        </w:tc>
        <w:tc>
          <w:tcPr/>
          <w:p>
            <w:pPr>
              <w:pStyle w:val="Compact"/>
              <w:jc w:val="center"/>
            </w:pPr>
            <w:r>
              <w:t xml:space="preserve">2/, 9s</w:t>
            </w:r>
          </w:p>
        </w:tc>
        <w:tc>
          <w:tcPr/>
          <w:p>
            <w:pPr>
              <w:pStyle w:val="Compact"/>
              <w:jc w:val="center"/>
            </w:pPr>
            <w:r>
              <w:t xml:space="preserve">2x, 1/, 13s, 3h</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center"/>
            </w:pPr>
            <w:r>
              <w:t xml:space="preserve">XII</w:t>
            </w:r>
          </w:p>
        </w:tc>
        <w:tc>
          <w:tcPr/>
          <w:p>
            <w:pPr>
              <w:pStyle w:val="Compact"/>
              <w:jc w:val="left"/>
            </w:pPr>
            <w:r>
              <w:t xml:space="preserve">Panteleimonos</w:t>
            </w:r>
          </w:p>
        </w:tc>
        <w:tc>
          <w:tcPr/>
          <w:p>
            <w:pPr>
              <w:pStyle w:val="Compact"/>
              <w:jc w:val="center"/>
            </w:pPr>
            <w:r>
              <w:t xml:space="preserve">2x, 9/</w:t>
            </w:r>
          </w:p>
        </w:tc>
      </w:tr>
      <w:tr>
        <w:tc>
          <w:tcPr/>
          <w:p>
            <w:pPr>
              <w:pStyle w:val="Compact"/>
              <w:jc w:val="right"/>
            </w:pPr>
            <w:r>
              <w:t xml:space="preserve">1761</w:t>
            </w:r>
          </w:p>
        </w:tc>
        <w:tc>
          <w:tcPr/>
          <w:p>
            <w:pPr>
              <w:pStyle w:val="Compact"/>
              <w:jc w:val="center"/>
            </w:pPr>
            <w:r>
              <w:t xml:space="preserve">2x, 2s</w:t>
            </w:r>
          </w:p>
        </w:tc>
        <w:tc>
          <w:tcPr/>
          <w:p>
            <w:pPr>
              <w:pStyle w:val="Compact"/>
              <w:jc w:val="center"/>
            </w:pPr>
            <w:r>
              <w:t xml:space="preserve">2x, 4/, 3s</w:t>
            </w:r>
          </w:p>
        </w:tc>
        <w:tc>
          <w:tcPr/>
          <w:p>
            <w:pPr>
              <w:pStyle w:val="Compact"/>
              <w:jc w:val="center"/>
            </w:pPr>
            <w:r>
              <w:t xml:space="preserve">1/</w:t>
            </w:r>
          </w:p>
        </w:tc>
        <w:tc>
          <w:tcPr/>
          <w:p>
            <w:pPr>
              <w:pStyle w:val="Compact"/>
              <w:jc w:val="center"/>
            </w:pPr>
            <w:r>
              <w:t xml:space="preserve">1/, 1s, 1h</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4x, 6/</w:t>
            </w:r>
          </w:p>
        </w:tc>
      </w:tr>
      <w:tr>
        <w:tc>
          <w:tcPr/>
          <w:p>
            <w:pPr>
              <w:pStyle w:val="Compact"/>
              <w:jc w:val="right"/>
            </w:pPr>
            <w:r>
              <w:t xml:space="preserve">1768</w:t>
            </w:r>
          </w:p>
        </w:tc>
        <w:tc>
          <w:tcPr/>
          <w:p>
            <w:pPr>
              <w:pStyle w:val="Compact"/>
              <w:jc w:val="center"/>
            </w:pPr>
            <w:r>
              <w:t xml:space="preserve">7/, 2c, 1s</w:t>
            </w:r>
          </w:p>
        </w:tc>
        <w:tc>
          <w:tcPr/>
          <w:p>
            <w:pPr>
              <w:pStyle w:val="Compact"/>
              <w:jc w:val="center"/>
            </w:pPr>
            <w:r>
              <w:t xml:space="preserve">12/, 1i</w:t>
            </w:r>
          </w:p>
        </w:tc>
        <w:tc>
          <w:tcPr/>
          <w:p>
            <w:pPr>
              <w:pStyle w:val="Compact"/>
              <w:jc w:val="center"/>
            </w:pPr>
            <w:r>
              <w:t xml:space="preserve">6/, 2i</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1s</w:t>
            </w:r>
          </w:p>
        </w:tc>
        <w:tc>
          <w:tcPr/>
          <w:p>
            <w:pPr>
              <w:pStyle w:val="Compact"/>
              <w:jc w:val="center"/>
            </w:pPr>
            <w:r>
              <w:t xml:space="preserve">1516</w:t>
            </w:r>
          </w:p>
        </w:tc>
        <w:tc>
          <w:tcPr/>
          <w:p>
            <w:pPr>
              <w:pStyle w:val="Compact"/>
              <w:jc w:val="left"/>
            </w:pPr>
            <w:r>
              <w:t xml:space="preserve">Iviron</w:t>
            </w:r>
          </w:p>
        </w:tc>
        <w:tc>
          <w:tcPr/>
          <w:p>
            <w:pPr>
              <w:pStyle w:val="Compact"/>
              <w:jc w:val="center"/>
            </w:pPr>
            <w:r>
              <w:t xml:space="preserve">26/</w:t>
            </w:r>
          </w:p>
        </w:tc>
      </w:tr>
      <w:tr>
        <w:tc>
          <w:tcPr/>
          <w:p>
            <w:pPr>
              <w:pStyle w:val="Compact"/>
              <w:jc w:val="right"/>
            </w:pPr>
            <w:r>
              <w:t xml:space="preserve">1855</w:t>
            </w:r>
          </w:p>
        </w:tc>
        <w:tc>
          <w:tcPr/>
          <w:p>
            <w:pPr>
              <w:pStyle w:val="Compact"/>
              <w:jc w:val="center"/>
            </w:pPr>
            <w:r>
              <w:t xml:space="preserve">1/, 1s</w:t>
            </w:r>
          </w:p>
        </w:tc>
        <w:tc>
          <w:tcPr/>
          <w:p>
            <w:pPr>
              <w:pStyle w:val="Compact"/>
              <w:jc w:val="center"/>
            </w:pPr>
            <w:r>
              <w:t xml:space="preserve">1x, 2/</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1x, 6/</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3/, 2c</w:t>
            </w:r>
          </w:p>
        </w:tc>
        <w:tc>
          <w:tcPr/>
          <w:p>
            <w:pPr>
              <w:pStyle w:val="Compact"/>
              <w:jc w:val="center"/>
            </w:pPr>
            <w:r>
              <w:t xml:space="preserve">---</w:t>
            </w:r>
          </w:p>
        </w:tc>
        <w:tc>
          <w:tcPr/>
          <w:p>
            <w:pPr>
              <w:pStyle w:val="Compact"/>
              <w:jc w:val="center"/>
            </w:pPr>
            <w:r>
              <w:t xml:space="preserve">1c,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3/</w:t>
            </w:r>
          </w:p>
        </w:tc>
      </w:tr>
      <w:tr>
        <w:tc>
          <w:tcPr/>
          <w:p>
            <w:pPr>
              <w:pStyle w:val="Compact"/>
              <w:jc w:val="right"/>
            </w:pPr>
            <w:r>
              <w:t xml:space="preserve">1865</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2s</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1x, 4/, 3s</w:t>
            </w:r>
          </w:p>
        </w:tc>
        <w:tc>
          <w:tcPr/>
          <w:p>
            <w:pPr>
              <w:pStyle w:val="Compact"/>
              <w:jc w:val="center"/>
            </w:pPr>
            <w:r>
              <w:t xml:space="preserve">2x, 4/, 3s, 1h</w:t>
            </w:r>
          </w:p>
        </w:tc>
        <w:tc>
          <w:tcPr/>
          <w:p>
            <w:pPr>
              <w:pStyle w:val="Compact"/>
              <w:jc w:val="center"/>
            </w:pPr>
            <w:r>
              <w:t xml:space="preserve">4/, 1s</w:t>
            </w:r>
          </w:p>
        </w:tc>
        <w:tc>
          <w:tcPr/>
          <w:p>
            <w:pPr>
              <w:pStyle w:val="Compact"/>
              <w:jc w:val="center"/>
            </w:pPr>
            <w:r>
              <w:t xml:space="preserve">1x, 3/, 1c, 2s</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4x, 19/</w:t>
            </w:r>
          </w:p>
        </w:tc>
      </w:tr>
      <w:tr>
        <w:tc>
          <w:tcPr/>
          <w:p>
            <w:pPr>
              <w:pStyle w:val="Compact"/>
              <w:jc w:val="right"/>
            </w:pPr>
            <w:r>
              <w:t xml:space="preserve">1892</w:t>
            </w:r>
          </w:p>
        </w:tc>
        <w:tc>
          <w:tcPr/>
          <w:p>
            <w:pPr>
              <w:pStyle w:val="Compact"/>
              <w:jc w:val="center"/>
            </w:pPr>
            <w:r>
              <w:t xml:space="preserve">1x, 4/, 2c, 1s</w:t>
            </w:r>
          </w:p>
        </w:tc>
        <w:tc>
          <w:tcPr/>
          <w:p>
            <w:pPr>
              <w:pStyle w:val="Compact"/>
              <w:jc w:val="center"/>
            </w:pPr>
            <w:r>
              <w:t xml:space="preserve">3x, 4/, 4s</w:t>
            </w:r>
          </w:p>
        </w:tc>
        <w:tc>
          <w:tcPr/>
          <w:p>
            <w:pPr>
              <w:pStyle w:val="Compact"/>
              <w:jc w:val="center"/>
            </w:pPr>
            <w:r>
              <w:t xml:space="preserve">1x, 2/, 1c</w:t>
            </w:r>
          </w:p>
        </w:tc>
        <w:tc>
          <w:tcPr/>
          <w:p>
            <w:pPr>
              <w:pStyle w:val="Compact"/>
              <w:jc w:val="center"/>
            </w:pPr>
            <w:r>
              <w:t xml:space="preserve">1/, 1c, 2s</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1c, 1s</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6x, 11/</w:t>
            </w:r>
          </w:p>
        </w:tc>
      </w:tr>
      <w:tr>
        <w:tc>
          <w:tcPr/>
          <w:p>
            <w:pPr>
              <w:pStyle w:val="Compact"/>
              <w:jc w:val="right"/>
            </w:pPr>
            <w:r>
              <w:t xml:space="preserve">1897</w:t>
            </w:r>
          </w:p>
        </w:tc>
        <w:tc>
          <w:tcPr/>
          <w:p>
            <w:pPr>
              <w:pStyle w:val="Compact"/>
              <w:jc w:val="center"/>
            </w:pPr>
            <w:r>
              <w:t xml:space="preserve">2/, 3s</w:t>
            </w:r>
          </w:p>
        </w:tc>
        <w:tc>
          <w:tcPr/>
          <w:p>
            <w:pPr>
              <w:pStyle w:val="Compact"/>
              <w:jc w:val="center"/>
            </w:pPr>
            <w:r>
              <w:t xml:space="preserve">1/, 3s</w:t>
            </w:r>
          </w:p>
        </w:tc>
        <w:tc>
          <w:tcPr/>
          <w:p>
            <w:pPr>
              <w:pStyle w:val="Compact"/>
              <w:jc w:val="center"/>
            </w:pPr>
            <w:r>
              <w:t xml:space="preserve">2s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4/</w:t>
            </w:r>
          </w:p>
        </w:tc>
      </w:tr>
      <w:tr>
        <w:tc>
          <w:tcPr/>
          <w:p>
            <w:pPr>
              <w:pStyle w:val="Compact"/>
              <w:jc w:val="right"/>
            </w:pPr>
            <w:r>
              <w:t xml:space="preserve">2221</w:t>
            </w:r>
          </w:p>
        </w:tc>
        <w:tc>
          <w:tcPr/>
          <w:p>
            <w:pPr>
              <w:pStyle w:val="Compact"/>
              <w:jc w:val="center"/>
            </w:pPr>
            <w:r>
              <w:t xml:space="preserve">1s</w:t>
            </w:r>
          </w:p>
        </w:tc>
        <w:tc>
          <w:tcPr/>
          <w:p>
            <w:pPr>
              <w:pStyle w:val="Compact"/>
              <w:jc w:val="center"/>
            </w:pPr>
            <w:r>
              <w:t xml:space="preserve">2x</w:t>
            </w:r>
          </w:p>
        </w:tc>
        <w:tc>
          <w:tcPr/>
          <w:p>
            <w:pPr>
              <w:pStyle w:val="Compact"/>
              <w:jc w:val="center"/>
            </w:pPr>
            <w:r>
              <w:t xml:space="preserve">1x, 3/, 1s</w:t>
            </w:r>
          </w:p>
        </w:tc>
        <w:tc>
          <w:tcPr/>
          <w:p>
            <w:pPr>
              <w:pStyle w:val="Compact"/>
              <w:jc w:val="center"/>
            </w:pPr>
            <w:r>
              <w:t xml:space="preserve">1x,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4x, 4/</w:t>
            </w:r>
          </w:p>
        </w:tc>
      </w:tr>
      <w:tr>
        <w:tc>
          <w:tcPr/>
          <w:p>
            <w:pPr>
              <w:pStyle w:val="Compact"/>
              <w:jc w:val="right"/>
            </w:pPr>
            <w:r>
              <w:t xml:space="preserve">2352</w:t>
            </w:r>
          </w:p>
        </w:tc>
        <w:tc>
          <w:tcPr/>
          <w:p>
            <w:pPr>
              <w:pStyle w:val="Compact"/>
              <w:jc w:val="center"/>
            </w:pPr>
            <w:r>
              <w:t xml:space="preserve">1/, 1c, 1i</w:t>
            </w:r>
          </w:p>
        </w:tc>
        <w:tc>
          <w:tcPr/>
          <w:p>
            <w:pPr>
              <w:pStyle w:val="Compact"/>
              <w:jc w:val="center"/>
            </w:pPr>
            <w:r>
              <w:t xml:space="preserve">6/, 1c, 1s, 1i</w:t>
            </w:r>
          </w:p>
        </w:tc>
        <w:tc>
          <w:tcPr/>
          <w:p>
            <w:pPr>
              <w:pStyle w:val="Compact"/>
              <w:jc w:val="center"/>
            </w:pPr>
            <w:r>
              <w:t xml:space="preserve">3/, 1c</w:t>
            </w:r>
          </w:p>
        </w:tc>
        <w:tc>
          <w:tcPr/>
          <w:p>
            <w:pPr>
              <w:pStyle w:val="Compact"/>
              <w:jc w:val="center"/>
            </w:pPr>
            <w:r>
              <w:t xml:space="preserve">2/, 1c</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12/</w:t>
            </w:r>
          </w:p>
        </w:tc>
      </w:tr>
      <w:tr>
        <w:tc>
          <w:tcPr/>
          <w:p>
            <w:pPr>
              <w:pStyle w:val="Compact"/>
              <w:jc w:val="right"/>
            </w:pPr>
            <w:r>
              <w:t xml:space="preserve">2431</w:t>
            </w:r>
          </w:p>
        </w:tc>
        <w:tc>
          <w:tcPr/>
          <w:p>
            <w:pPr>
              <w:pStyle w:val="Compact"/>
              <w:jc w:val="center"/>
            </w:pPr>
            <w:r>
              <w:t xml:space="preserve">4/, 4s, 1i</w:t>
            </w:r>
          </w:p>
        </w:tc>
        <w:tc>
          <w:tcPr/>
          <w:p>
            <w:pPr>
              <w:pStyle w:val="Compact"/>
              <w:jc w:val="center"/>
            </w:pPr>
            <w:r>
              <w:t xml:space="preserve">11/, 2s, 2i</w:t>
            </w:r>
          </w:p>
        </w:tc>
        <w:tc>
          <w:tcPr/>
          <w:p>
            <w:pPr>
              <w:pStyle w:val="Compact"/>
              <w:jc w:val="center"/>
            </w:pPr>
            <w:r>
              <w:t xml:space="preserve">2/, 1c, 2s, 2i</w:t>
            </w:r>
          </w:p>
        </w:tc>
        <w:tc>
          <w:tcPr/>
          <w:p>
            <w:pPr>
              <w:pStyle w:val="Compact"/>
              <w:jc w:val="center"/>
            </w:pPr>
            <w:r>
              <w:t xml:space="preserve">2/, 2s, 2i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1332</w:t>
            </w:r>
          </w:p>
        </w:tc>
        <w:tc>
          <w:tcPr/>
          <w:p>
            <w:pPr>
              <w:pStyle w:val="Compact"/>
              <w:jc w:val="left"/>
            </w:pPr>
            <w:r>
              <w:t xml:space="preserve">Kavsokalyvia</w:t>
            </w:r>
          </w:p>
        </w:tc>
        <w:tc>
          <w:tcPr/>
          <w:p>
            <w:pPr>
              <w:pStyle w:val="Compact"/>
              <w:jc w:val="center"/>
            </w:pPr>
            <w:r>
              <w:t xml:space="preserve">19/</w:t>
            </w:r>
          </w:p>
        </w:tc>
      </w:tr>
      <w:tr>
        <w:tc>
          <w:tcPr/>
          <w:p>
            <w:pPr>
              <w:pStyle w:val="Compact"/>
              <w:jc w:val="right"/>
            </w:pPr>
            <w:r>
              <w:t xml:space="preserve">2466</w:t>
            </w:r>
          </w:p>
        </w:tc>
        <w:tc>
          <w:tcPr/>
          <w:p>
            <w:pPr>
              <w:pStyle w:val="Compact"/>
              <w:jc w:val="center"/>
            </w:pPr>
            <w:r>
              <w:t xml:space="preserve">1/, 1s</w:t>
            </w:r>
          </w:p>
        </w:tc>
        <w:tc>
          <w:tcPr/>
          <w:p>
            <w:pPr>
              <w:pStyle w:val="Compact"/>
              <w:jc w:val="center"/>
            </w:pPr>
            <w:r>
              <w:t xml:space="preserve">1x, 1/, 1c, 4s</w:t>
            </w:r>
          </w:p>
        </w:tc>
        <w:tc>
          <w:tcPr/>
          <w:p>
            <w:pPr>
              <w:pStyle w:val="Compact"/>
              <w:jc w:val="center"/>
            </w:pPr>
            <w:r>
              <w:t xml:space="preserve">1x, 2s</w:t>
            </w:r>
          </w:p>
        </w:tc>
        <w:tc>
          <w:tcPr/>
          <w:p>
            <w:pPr>
              <w:pStyle w:val="Compact"/>
              <w:jc w:val="center"/>
            </w:pPr>
            <w:r>
              <w:t xml:space="preserve">3/, 1s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2x, 6/</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9/</w:t>
            </w:r>
          </w:p>
        </w:tc>
      </w:tr>
      <w:tr>
        <w:tc>
          <w:tcPr/>
          <w:p>
            <w:pPr>
              <w:pStyle w:val="Compact"/>
              <w:jc w:val="right"/>
            </w:pPr>
            <w:r>
              <w:t xml:space="preserve">2626</w:t>
            </w:r>
          </w:p>
        </w:tc>
        <w:tc>
          <w:tcPr/>
          <w:p>
            <w:pPr>
              <w:pStyle w:val="Compact"/>
              <w:jc w:val="center"/>
            </w:pPr>
            <w:r>
              <w:t xml:space="preserve">1/, 1s</w:t>
            </w:r>
          </w:p>
        </w:tc>
        <w:tc>
          <w:tcPr/>
          <w:p>
            <w:pPr>
              <w:pStyle w:val="Compact"/>
              <w:jc w:val="center"/>
            </w:pPr>
            <w:r>
              <w:t xml:space="preserve">1x, 5/</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XIV</w:t>
            </w:r>
          </w:p>
        </w:tc>
        <w:tc>
          <w:tcPr/>
          <w:p>
            <w:pPr>
              <w:pStyle w:val="Compact"/>
              <w:jc w:val="left"/>
            </w:pPr>
            <w:r>
              <w:t xml:space="preserve">Ochryda</w:t>
            </w:r>
          </w:p>
        </w:tc>
        <w:tc>
          <w:tcPr/>
          <w:p>
            <w:pPr>
              <w:pStyle w:val="Compact"/>
              <w:jc w:val="center"/>
            </w:pPr>
            <w:r>
              <w:t xml:space="preserve">1x, 13/</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w:t>
            </w:r>
          </w:p>
        </w:tc>
      </w:tr>
    </w:tbl>
    <w:bookmarkEnd w:id="333"/>
    <w:bookmarkStart w:id="339" w:name="interpretacja"/>
    <w:p>
      <w:pPr>
        <w:pStyle w:val="Heading3"/>
      </w:pPr>
      <w:r>
        <w:t xml:space="preserve">Interpretacja</w:t>
      </w:r>
    </w:p>
    <w:p>
      <w:pPr>
        <w:pStyle w:val="FirstParagraph"/>
      </w:pPr>
      <w:r>
        <w:t xml:space="preserve">Otóż typ tekstu, który nazywam Rodziną 35 (</w:t>
      </w:r>
      <w:r>
        <w:rPr>
          <w:bCs/>
          <w:b/>
        </w:rPr>
        <w:t xml:space="preserve">f</w:t>
      </w:r>
      <w:r>
        <w:rPr>
          <w:vertAlign w:val="superscript"/>
          <w:bCs/>
          <w:b/>
        </w:rPr>
        <w:t xml:space="preserve">35</w:t>
      </w:r>
      <w:r>
        <w:t xml:space="preserve">), reprezentowany jest w Listach Ogólnych przez około 84 (zachowane) manuskrypty. Ta próba czterdziestu trzech członków rodziny jest z pewnością reprezentatywna dla całego typu tekstu, stanowi bowiem pełną połowę jego przedstawicieli, a dodatkowo uwzględnia rozmieszczenie geograficzne. Pytanie stojące bezpośrednio przed nami brzmi: skąd możemy wiedzieć, czy manuskrypt jest doskonałym przedstawicielem swojego typu tekstu? Odpowiedź musi odnosić się do całej księgi.</w:t>
      </w:r>
    </w:p>
    <w:p>
      <w:pPr>
        <w:pStyle w:val="BodyText"/>
      </w:pPr>
      <w:r>
        <w:t xml:space="preserve">Pierwszą księgą tej części jest List Jakuba. Patrząc na tabelę, zauważamy, że rękopisy kursywne 18, 1864, 2554 i 2723 są w obecnym stanie przypuszczalnie doskonałymi przedstawicielami — nie mają odejść od domniemanego profilu archetypalnego.</w:t>
      </w:r>
      <w:r>
        <w:rPr>
          <w:rStyle w:val="FootnoteReference"/>
        </w:rPr>
        <w:footnoteReference w:id="334"/>
      </w:r>
      <w:r>
        <w:t xml:space="preserve"> </w:t>
      </w:r>
      <w:r>
        <w:t xml:space="preserve">Ponieważ 35 był systematycznie poprawiany, jego egzemplarz również był doskonały. Jeśli przypiszemy odczyty singularne kopiście, wówczas egzemplarze 1503, 1732, 1865 i 2221 także były doskonałe. Jeśli 18, 1864, 2554 i 2723 są kopiami, nie zaś oryginalnymi tworami, ich egzemplarze również były doskonałe, a egzemplarze egzemplarzy także były doskonałe, i tak dalej. Konsekwencje znalezienia doskonałego przedstawiciela jakiegokolwiek tekstu archetypalnego są dość doniosłe. Wszystkie „kanony” krytyki tekstu stają się nieistotne dla każdego punktu późniejszego od powstania tego tekstu (nadal mogłyby mieć zastosowanie przy badaniu powstania tekstu, zależnie od okoliczności). Spośród pozostałych manuskryptów 204 i 757 mają tylko jedno odejście, 386, 394, 928, 1075, 1637, 1725, 1732, 1855, 2466 i 2587 mają tylko dwa, i tak dalej. (Manuskrypt 664 ma trzydzieści, z których większość to niestaranne błędy, 664 poświadcza podstawowy profil (warianty diagnostyczne odróżniające go od wszystkich innych profili), a zatem jest wyraźnie członkiem rodziny, choć niedbałym).</w:t>
      </w:r>
    </w:p>
    <w:p>
      <w:pPr>
        <w:pStyle w:val="BodyText"/>
      </w:pPr>
      <w:r>
        <w:t xml:space="preserve">Odwoływałem się do „domniemanego profilu archetypalnego”. Jak zatem go zidentyfikowałem? Uczyniłem to na podstawie fundamentalnej zasady. Jeśli mamy rodzinę złożoną z 50 manuskryptów, wszędzie tam, gdzie wszystkie są zgodne, nie może być żadnych wątpliwości co do odczytu rodziny. Tam, gdzie pojedynczy manuskrypt błądzi przeciwko wszystkim pozostałym, nadal nie może być żadnych wątpliwości — właśnie to argumentuję wyżej w odniesieniu do Listu Jakuba. Wszędzie tam, gdzie zgadzają się choćby dwa (przeciwko pozostałym), mamy grupę odłamową — powiedziałbym od ręki, że wszystko do 20% ogółu rodziny pozostałoby grupą odłamową, praktycznie bez szans na reprezentowanie odczytu archetypalnego (jeśli pozostałe 80% jest jednomyślne). Gdy poświadczenie spada poniżej 80%, tym bardziej jeśli istnieje kilka konkurujących wariantów, muszą wejść w grę inne względy.</w:t>
      </w:r>
    </w:p>
    <w:p>
      <w:pPr>
        <w:pStyle w:val="BodyText"/>
      </w:pPr>
      <w:r>
        <w:t xml:space="preserve">Wracając do Listu Jakuba, twierdzę, że mamy rozsądną pewność co do precyzyjnego profilu rodziny dla tej księgi.</w:t>
      </w:r>
      <w:r>
        <w:rPr>
          <w:rStyle w:val="FootnoteReference"/>
        </w:rPr>
        <w:footnoteReference w:id="335"/>
      </w:r>
      <w:r>
        <w:t xml:space="preserve"> </w:t>
      </w:r>
      <w:r>
        <w:t xml:space="preserve">Skoro tak, możemy teraz ocenić poszczególne manuskrypty. Dlatego twierdzę, że egzemplarze 18, 35, 1503, 1732, 1864, 1865, 2221, 2554 i 2723 są doskonałymi przedstawicielami rodziny. Dziewięć doskonałych egzemplarzy spośród czterdziestu trzech to prawdopodobnie więcej, niż większość z nas by oczekiwała! W Liście Jakuba mamy więc kilka manuskryptów spełniających możliwość 3) Ehrmana w odniesieniu do tekstu archetypalnego.</w:t>
      </w:r>
    </w:p>
    <w:p>
      <w:pPr>
        <w:pStyle w:val="BodyText"/>
      </w:pPr>
      <w:r>
        <w:t xml:space="preserve">A co z drugą możliwością Ehrmana? Gdy mówi o „grupie” manuskryptów w odróżnieniu od „pojedynczego” manuskryptu (możliwość 3), przypuszczalnie ma na myśli rodzinę, ponieważ wszystkie z konieczności miałyby ten sam profil. Jeśli jednak ma na myśli rodzinę, przedkładam, że możliwość 2) wymaga ponownego sformułowania. Proponuję: „Zachował go w rodzinie manuskryptów, której tekst archetypalny nie zawiera żadnych skażeń — pod warunkiem że jego precyzyjny profil można potwierdzić ponad rozsądną wątpliwość”. (Przypomnijmy, że mówimy o</w:t>
      </w:r>
      <w:r>
        <w:t xml:space="preserve"> </w:t>
      </w:r>
      <w:r>
        <w:rPr>
          <w:u w:val="single"/>
        </w:rPr>
        <w:t xml:space="preserve">rzeczywistym</w:t>
      </w:r>
      <w:r>
        <w:t xml:space="preserve"> </w:t>
      </w:r>
      <w:r>
        <w:t xml:space="preserve">posiadaniu profilu). Oczywiste błędy poszczególnych przedstawicieli można bez obaw odjąć, pozostawiając świadectwo rodziny nienaruszone. Po takim ponownym sformułowaniu druga możliwość Ehrmana zostaje spełniona przez</w:t>
      </w:r>
      <w:r>
        <w:t xml:space="preserve"> </w:t>
      </w:r>
      <w:r>
        <w:rPr>
          <w:bCs/>
          <w:b/>
        </w:rPr>
        <w:t xml:space="preserve">f</w:t>
      </w:r>
      <w:r>
        <w:rPr>
          <w:vertAlign w:val="superscript"/>
          <w:bCs/>
          <w:b/>
        </w:rPr>
        <w:t xml:space="preserve">35</w:t>
      </w:r>
      <w:r>
        <w:t xml:space="preserve"> </w:t>
      </w:r>
      <w:r>
        <w:t xml:space="preserve">w Liście Jakuba w odniesieniu do tekstu archetypalnego. Przejdźmy do 1 Listu Piotra.</w:t>
      </w:r>
    </w:p>
    <w:p>
      <w:pPr>
        <w:pStyle w:val="BodyText"/>
      </w:pPr>
      <w:r>
        <w:t xml:space="preserve">Patrząc na tabelę, rękopisy kursywne 1865, 2554 i 2723 są doskonałymi przedstawicielami domniemanego profilu archetypalnego, ponieważ jednak 35 był systematycznie poprawiany, jego egzemplarz także był doskonały.</w:t>
      </w:r>
      <w:r>
        <w:rPr>
          <w:rStyle w:val="FootnoteReference"/>
        </w:rPr>
        <w:footnoteReference w:id="336"/>
      </w:r>
      <w:r>
        <w:t xml:space="preserve"> </w:t>
      </w:r>
      <w:r>
        <w:t xml:space="preserve">Jeśli przypiszemy odczyty singularne kopiście, wówczas egzemplarz 824 również był doskonały. Spośród pozostałych manuskryptów 204 ma tylko jedno odejście, 386, 1100, 1725 i 2221 mają tylko dwa, i tak dalej. Argumentując tak, jak w przypadku Listu Jakuba, w 1 Liście Piotra mamy pięć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Piotra.</w:t>
      </w:r>
    </w:p>
    <w:p>
      <w:pPr>
        <w:pStyle w:val="BodyText"/>
      </w:pPr>
      <w:r>
        <w:t xml:space="preserve">Patrząc na tabelę, rękopisy kursywne 35, 1725, 1864, 2554 i 2723 są doskonałymi przedstawicielami domniemanego profilu archetypalnego.</w:t>
      </w:r>
      <w:r>
        <w:rPr>
          <w:rStyle w:val="FootnoteReference"/>
        </w:rPr>
        <w:footnoteReference w:id="337"/>
      </w:r>
      <w:r>
        <w:t xml:space="preserve"> </w:t>
      </w:r>
      <w:r>
        <w:t xml:space="preserve">Jeśli przypiszemy odczyty singularne kopiście, wówczas egzemplarze 18, 824, 1072, 1075, 1503, 1865 i 1897 również były doskonałe. Spośród pozostałych manuskryptów 1100, 1637 i 1761 mają tylko jedno odejście, 141, 757, 986, 1732, 1855 i 2626 mają tylko dwa, i tak dalej. Argumentując tak, jak w przypadku Listu Jakuba, w 2 Liście Piotra mamy dwanaście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1 Listu Jana.</w:t>
      </w:r>
    </w:p>
    <w:p>
      <w:pPr>
        <w:pStyle w:val="BodyText"/>
      </w:pPr>
      <w:r>
        <w:t xml:space="preserve">Patrząc na tabelę, rękopisy kursywne 204, 824, 1100 i 2554 są doskonałymi przedstawicielami domniemanego profilu archetypalnego, ponieważ jednak 35, 1637, 1768 i 1865 były systematycznie poprawiane, ich egzemplarze także były doskonałe.</w:t>
      </w:r>
      <w:r>
        <w:rPr>
          <w:rStyle w:val="FootnoteReference"/>
        </w:rPr>
        <w:footnoteReference w:id="338"/>
      </w:r>
      <w:r>
        <w:t xml:space="preserve"> </w:t>
      </w:r>
      <w:r>
        <w:t xml:space="preserve">Jedyna odmienność w 2723 jest pominięciem całego wiersza w oczywistym przypadku homoioteleutonu, co według mnie nie stanowi właściwego wariantowego odczytu. W każdym razie jego egzemplarz byłby doskonały. Jeśli przypiszemy odczyty singularne kopiście, wówczas egzemplarze 1503, 1725, 1732 i 1897 również były doskonałe. Spośród pozostałych manuskryptów 757, 1075 i 2587 mają tylko jedno odejście, 201, 928, 1072, 1548, 1855, 2221 i 2626 mają tylko dwa, i tak dalej. Argumentując tak, jak w przypadku Listu Jakuba, w 1 Liście Jana mamy trzynaście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Jana.</w:t>
      </w:r>
    </w:p>
    <w:p>
      <w:pPr>
        <w:pStyle w:val="BodyText"/>
      </w:pPr>
      <w:r>
        <w:t xml:space="preserve">Patrząc na tabelę, większość rękopisów kursywnych jest doskonałymi przedstawicielami domniemanego profilu archetypalnego. Argumentując tak, jak w przypadku Listu Jakuba, w 2 Liście Jana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3 Listu Jana.</w:t>
      </w:r>
    </w:p>
    <w:p>
      <w:pPr>
        <w:pStyle w:val="BodyText"/>
      </w:pPr>
      <w:r>
        <w:t xml:space="preserve">Patrząc na tabelę, większość rękopisów kursywnych jest doskonałymi przedstawicielami domniemanego profilu archetypalnego. Argumentując tak, jak w przypadku Listu Jakuba, w 3 Liście Jana mamy trzydzieści dwa egzemplarze spełniające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Listu Judy.</w:t>
      </w:r>
    </w:p>
    <w:p>
      <w:pPr>
        <w:pStyle w:val="BodyText"/>
      </w:pPr>
      <w:r>
        <w:t xml:space="preserve">Patrząc na tabelę, połowa rękopisów kursywnych jest doskonałymi przedstawicielami domniemanego profilu archetypalnego. Argumentując tak, jak w przypadku Listu Jakuba, w Liście Judy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w:t>
      </w:r>
    </w:p>
    <w:p>
      <w:pPr>
        <w:pStyle w:val="BodyText"/>
      </w:pPr>
      <w:r>
        <w:t xml:space="preserve">Następującą część należy postrzegać jako kontynuację niniejszej.</w:t>
      </w:r>
    </w:p>
    <w:bookmarkEnd w:id="339"/>
    <w:bookmarkEnd w:id="340"/>
    <w:bookmarkStart w:id="343" w:name="X6ab50af76d9004b6e6e9f72e420df7088429cff"/>
    <w:p>
      <w:pPr>
        <w:pStyle w:val="Heading2"/>
      </w:pPr>
      <w:r>
        <w:t xml:space="preserve">Czy archetypalny tekst</w:t>
      </w:r>
      <w:r>
        <w:t xml:space="preserve"> </w:t>
      </w:r>
      <w:r>
        <w:rPr>
          <w:bCs/>
          <w:b/>
        </w:rPr>
        <w:t xml:space="preserve">f</w:t>
      </w:r>
      <w:r>
        <w:rPr>
          <w:vertAlign w:val="superscript"/>
          <w:bCs/>
          <w:b/>
        </w:rPr>
        <w:t xml:space="preserve">35</w:t>
      </w:r>
      <w:r>
        <w:t xml:space="preserve"> </w:t>
      </w:r>
      <w:r>
        <w:t xml:space="preserve">jest Autografem?</w:t>
      </w:r>
    </w:p>
    <w:p>
      <w:pPr>
        <w:pStyle w:val="FirstParagraph"/>
      </w:pPr>
      <w:r>
        <w:t xml:space="preserve">Jak mawiano w innym, dawno minionym świecie: „To pytanie za 64 dolary”. W części III przedstawiam dalsze obiektywne dowody na poparcie twierdzenia, że tekst</w:t>
      </w:r>
      <w:r>
        <w:t xml:space="preserve"> </w:t>
      </w:r>
      <w:r>
        <w:rPr>
          <w:bCs/>
          <w:b/>
        </w:rPr>
        <w:t xml:space="preserve">f</w:t>
      </w:r>
      <w:r>
        <w:rPr>
          <w:vertAlign w:val="superscript"/>
          <w:bCs/>
          <w:b/>
        </w:rPr>
        <w:t xml:space="preserve">35</w:t>
      </w:r>
      <w:r>
        <w:t xml:space="preserve"> </w:t>
      </w:r>
      <w:r>
        <w:t xml:space="preserve">jest starożytny i niezależny od wszystkich innych linii przekazu. Jeśli</w:t>
      </w:r>
      <w:r>
        <w:t xml:space="preserve"> </w:t>
      </w:r>
      <w:r>
        <w:rPr>
          <w:bCs/>
          <w:b/>
        </w:rPr>
        <w:t xml:space="preserve">f</w:t>
      </w:r>
      <w:r>
        <w:rPr>
          <w:vertAlign w:val="superscript"/>
          <w:bCs/>
          <w:b/>
        </w:rPr>
        <w:t xml:space="preserve">35</w:t>
      </w:r>
      <w:r>
        <w:t xml:space="preserve"> </w:t>
      </w:r>
      <w:r>
        <w:t xml:space="preserve">jest niezależna od wszystkich innych linii przekazu, musi sięgać Autografów. Jakie inne rozsądne wyjaśnienie istnieje? Jeśli ktoś ma odmienne wyjaśnienie, które lepiej niż moje (lub równie dobrze) tłumaczy dowody, chciałbym je zobaczyć.</w:t>
      </w:r>
      <w:r>
        <w:rPr>
          <w:rStyle w:val="FootnoteReference"/>
        </w:rPr>
        <w:footnoteReference w:id="341"/>
      </w:r>
    </w:p>
    <w:p>
      <w:pPr>
        <w:pStyle w:val="BodyText"/>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rPr>
          <w:u w:val="single"/>
        </w:rPr>
        <w:t xml:space="preserve">jest starożytny (a także niezależny)</w:t>
      </w:r>
      <w:r>
        <w:t xml:space="preserve">.</w:t>
      </w:r>
    </w:p>
    <w:p>
      <w:pPr>
        <w:pStyle w:val="BodyText"/>
      </w:pPr>
      <w:r>
        <w:t xml:space="preserve">Twierdzę, że wykazałem wyższość Rodziny 35 na podstawie</w:t>
      </w:r>
      <w:r>
        <w:t xml:space="preserve"> </w:t>
      </w:r>
      <w:r>
        <w:rPr>
          <w:u w:val="single"/>
        </w:rPr>
        <w:t xml:space="preserve">wielkości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(zobacz wyżej) oraz</w:t>
      </w:r>
      <w:r>
        <w:t xml:space="preserve"> </w:t>
      </w:r>
      <w:r>
        <w:rPr>
          <w:u w:val="single"/>
        </w:rPr>
        <w:t xml:space="preserve">zakresu</w:t>
      </w:r>
      <w:r>
        <w:t xml:space="preserve"> </w:t>
      </w:r>
      <w:r>
        <w:t xml:space="preserve">(wszystkie 27 ksiąg). Rzucam każdemu i wszystkim wyzwanie, aby uczynili to samo dla jakiejkolwiek innej linii przekazu!</w:t>
      </w:r>
    </w:p>
    <w:p>
      <w:pPr>
        <w:pStyle w:val="BodyText"/>
      </w:pPr>
      <w:r>
        <w:t xml:space="preserve">Jeśli zatem archetypalny tekst</w:t>
      </w:r>
      <w:r>
        <w:t xml:space="preserve"> </w:t>
      </w:r>
      <w:r>
        <w:rPr>
          <w:bCs/>
          <w:b/>
        </w:rPr>
        <w:t xml:space="preserve">f</w:t>
      </w:r>
      <w:r>
        <w:rPr>
          <w:vertAlign w:val="superscript"/>
          <w:bCs/>
          <w:b/>
        </w:rPr>
        <w:t xml:space="preserve">35</w:t>
      </w:r>
      <w:r>
        <w:t xml:space="preserve"> </w:t>
      </w:r>
      <w:r>
        <w:t xml:space="preserve">jest Autografem, spełniliśmy dwie spośród trzech możliwości Ehrmana dla każdego z siedmiu Listów Ogólnych. Utrzymuję, że w tym roku Pańskim rzeczywiście (nie teoretycznie) posiadamy precyzyjne oryginalne sformułowania Listu Jakuba, 1 Listu Piotra, 2 Listu Piotra, 1 Listu Jana, 2 Listu Jana, 3 Listu Jana i Listu Judy!! Co więcej, jestem przygotowany przedstawić tego samego rodzaju dowód dla każdej z 27 ksiąg tworzących nasz Nowy Testament. W konsekwencji utrzymuję, że w tym roku Pańskim rzeczywiście (nie teoretycznie) posiadamy precyzyjne oryginalne sformułowania całego Nowego Testamentu!!! Zostały one odtworzone w moim opublikowanym Tekście greckim,</w:t>
      </w:r>
      <w:r>
        <w:t xml:space="preserve"> </w:t>
      </w:r>
      <w:r>
        <w:rPr>
          <w:iCs/>
          <w:i/>
        </w:rPr>
        <w:t xml:space="preserve">The Greek New Testament According to Family 35</w:t>
      </w:r>
      <w:r>
        <w:t xml:space="preserve">.</w:t>
      </w:r>
    </w:p>
    <w:p>
      <w:pPr>
        <w:pStyle w:val="BodyText"/>
      </w:pPr>
      <w:r>
        <w:t xml:space="preserve">Argumentowałem wyżej, że zachowanie należy wykazywać księga po księdze, czy jednak nie byłoby interesujące, gdybyśmy mogli uczynić to samo dla całej części? Oczywiście już to uczyniliśmy — możliwość 2) Ehrmana, sformułowana ponownie, zachodzi dla całej części siedmiu ksiąg. Znalezienie jednego manuskryptu doskonałego w całej części siedmiu ksiąg byłoby nie tylko interesujące, lecz zdumiewające!</w:t>
      </w:r>
      <w:r>
        <w:rPr>
          <w:rStyle w:val="FootnoteReference"/>
        </w:rPr>
        <w:footnoteReference w:id="342"/>
      </w:r>
      <w:r>
        <w:t xml:space="preserve"> </w:t>
      </w:r>
      <w:r>
        <w:t xml:space="preserve">I ponownie taki mamy!! 2554 spełnia wymagania, podobnie jak egzemplarze 35 i 2723, a także praktycznie sam 2723. Jeszcze dwanaście lat temu nie śniłbym o czymś takim.</w:t>
      </w:r>
    </w:p>
    <w:p>
      <w:pPr>
        <w:pStyle w:val="BodyText"/>
      </w:pPr>
      <w:r>
        <w:t xml:space="preserve">Jeśli Bóg w sposób możliwy do wykazania zachował precyzyjne sformułowania tekstu przez dwa tysiąclecia, dość mocno sugeruje to, że przede wszystkim go natchnął — po co w przeciwnym razie się nim zajmować? Jeśli zaś zadał sobie tyle trudu, podejrzewam, że oczekuje od nas zwracania na niego ścisłej uwagi. Gdy staniemy przed Sprawiedliwym Sędzią — który jest również Stwórcą, Zbawicielem i Tym, który natchnął — zażąda On zdania sprawy na podstawie</w:t>
      </w:r>
      <w:r>
        <w:t xml:space="preserve"> </w:t>
      </w:r>
      <w:r>
        <w:rPr>
          <w:u w:val="single"/>
        </w:rPr>
        <w:t xml:space="preserve">obiektywnego autorytetu tego Tekstu</w:t>
      </w:r>
      <w:r>
        <w:t xml:space="preserve">.</w:t>
      </w:r>
    </w:p>
    <w:bookmarkEnd w:id="343"/>
    <w:bookmarkEnd w:id="344"/>
    <w:bookmarkStart w:id="498" w:name="część-iii-dalsze-rozważania"/>
    <w:p>
      <w:pPr>
        <w:pStyle w:val="Heading1"/>
      </w:pPr>
      <w:r>
        <w:t xml:space="preserve">CZĘŚĆ III: Dalsze rozważania</w:t>
      </w:r>
    </w:p>
    <w:bookmarkStart w:id="345" w:name="czy-f35-jest-starożytna"/>
    <w:p>
      <w:pPr>
        <w:pStyle w:val="Heading2"/>
      </w:pPr>
      <w:r>
        <w:t xml:space="preserve">Czy</w:t>
      </w:r>
      <w:r>
        <w:t xml:space="preserve"> </w:t>
      </w:r>
      <w:r>
        <w:rPr>
          <w:bCs/>
          <w:b/>
        </w:rPr>
        <w:t xml:space="preserve">f</w:t>
      </w:r>
      <w:r>
        <w:rPr>
          <w:vertAlign w:val="superscript"/>
          <w:bCs/>
          <w:b/>
        </w:rPr>
        <w:t xml:space="preserve">35</w:t>
      </w:r>
      <w:r>
        <w:t xml:space="preserve"> </w:t>
      </w:r>
      <w:r>
        <w:t xml:space="preserve">jest starożytna?</w:t>
      </w:r>
    </w:p>
    <w:p>
      <w:pPr>
        <w:pStyle w:val="FirstParagraph"/>
      </w:pPr>
      <w:r>
        <w:t xml:space="preserve">Otrzymałem informację zwrotną mniej więcej takiej treści: „Dobrze, przedstawione przez pana dowody wskazują, że</w:t>
      </w:r>
      <w:r>
        <w:t xml:space="preserve"> </w:t>
      </w:r>
      <w:r>
        <w:rPr>
          <w:bCs/>
          <w:b/>
        </w:rPr>
        <w:t xml:space="preserve">f</w:t>
      </w:r>
      <w:r>
        <w:rPr>
          <w:vertAlign w:val="superscript"/>
          <w:bCs/>
          <w:b/>
        </w:rPr>
        <w:t xml:space="preserve">35</w:t>
      </w:r>
      <w:r>
        <w:t xml:space="preserve"> </w:t>
      </w:r>
      <w:r>
        <w:t xml:space="preserve">jest niezależna, lecz nie dowodzą, że jest starożytna” (twierdzę jedno i drugie). Uważam, że punkt ten zasługuje na odrobinę „przeżucia”. Na przykład minuskuły 35, 2587 i 2723 są na ogół datowane na XI wiek, chociaż minuskuł 1897 jest na ogół datowany na XII wiek, skolacjonowałem go i muszę powiedzieć, że wygląda mi na starszy, równie stary jak pozostałe trzy, dlatego przypisuję go także do XI wieku. A co z ich pochodzeniem? 35 znajduje się obecnie w Paryżu, lecz został pozyskany na obszarze egejskim (18, również znajdujący się w Paryżu, został sporządzony w Konstantynopolu), 1897 znajduje się w Jerozolimie i przypuszczalnie został tam sporządzony, 2587 znajduje się w Watykanie i równie dobrze mógł zostać tam sporządzony, 2723 znajduje się w Trikali i bez wątpienia został tam sporządzony.</w:t>
      </w:r>
    </w:p>
    <w:p>
      <w:pPr>
        <w:pStyle w:val="BodyText"/>
      </w:pPr>
      <w:r>
        <w:t xml:space="preserve">Rozważę teraz ich wyniki w siedmiu Listach Ogólnych (korpusie o wystarczającej wielkości i różnorodności, aby wykluczyć rozsądne zakwestionowanie — dokonałem pełnego kolacjonowania wszystkich czterech manuskryptów w całym tym korpusie). O ile potrafię stwierdzić, egzemplarze 35 i 2723 były doskonałymi przedstawicielami domniemanego archetypu rodziny — ani jednego wariantu we wszystkich siedmiu księgach. Egzemplarz 1897 uczestniczy w grupie odłamowej (w obrębie rodziny) w trzech miejscach, bez dalszych wariantów. Egzemplarz 2587 uczestniczy w grupie odłamowej w sześciu miejscach, bez dalszych wariantów. Czterej mnisi, którzy sporządzili nasze cztery kopie z XI wieku, patrzyli więc każdy na doskonałego (praktycznie) przedstawiciela archetypalnego tekstu rodziny (</w:t>
      </w:r>
      <w:r>
        <w:rPr>
          <w:bCs/>
          <w:b/>
        </w:rPr>
        <w:t xml:space="preserve">f</w:t>
      </w:r>
      <w:r>
        <w:rPr>
          <w:vertAlign w:val="superscript"/>
          <w:bCs/>
          <w:b/>
        </w:rPr>
        <w:t xml:space="preserve">35</w:t>
      </w:r>
      <w:r>
        <w:t xml:space="preserve">). Jak stare były jednak te egzemplarze?</w:t>
      </w:r>
    </w:p>
    <w:p>
      <w:pPr>
        <w:pStyle w:val="BodyText"/>
      </w:pPr>
      <w:r>
        <w:t xml:space="preserve">Gdyby manuskrypt nie był w stałym lub regularnym użyciu, bez trudu przetrwałby stulecie lub więcej, nawet kilka. Czy greckie manuskrypty w Rzymie były w tamtym czasie zapewne często używane? Prawdopodobnie nie, egzemplarz 2587 mógł więc bez trudu być uncjałem. A Jerozolima? Szanse na częstsze używanie były tam prawdopodobnie niewiele większe niż w Rzymie. W Konstantynopolu (35?) i Trikali greka z pewnością nadal była używana. Czy jednak wiemy, w jakim stopniu chrześcijanie rzeczywiście czytali Pismo w tamtych latach? Sądzę, że możemy rozsądnie założyć, iż egzemplarze były co najmniej o stulecie starsze niż ich kopie. 1897 i 2587 przyłączają się jednak do grup odłamowych, patrzymy więc na pewną historię przekazu — między naszym egzemplarzem a archetypem musi znajdować się rodzic odłamu.</w:t>
      </w:r>
    </w:p>
    <w:p>
      <w:pPr>
        <w:pStyle w:val="BodyText"/>
      </w:pPr>
      <w:r>
        <w:t xml:space="preserve">Egzemplarze pochodziły więc przypuszczalnie najpóźniej z X wieku. Jeśli dopuścimy jedno pokolenie na powstanie odłamów, pokolenie to pochodziłoby najpóźniej z IX wieku, a archetyp najpóźniej z VIII. (Podałem absolutne minimum, lecz oczywiście mogła istnieć dowolna liczba dalszych pokoleń pośrednich, co umieszczałoby archetyp znacznie wcześniej). Jakie jednak są konsekwencje istnienia doskonałych przedstawicieli rodziny w X wieku w czterech różnych miejscach? Jak w X wieku mogły istnieć</w:t>
      </w:r>
      <w:r>
        <w:t xml:space="preserve"> </w:t>
      </w:r>
      <w:r>
        <w:rPr>
          <w:bCs/>
          <w:b/>
        </w:rPr>
        <w:t xml:space="preserve">doskonałe</w:t>
      </w:r>
      <w:r>
        <w:t xml:space="preserve"> </w:t>
      </w:r>
      <w:r>
        <w:t xml:space="preserve">kopie</w:t>
      </w:r>
      <w:r>
        <w:t xml:space="preserve"> </w:t>
      </w:r>
      <w:r>
        <w:rPr>
          <w:iCs/>
          <w:i/>
        </w:rPr>
        <w:t xml:space="preserve">czegokolwiek</w:t>
      </w:r>
      <w:r>
        <w:t xml:space="preserve">? Faktem jest, że w X wieku w różnych miejscach istniało czterech doskonałych (praktycznie) przedstawicieli archetypu</w:t>
      </w:r>
      <w:r>
        <w:t xml:space="preserve"> </w:t>
      </w:r>
      <w:r>
        <w:rPr>
          <w:bCs/>
          <w:b/>
        </w:rPr>
        <w:t xml:space="preserve">f</w:t>
      </w:r>
      <w:r>
        <w:rPr>
          <w:vertAlign w:val="superscript"/>
          <w:bCs/>
          <w:b/>
        </w:rPr>
        <w:t xml:space="preserve">35</w:t>
      </w:r>
      <w:r>
        <w:t xml:space="preserve">. Faktem jest również, że od archetypu dzieliło ich co najmniej jedno pokolenie pośrednie. Jak zatem możemy ich wyjaśnić?</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 Masa bizantyjska (</w:t>
      </w:r>
      <w:r>
        <w:rPr>
          <w:bCs/>
          <w:b/>
        </w:rPr>
        <w:t xml:space="preserve">K</w:t>
      </w:r>
      <w:r>
        <w:rPr>
          <w:vertAlign w:val="superscript"/>
          <w:bCs/>
          <w:b/>
        </w:rPr>
        <w:t xml:space="preserve">x</w:t>
      </w:r>
      <w:r>
        <w:t xml:space="preserve">) kontrolowała jednak co najmniej 60% strumienia przekazu (</w:t>
      </w:r>
      <w:r>
        <w:rPr>
          <w:bCs/>
          <w:b/>
        </w:rPr>
        <w:t xml:space="preserve">f</w:t>
      </w:r>
      <w:r>
        <w:rPr>
          <w:vertAlign w:val="superscript"/>
          <w:bCs/>
          <w:b/>
        </w:rPr>
        <w:t xml:space="preserve">35</w:t>
      </w:r>
      <w:r>
        <w:t xml:space="preserve"> </w:t>
      </w:r>
      <w:r>
        <w:t xml:space="preserve">= około 16%),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p>
    <w:p>
      <w:pPr>
        <w:pStyle w:val="BodyText"/>
      </w:pPr>
      <w:r>
        <w:t xml:space="preserve">Chociaż jednak wykazano, że</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t>
      </w:r>
      <w:r>
        <w:t xml:space="preserve">(masy bizantyjskiej), są one naprawdę bardzo zbliżone i muszą mieć wspólne źródło. (Powiedziałbym, że</w:t>
      </w:r>
      <w:r>
        <w:t xml:space="preserve"> </w:t>
      </w:r>
      <w:r>
        <w:rPr>
          <w:bCs/>
          <w:b/>
        </w:rPr>
        <w:t xml:space="preserve">K</w:t>
      </w:r>
      <w:r>
        <w:rPr>
          <w:vertAlign w:val="superscript"/>
          <w:bCs/>
          <w:b/>
        </w:rPr>
        <w:t xml:space="preserve">x</w:t>
      </w:r>
      <w:r>
        <w:t xml:space="preserve"> </w:t>
      </w:r>
      <w:r>
        <w:t xml:space="preserve">reprezentuje odejście od</w:t>
      </w:r>
      <w:r>
        <w:t xml:space="preserve"> </w:t>
      </w:r>
      <w:r>
        <w:rPr>
          <w:bCs/>
          <w:b/>
        </w:rPr>
        <w:t xml:space="preserve">f</w:t>
      </w:r>
      <w:r>
        <w:rPr>
          <w:vertAlign w:val="superscript"/>
          <w:bCs/>
          <w:b/>
        </w:rPr>
        <w:t xml:space="preserve">35</w:t>
      </w:r>
      <w:r>
        <w:t xml:space="preserve">, a zatem</w:t>
      </w:r>
      <w:r>
        <w:t xml:space="preserve"> </w:t>
      </w:r>
      <w:r>
        <w:rPr>
          <w:bCs/>
          <w:b/>
        </w:rPr>
        <w:t xml:space="preserve">f</w:t>
      </w:r>
      <w:r>
        <w:rPr>
          <w:vertAlign w:val="superscript"/>
          <w:bCs/>
          <w:b/>
        </w:rPr>
        <w:t xml:space="preserve">35</w:t>
      </w:r>
      <w:r>
        <w:t xml:space="preserve"> </w:t>
      </w:r>
      <w:r>
        <w:t xml:space="preserve">jest starsza). W Listach Ogólnych</w:t>
      </w:r>
      <w:r>
        <w:t xml:space="preserve"> </w:t>
      </w:r>
      <w:r>
        <w:rPr>
          <w:bCs/>
          <w:b/>
        </w:rPr>
        <w:t xml:space="preserve">f</w:t>
      </w:r>
      <w:r>
        <w:rPr>
          <w:vertAlign w:val="superscript"/>
          <w:bCs/>
          <w:b/>
        </w:rPr>
        <w:t xml:space="preserve">35</w:t>
      </w:r>
      <w:r>
        <w:t xml:space="preserve"> </w:t>
      </w:r>
      <w:r>
        <w:t xml:space="preserve">nie różni się zbytnio od Tekstu Większościowego H-F. Na przykład w Liście Jakuba</w:t>
      </w:r>
      <w:r>
        <w:t xml:space="preserve"> </w:t>
      </w:r>
      <w:r>
        <w:rPr>
          <w:bCs/>
          <w:b/>
        </w:rPr>
        <w:t xml:space="preserve">f</w:t>
      </w:r>
      <w:r>
        <w:rPr>
          <w:vertAlign w:val="superscript"/>
          <w:bCs/>
          <w:b/>
        </w:rPr>
        <w:t xml:space="preserve">35</w:t>
      </w:r>
      <w:r>
        <w:t xml:space="preserve"> </w:t>
      </w:r>
      <w:r>
        <w:t xml:space="preserve">różni się od H-F dziewiętnaście razy, z czego tylko dwa wpływają na znaczenie (nie w poważnym stopniu). Jeśli</w:t>
      </w:r>
      <w:r>
        <w:t xml:space="preserve"> </w:t>
      </w:r>
      <w:r>
        <w:rPr>
          <w:bCs/>
          <w:b/>
        </w:rPr>
        <w:t xml:space="preserve">f</w:t>
      </w:r>
      <w:r>
        <w:rPr>
          <w:vertAlign w:val="superscript"/>
          <w:bCs/>
          <w:b/>
        </w:rPr>
        <w:t xml:space="preserve">35</w:t>
      </w:r>
      <w:r>
        <w:t xml:space="preserve"> </w:t>
      </w:r>
      <w:r>
        <w:t xml:space="preserve">i</w:t>
      </w:r>
      <w:r>
        <w:t xml:space="preserve"> </w:t>
      </w:r>
      <w:r>
        <w:rPr>
          <w:bCs/>
          <w:b/>
        </w:rPr>
        <w:t xml:space="preserve">K</w:t>
      </w:r>
      <w:r>
        <w:rPr>
          <w:vertAlign w:val="superscript"/>
          <w:bCs/>
          <w:b/>
        </w:rPr>
        <w:t xml:space="preserve">x</w:t>
      </w:r>
      <w:r>
        <w:t xml:space="preserve"> </w:t>
      </w:r>
      <w:r>
        <w:t xml:space="preserve">mają wspólne źródło, lecz</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wówczas</w:t>
      </w:r>
      <w:r>
        <w:t xml:space="preserve"> </w:t>
      </w:r>
      <w:r>
        <w:rPr>
          <w:bCs/>
          <w:b/>
        </w:rPr>
        <w:t xml:space="preserve">f</w:t>
      </w:r>
      <w:r>
        <w:rPr>
          <w:vertAlign w:val="superscript"/>
          <w:bCs/>
          <w:b/>
        </w:rPr>
        <w:t xml:space="preserve">35</w:t>
      </w:r>
      <w:r>
        <w:t xml:space="preserve"> </w:t>
      </w:r>
      <w:r>
        <w:t xml:space="preserve">musi być co najmniej tak stara jak</w:t>
      </w:r>
      <w:r>
        <w:t xml:space="preserve"> </w:t>
      </w:r>
      <w:r>
        <w:rPr>
          <w:bCs/>
          <w:b/>
        </w:rPr>
        <w:t xml:space="preserve">K</w:t>
      </w:r>
      <w:r>
        <w:rPr>
          <w:vertAlign w:val="superscript"/>
          <w:bCs/>
          <w:b/>
        </w:rPr>
        <w:t xml:space="preserve">x</w:t>
      </w:r>
      <w:r>
        <w:t xml:space="preserve"> </w:t>
      </w:r>
      <w:r>
        <w:t xml:space="preserve">— Q.E.D. (</w:t>
      </w:r>
      <w:r>
        <w:rPr>
          <w:iCs/>
          <w:i/>
        </w:rPr>
        <w:t xml:space="preserve">quod erat demonstrandum</w:t>
      </w:r>
      <w:r>
        <w:t xml:space="preserve"> </w:t>
      </w:r>
      <w:r>
        <w:t xml:space="preserve">dla tych, którzy czytają po łacinie, „czego należało dowieść” dla pozostałych, a jeszcze prostszym angielskim: „punkt, którego należało dowieść, został dowiedziony”).</w:t>
      </w:r>
    </w:p>
    <w:p>
      <w:pPr>
        <w:pStyle w:val="BodyText"/>
      </w:pPr>
      <w:r>
        <w:t xml:space="preserve">Co więcej, jeśli</w:t>
      </w:r>
      <w:r>
        <w:t xml:space="preserve"> </w:t>
      </w:r>
      <w:r>
        <w:rPr>
          <w:bCs/>
          <w:b/>
        </w:rPr>
        <w:t xml:space="preserve">f</w:t>
      </w:r>
      <w:r>
        <w:rPr>
          <w:vertAlign w:val="superscript"/>
          <w:bCs/>
          <w:b/>
        </w:rPr>
        <w:t xml:space="preserve">35</w:t>
      </w:r>
      <w:r>
        <w:t xml:space="preserve"> </w:t>
      </w:r>
      <w:r>
        <w:t xml:space="preserve">jest niezależna od wszystkich innych znanych linii przekazu, musi sięgać Autografów. Jeśli została stworzona z istniejących materiałów w którymś punkcie linii, jest od tych materiałów zależna i powinno być możliwe wykazanie tej zależności. O ile mi wiadomo, żadnej takiej zależności nie wykazano, a w takim zakresie, w jakim przeanalizowałem dowody, nie można jej wykazać.</w:t>
      </w:r>
    </w:p>
    <w:bookmarkEnd w:id="345"/>
    <w:bookmarkStart w:id="348" w:name="znaczenie-obiektywnych-dowodów"/>
    <w:p>
      <w:pPr>
        <w:pStyle w:val="Heading2"/>
      </w:pPr>
      <w:r>
        <w:t xml:space="preserve">Znaczenie obiektywnych dowodów</w:t>
      </w:r>
    </w:p>
    <w:p>
      <w:pPr>
        <w:pStyle w:val="FirstParagraph"/>
      </w:pPr>
      <w:r>
        <w:t xml:space="preserve">Nawet gdy manuskrypty są kolacjonowane przez osoby o negatywnym nastawieniu (nastawieniu przeciwko manuskryptom), jeśli dokładnie zapiszą kolacjonowanie, rezultat jest wartościowy. Manuskrypty tekstu ciągłego są głównymi świadkami Tekstu Nowego Testamentu. Aby móc prześledzić historię przekazu poszczególnych odczytów, potrzebujemy pełnych kolacjonowań dużej liczby zachowanych manuskryptów, im więcej, tym lepiej. Chcę zilustrować to, co stwierdziłem, kolacjonowaniami</w:t>
      </w:r>
      <w:r>
        <w:t xml:space="preserve"> </w:t>
      </w:r>
      <w:r>
        <w:rPr>
          <w:iCs/>
          <w:i/>
        </w:rPr>
        <w:t xml:space="preserve">Editio Critica Maior</w:t>
      </w:r>
      <w:r>
        <w:t xml:space="preserve"> </w:t>
      </w:r>
      <w:r>
        <w:t xml:space="preserve">(</w:t>
      </w:r>
      <w:r>
        <w:rPr>
          <w:iCs/>
          <w:i/>
        </w:rPr>
        <w:t xml:space="preserve">ECM</w:t>
      </w:r>
      <w:r>
        <w:t xml:space="preserve">) dla Listu Jakuba i 1 Listu Jana. Dokonano ich, gdy Kurt Aland nadal kierował Instytutem Badań Tekstu Nowego Testamentu w Münster (</w:t>
      </w:r>
      <w:r>
        <w:rPr>
          <w:iCs/>
          <w:i/>
        </w:rPr>
        <w:t xml:space="preserve">INTF</w:t>
      </w:r>
      <w:r>
        <w:t xml:space="preserve">), a praca odzwierciedla jego nastawienie przeciwko manuskryptom bizantyjskim. (Do czasu opublikowania</w:t>
      </w:r>
      <w:r>
        <w:t xml:space="preserve"> </w:t>
      </w:r>
      <w:r>
        <w:rPr>
          <w:iCs/>
          <w:i/>
        </w:rPr>
        <w:t xml:space="preserve">ECM</w:t>
      </w:r>
      <w:r>
        <w:t xml:space="preserve"> </w:t>
      </w:r>
      <w:r>
        <w:t xml:space="preserve">Listów Ogólnych w 1997 roku Kurt zmarł, ponieważ jednak jego żona Barbara zastąpiła go na stanowisku dyrektora Instytutu,</w:t>
      </w:r>
      <w:r>
        <w:t xml:space="preserve"> </w:t>
      </w:r>
      <w:r>
        <w:rPr>
          <w:iCs/>
          <w:i/>
        </w:rPr>
        <w:t xml:space="preserve">INTF</w:t>
      </w:r>
      <w:r>
        <w:t xml:space="preserve">, orientacja teoretyczna nie uległa zmianie).</w:t>
      </w:r>
      <w:r>
        <w:rPr>
          <w:rStyle w:val="FootnoteReference"/>
        </w:rPr>
        <w:footnoteReference w:id="346"/>
      </w:r>
    </w:p>
    <w:p>
      <w:pPr>
        <w:pStyle w:val="BodyText"/>
      </w:pPr>
      <w:r>
        <w:t xml:space="preserve">Do maja 1988 roku Kurt i Barbara Aland wykluczyli „ponad 1175 minuskułów” (s. 138) jako wykazujących „czysto lub przeważnie bizantyjski tekst”. Następnie mówią: „wszystkie są nieistotne dla krytyki tekstu, przynajmniej dla ustalenia oryginalnej formy tekstu i jego rozwoju we wczesnych wiekach” (s. 142). (</w:t>
      </w:r>
      <w:r>
        <w:rPr>
          <w:iCs/>
          <w:i/>
        </w:rPr>
        <w:t xml:space="preserve">The Text of the New Testament</w:t>
      </w:r>
      <w:r>
        <w:t xml:space="preserve">, Eerdmans, 1989). To, że nastawienie to przeważało w</w:t>
      </w:r>
      <w:r>
        <w:t xml:space="preserve"> </w:t>
      </w:r>
      <w:r>
        <w:rPr>
          <w:iCs/>
          <w:i/>
        </w:rPr>
        <w:t xml:space="preserve">Editio Critica Maior</w:t>
      </w:r>
      <w:r>
        <w:t xml:space="preserve"> </w:t>
      </w:r>
      <w:r>
        <w:t xml:space="preserve">dla Listu Jakuba, jest zupełnie jasne. Bez przeprosin redaktorzy wykluczyli około 340 spośród 522 ocenianych manuskryptów, ponieważ „poświadczają Tekst Większościowy w co najmniej 90% miejsc testowych” (s. 12). „Miejsca testowe” odnoszą się do 98 zestawów wariantów zaczerpniętych z siedmiu Listów Ogólnych i przedstawionych w</w:t>
      </w:r>
      <w:r>
        <w:t xml:space="preserve"> </w:t>
      </w:r>
      <w:r>
        <w:rPr>
          <w:iCs/>
          <w:i/>
        </w:rPr>
        <w:t xml:space="preserve">Text und Textwert</w:t>
      </w:r>
      <w:r>
        <w:t xml:space="preserve">. Uwzględnili jednak GA 18 i 35, aby reprezentowały</w:t>
      </w:r>
      <w:r>
        <w:t xml:space="preserve"> </w:t>
      </w:r>
      <w:r>
        <w:rPr>
          <w:bCs/>
          <w:b/>
        </w:rPr>
        <w:t xml:space="preserve">K</w:t>
      </w:r>
      <w:r>
        <w:rPr>
          <w:vertAlign w:val="superscript"/>
          <w:bCs/>
          <w:b/>
        </w:rPr>
        <w:t xml:space="preserve">r</w:t>
      </w:r>
      <w:r>
        <w:t xml:space="preserve"> </w:t>
      </w:r>
      <w:r>
        <w:t xml:space="preserve">Sodena (moją Rodzinę 35), oraz GA 1, 424, 607, 617 i 2423, aby reprezentowały rdzeń wykluczonych manuskryptów bizantyjskich. Poza tymi siedmioma klasyfikują kolejnych 70 (spośród uwzględnionych manuskryptów) jako bizantyjskie, choć znajdujące się poniżej progu 90%.</w:t>
      </w:r>
    </w:p>
    <w:p>
      <w:pPr>
        <w:pStyle w:val="BodyText"/>
      </w:pPr>
      <w:r>
        <w:t xml:space="preserve">Dlaczego więc mówię, że ich praca jest wartościowa pomimo ich nastawienia? Spieszę z wyjaśnieniem. W aparacie krytycznym mojego</w:t>
      </w:r>
      <w:r>
        <w:t xml:space="preserve"> </w:t>
      </w:r>
      <w:r>
        <w:rPr>
          <w:iCs/>
          <w:i/>
        </w:rPr>
        <w:t xml:space="preserve">The Greek New Testament According to Family 35</w:t>
      </w:r>
      <w:r>
        <w:t xml:space="preserve"> </w:t>
      </w:r>
      <w:r>
        <w:t xml:space="preserve">wymieniam osiem odczytów</w:t>
      </w:r>
      <w:r>
        <w:t xml:space="preserve"> </w:t>
      </w:r>
      <w:r>
        <w:rPr>
          <w:bCs/>
          <w:b/>
        </w:rPr>
        <w:t xml:space="preserve">f</w:t>
      </w:r>
      <w:r>
        <w:rPr>
          <w:vertAlign w:val="superscript"/>
          <w:bCs/>
          <w:b/>
        </w:rPr>
        <w:t xml:space="preserve">35</w:t>
      </w:r>
      <w:r>
        <w:t xml:space="preserve"> </w:t>
      </w:r>
      <w:r>
        <w:t xml:space="preserve">(dla Listu Jakuba) jako mających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Rodzina 35 reprezentuje około 16% ogółu zachowanych manuskryptów, lecz prawie nigdy nie jest całkowicie sama. Jak jednak pokazano niżej, rozproszenie innych manuskryptów prawie nigdy nie jest takie samo. Pytam więc:</w:t>
      </w:r>
      <w:r>
        <w:t xml:space="preserve"> </w:t>
      </w:r>
      <w:r>
        <w:rPr>
          <w:bCs/>
          <w:b/>
        </w:rPr>
        <w:t xml:space="preserve">Jak należy wyjaśnić to zróżnicowane rozproszenie?</w:t>
      </w:r>
      <w:r>
        <w:t xml:space="preserve"> </w:t>
      </w:r>
      <w:r>
        <w:t xml:space="preserve">W poniższej tabeli osiem odczytów tworzy pierwszy wiersz, a pod każdym odczytem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center"/>
            </w:pPr>
            <w:r>
              <w:t xml:space="preserve">3,4</w:t>
            </w:r>
            <w:r>
              <w:t xml:space="preserve">ιθυνοντος</w:t>
            </w:r>
          </w:p>
        </w:tc>
        <w:tc>
          <w:tcPr/>
          <w:p>
            <w:pPr>
              <w:pStyle w:val="Compact"/>
              <w:jc w:val="center"/>
            </w:pPr>
            <w:r>
              <w:t xml:space="preserve">1,23</w:t>
            </w:r>
            <w:r>
              <w:t xml:space="preserve">νομου</w:t>
            </w:r>
          </w:p>
        </w:tc>
        <w:tc>
          <w:tcPr/>
          <w:p>
            <w:pPr>
              <w:pStyle w:val="Compact"/>
              <w:jc w:val="center"/>
            </w:pPr>
            <w:r>
              <w:t xml:space="preserve">4,14</w:t>
            </w:r>
            <w:r>
              <w:t xml:space="preserve">ημων</w:t>
            </w:r>
          </w:p>
        </w:tc>
        <w:tc>
          <w:tcPr/>
          <w:p>
            <w:pPr>
              <w:pStyle w:val="Compact"/>
              <w:jc w:val="center"/>
            </w:pPr>
            <w:r>
              <w:t xml:space="preserve">4,14</w:t>
            </w:r>
            <w:r>
              <w:t xml:space="preserve">επειτα</w:t>
            </w:r>
          </w:p>
        </w:tc>
        <w:tc>
          <w:tcPr/>
          <w:p>
            <w:pPr>
              <w:pStyle w:val="Compact"/>
              <w:jc w:val="center"/>
            </w:pPr>
            <w:r>
              <w:t xml:space="preserve">3,2</w:t>
            </w:r>
            <w:r>
              <w:t xml:space="preserve">δυναμενος</w:t>
            </w:r>
          </w:p>
        </w:tc>
        <w:tc>
          <w:tcPr/>
          <w:p>
            <w:pPr>
              <w:pStyle w:val="Compact"/>
              <w:jc w:val="center"/>
            </w:pPr>
            <w:r>
              <w:t xml:space="preserve">2,3</w:t>
            </w:r>
            <w:r>
              <w:t xml:space="preserve">λαμπ. εσθ.</w:t>
            </w:r>
          </w:p>
        </w:tc>
        <w:tc>
          <w:tcPr/>
          <w:p>
            <w:pPr>
              <w:pStyle w:val="Compact"/>
              <w:jc w:val="center"/>
            </w:pPr>
            <w:r>
              <w:t xml:space="preserve">4,11</w:t>
            </w:r>
            <w:r>
              <w:t xml:space="preserve">γαρ</w:t>
            </w:r>
          </w:p>
        </w:tc>
        <w:tc>
          <w:tcPr/>
          <w:p>
            <w:pPr>
              <w:pStyle w:val="Compact"/>
              <w:jc w:val="center"/>
            </w:pPr>
            <w:r>
              <w:t xml:space="preserve">2,4</w:t>
            </w:r>
            <w:r>
              <w:t xml:space="preserve">ου</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A</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C</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81</w:t>
            </w:r>
          </w:p>
        </w:tc>
      </w:tr>
      <w:tr>
        <w:tc>
          <w:tcPr/>
          <w:p>
            <w:pPr>
              <w:pStyle w:val="Compact"/>
              <w:jc w:val="center"/>
            </w:pPr>
            <w:r>
              <w:t xml:space="preserve">---</w:t>
            </w:r>
          </w:p>
        </w:tc>
        <w:tc>
          <w:tcPr/>
          <w:p>
            <w:pPr>
              <w:pStyle w:val="Compact"/>
              <w:jc w:val="center"/>
            </w:pPr>
            <w:r>
              <w:t xml:space="preserve">88</w:t>
            </w:r>
          </w:p>
        </w:tc>
        <w:tc>
          <w:tcPr/>
          <w:p>
            <w:pPr>
              <w:pStyle w:val="Compact"/>
              <w:jc w:val="center"/>
            </w:pPr>
            <w:r>
              <w:t xml:space="preserve">88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254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321*</w:t>
            </w:r>
          </w:p>
        </w:tc>
        <w:tc>
          <w:tcPr/>
          <w:p>
            <w:pPr>
              <w:pStyle w:val="Compact"/>
              <w:jc w:val="center"/>
            </w:pPr>
            <w:r>
              <w:t xml:space="preserve">321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436</w:t>
            </w:r>
          </w:p>
        </w:tc>
      </w:tr>
      <w:tr>
        <w:tc>
          <w:tcPr/>
          <w:p>
            <w:pPr>
              <w:pStyle w:val="Compact"/>
              <w:jc w:val="center"/>
            </w:pPr>
            <w:r>
              <w:t xml:space="preserve">442*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442</w:t>
            </w:r>
          </w:p>
        </w:tc>
      </w:tr>
      <w:tr>
        <w:tc>
          <w:tcPr/>
          <w:p>
            <w:pPr>
              <w:pStyle w:val="Compact"/>
              <w:jc w:val="center"/>
            </w:pPr>
            <w:r>
              <w:t xml:space="preserve">---</w:t>
            </w:r>
          </w:p>
        </w:tc>
        <w:tc>
          <w:tcPr/>
          <w:p>
            <w:pPr>
              <w:pStyle w:val="Compact"/>
              <w:jc w:val="center"/>
            </w:pPr>
            <w:r>
              <w:t xml:space="preserve">459*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467*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r>
      <w:tr>
        <w:tc>
          <w:tcPr/>
          <w:p>
            <w:pPr>
              <w:pStyle w:val="Compact"/>
              <w:jc w:val="center"/>
            </w:pPr>
            <w:r>
              <w:t xml:space="preserve">---</w:t>
            </w:r>
          </w:p>
        </w:tc>
        <w:tc>
          <w:tcPr/>
          <w:p>
            <w:pPr>
              <w:pStyle w:val="Compact"/>
              <w:jc w:val="center"/>
            </w:pPr>
            <w:r>
              <w:rPr>
                <w:u w:val="single"/>
              </w:rPr>
              <w:t xml:space="preserve">607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621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720*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876*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915</w:t>
            </w:r>
          </w:p>
        </w:tc>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999*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1067</w:t>
            </w:r>
          </w:p>
        </w:tc>
      </w:tr>
      <w:tr>
        <w:tc>
          <w:tcPr/>
          <w:p>
            <w:pPr>
              <w:pStyle w:val="Compact"/>
              <w:jc w:val="center"/>
            </w:pPr>
            <w:r>
              <w:t xml:space="preserve">---</w:t>
            </w:r>
          </w:p>
        </w:tc>
        <w:tc>
          <w:tcPr/>
          <w:p>
            <w:pPr>
              <w:pStyle w:val="Compact"/>
              <w:jc w:val="center"/>
            </w:pPr>
            <w:r>
              <w:t xml:space="preserve">1127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1175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1243</w:t>
            </w:r>
          </w:p>
        </w:tc>
      </w:tr>
      <w:tr>
        <w:tc>
          <w:tcPr/>
          <w:p>
            <w:pPr>
              <w:pStyle w:val="Compact"/>
              <w:jc w:val="center"/>
            </w:pPr>
            <w:r>
              <w:t xml:space="preserve">1270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1292</w:t>
            </w:r>
          </w:p>
        </w:tc>
        <w:tc>
          <w:tcPr/>
          <w:p>
            <w:pPr>
              <w:pStyle w:val="Compact"/>
              <w:jc w:val="center"/>
            </w:pPr>
            <w:r>
              <w:t xml:space="preserve">1292</w:t>
            </w:r>
          </w:p>
        </w:tc>
      </w:tr>
      <w:tr>
        <w:tc>
          <w:tcPr/>
          <w:p>
            <w:pPr>
              <w:pStyle w:val="Compact"/>
              <w:jc w:val="center"/>
            </w:pPr>
            <w:r>
              <w:t xml:space="preserve">1297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1367*</w:t>
            </w:r>
          </w:p>
        </w:tc>
        <w:tc>
          <w:tcPr/>
          <w:p>
            <w:pPr>
              <w:pStyle w:val="Compact"/>
              <w:jc w:val="center"/>
            </w:pPr>
            <w:r>
              <w:t xml:space="preserve">1367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r>
      <w:tr>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1524</w:t>
            </w:r>
          </w:p>
        </w:tc>
      </w:tr>
      <w:tr>
        <w:tc>
          <w:tcPr/>
          <w:p>
            <w:pPr>
              <w:pStyle w:val="Compact"/>
              <w:jc w:val="center"/>
            </w:pPr>
            <w:r>
              <w:t xml:space="preserve">1595*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1611</w:t>
            </w:r>
          </w:p>
        </w:tc>
        <w:tc>
          <w:tcPr/>
          <w:p>
            <w:pPr>
              <w:pStyle w:val="Compact"/>
              <w:jc w:val="center"/>
            </w:pPr>
            <w:r>
              <w:t xml:space="preserve">1611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1678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1729*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1751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1765*</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1799</w:t>
            </w:r>
          </w:p>
        </w:tc>
        <w:tc>
          <w:tcPr/>
          <w:p>
            <w:pPr>
              <w:pStyle w:val="Compact"/>
              <w:jc w:val="center"/>
            </w:pPr>
            <w:r>
              <w:t xml:space="preserve">1799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1838*</w:t>
            </w:r>
          </w:p>
        </w:tc>
        <w:tc>
          <w:tcPr/>
          <w:p>
            <w:pPr>
              <w:pStyle w:val="Compact"/>
              <w:jc w:val="center"/>
            </w:pPr>
            <w:r>
              <w:t xml:space="preserve">1838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1874*</w:t>
            </w:r>
          </w:p>
        </w:tc>
      </w:tr>
      <w:tr>
        <w:tc>
          <w:tcPr/>
          <w:p>
            <w:pPr>
              <w:pStyle w:val="Compact"/>
              <w:jc w:val="center"/>
            </w:pPr>
            <w:r>
              <w:t xml:space="preserve">---</w:t>
            </w:r>
          </w:p>
        </w:tc>
        <w:tc>
          <w:tcPr/>
          <w:p>
            <w:pPr>
              <w:pStyle w:val="Compact"/>
              <w:jc w:val="center"/>
            </w:pPr>
            <w:r>
              <w:t xml:space="preserve">1890</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1893*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2080*</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2080</w:t>
            </w:r>
          </w:p>
        </w:tc>
        <w:tc>
          <w:tcPr/>
          <w:p>
            <w:pPr>
              <w:pStyle w:val="Compact"/>
              <w:jc w:val="center"/>
            </w:pPr>
            <w:r>
              <w:t xml:space="preserve">2080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r>
      <w:tr>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2298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2344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2374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2494*</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2774*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2805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2818*</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18</w:t>
            </w:r>
          </w:p>
        </w:tc>
        <w:tc>
          <w:tcPr/>
          <w:p>
            <w:pPr>
              <w:pStyle w:val="Compact"/>
              <w:jc w:val="center"/>
            </w:pPr>
            <w:r>
              <w:rPr>
                <w:bCs/>
                <w:b/>
              </w:rPr>
              <w:t xml:space="preserve">19</w:t>
            </w:r>
          </w:p>
        </w:tc>
        <w:tc>
          <w:tcPr/>
          <w:p>
            <w:pPr>
              <w:pStyle w:val="Compact"/>
              <w:jc w:val="center"/>
            </w:pPr>
            <w:r>
              <w:rPr>
                <w:bCs/>
                <w:b/>
              </w:rPr>
              <w:t xml:space="preserve">23</w:t>
            </w:r>
          </w:p>
        </w:tc>
        <w:tc>
          <w:tcPr/>
          <w:p>
            <w:pPr>
              <w:pStyle w:val="Compact"/>
              <w:jc w:val="center"/>
            </w:pPr>
            <w:r>
              <w:rPr>
                <w:bCs/>
                <w:b/>
              </w:rPr>
              <w:t xml:space="preserve">28</w:t>
            </w:r>
          </w:p>
        </w:tc>
        <w:tc>
          <w:tcPr/>
          <w:p>
            <w:pPr>
              <w:pStyle w:val="Compact"/>
              <w:jc w:val="center"/>
            </w:pPr>
            <w:r>
              <w:rPr>
                <w:bCs/>
                <w:b/>
              </w:rPr>
              <w:t xml:space="preserve">29</w:t>
            </w:r>
          </w:p>
        </w:tc>
        <w:tc>
          <w:tcPr/>
          <w:p>
            <w:pPr>
              <w:pStyle w:val="Compact"/>
              <w:jc w:val="center"/>
            </w:pPr>
            <w:r>
              <w:rPr>
                <w:bCs/>
                <w:b/>
              </w:rPr>
              <w:t xml:space="preserve">44</w:t>
            </w:r>
          </w:p>
        </w:tc>
      </w:tr>
    </w:tbl>
    <w:p>
      <w:pPr>
        <w:pStyle w:val="BodyText"/>
      </w:pPr>
      <w:r>
        <w:t xml:space="preserve">Czego możemy się zatem dowiedzieć z tych dowodów? Po pierwsze, jedyny podkreślony manuskrypt występujący w tabeli, 607, jest jedynym spośród pięciu głównych przedstawicieli, który się w niej pojawia, i czyni to tylko raz. Jasno pokazuje to, że</w:t>
      </w:r>
      <w:r>
        <w:t xml:space="preserve"> </w:t>
      </w:r>
      <w:r>
        <w:rPr>
          <w:bCs/>
          <w:b/>
        </w:rPr>
        <w:t xml:space="preserve">f</w:t>
      </w:r>
      <w:r>
        <w:rPr>
          <w:vertAlign w:val="superscript"/>
          <w:bCs/>
          <w:b/>
        </w:rPr>
        <w:t xml:space="preserve">35</w:t>
      </w:r>
      <w:r>
        <w:t xml:space="preserve"> </w:t>
      </w:r>
      <w:r>
        <w:t xml:space="preserve">różni się od masy bizantyjskiej, czyli</w:t>
      </w:r>
      <w:r>
        <w:t xml:space="preserve"> </w:t>
      </w:r>
      <w:r>
        <w:rPr>
          <w:bCs/>
          <w:b/>
        </w:rPr>
        <w:t xml:space="preserve">K</w:t>
      </w:r>
      <w:r>
        <w:rPr>
          <w:vertAlign w:val="superscript"/>
          <w:bCs/>
          <w:b/>
        </w:rPr>
        <w:t xml:space="preserve">x</w:t>
      </w:r>
      <w:r>
        <w:t xml:space="preserve"> </w:t>
      </w:r>
      <w:r>
        <w:t xml:space="preserve">Sodena. Ponadto istnieją 43 manuskrypty, które samotnie poświadczają odczyt</w:t>
      </w:r>
      <w:r>
        <w:t xml:space="preserve"> </w:t>
      </w:r>
      <w:r>
        <w:rPr>
          <w:bCs/>
          <w:b/>
        </w:rPr>
        <w:t xml:space="preserve">f</w:t>
      </w:r>
      <w:r>
        <w:rPr>
          <w:vertAlign w:val="superscript"/>
          <w:bCs/>
          <w:b/>
        </w:rPr>
        <w:t xml:space="preserve">35</w:t>
      </w:r>
      <w:r>
        <w:t xml:space="preserve">: A, C, 81, 104</w:t>
      </w:r>
      <w:r>
        <w:rPr>
          <w:iCs/>
          <w:i/>
        </w:rPr>
        <w:t xml:space="preserve">, 436, 459</w:t>
      </w:r>
      <w:r>
        <w:t xml:space="preserve">, 467</w:t>
      </w:r>
      <w:r>
        <w:rPr>
          <w:iCs/>
          <w:i/>
        </w:rPr>
        <w:t xml:space="preserve">, 607, 720</w:t>
      </w:r>
      <w:r>
        <w:t xml:space="preserve">, 876</w:t>
      </w:r>
      <w:r>
        <w:rPr>
          <w:iCs/>
          <w:i/>
        </w:rPr>
        <w:t xml:space="preserve">, 945, 999</w:t>
      </w:r>
      <w:r>
        <w:t xml:space="preserve">, 1067, 1127, 1175, 1241, 1243, 1270, 1297, 1501</w:t>
      </w:r>
      <w:r>
        <w:rPr>
          <w:iCs/>
          <w:i/>
        </w:rPr>
        <w:t xml:space="preserve">, 1595</w:t>
      </w:r>
      <w:r>
        <w:t xml:space="preserve">, 1598, 1678, 1729</w:t>
      </w:r>
      <w:r>
        <w:rPr>
          <w:iCs/>
          <w:i/>
        </w:rPr>
        <w:t xml:space="preserve">, 1735, 1739, 1751, 1765</w:t>
      </w:r>
      <w:r>
        <w:t xml:space="preserve">, 1827</w:t>
      </w:r>
      <w:r>
        <w:rPr>
          <w:iCs/>
          <w:i/>
        </w:rPr>
        <w:t xml:space="preserve">, 1832</w:t>
      </w:r>
      <w:r>
        <w:t xml:space="preserve">, 1848</w:t>
      </w:r>
      <w:r>
        <w:rPr>
          <w:iCs/>
          <w:i/>
        </w:rPr>
        <w:t xml:space="preserve">, 1874</w:t>
      </w:r>
      <w:r>
        <w:t xml:space="preserve">, 1893</w:t>
      </w:r>
      <w:r>
        <w:rPr>
          <w:iCs/>
          <w:i/>
        </w:rPr>
        <w:t xml:space="preserve">, 2180</w:t>
      </w:r>
      <w:r>
        <w:t xml:space="preserve">, 2298, 2344, 2492, 2494</w:t>
      </w:r>
      <w:r>
        <w:rPr>
          <w:iCs/>
          <w:i/>
        </w:rPr>
        <w:t xml:space="preserve">, 2523, 2541, 2674</w:t>
      </w:r>
      <w:r>
        <w:t xml:space="preserve">, 2774</w:t>
      </w:r>
      <w:r>
        <w:rPr>
          <w:iCs/>
          <w:i/>
        </w:rPr>
        <w:t xml:space="preserve">, 2818</w:t>
      </w:r>
      <w:r>
        <w:t xml:space="preserve">. Dwadzieścia jeden z nich, czyli praktycznie połowa, sklasyfikowano jako bizantyjskie, ponieważ jednak pojawiają się tylko raz, są najwyraźniej niezależne od masy bizantyjskiej. (W rzeczywistości wszystkie pojawiające się tutaj manuskrypty są niezależne od masy bizantyjskiej, z wyjątkiem 607). Mamy więc 43 niezależnych świadków odczytów</w:t>
      </w:r>
      <w:r>
        <w:t xml:space="preserve"> </w:t>
      </w:r>
      <w:r>
        <w:rPr>
          <w:bCs/>
          <w:b/>
        </w:rPr>
        <w:t xml:space="preserve">f</w:t>
      </w:r>
      <w:r>
        <w:rPr>
          <w:vertAlign w:val="superscript"/>
          <w:bCs/>
          <w:b/>
        </w:rPr>
        <w:t xml:space="preserve">35</w:t>
      </w:r>
      <w:r>
        <w:t xml:space="preserve">, którzy</w:t>
      </w:r>
      <w:r>
        <w:t xml:space="preserve"> </w:t>
      </w:r>
      <w:r>
        <w:rPr>
          <w:bCs/>
          <w:b/>
        </w:rPr>
        <w:t xml:space="preserve">z pewnością nie należą do tej rodziny</w:t>
      </w:r>
      <w:r>
        <w:t xml:space="preserve">.</w:t>
      </w:r>
    </w:p>
    <w:p>
      <w:pPr>
        <w:pStyle w:val="BodyText"/>
      </w:pPr>
      <w:r>
        <w:t xml:space="preserve">Dwanaście manuskryptów pojawia się tylko dwukrotnie, lecz nie istnieje żaden wzorzec ani pokrywanie się, z wyjątkiem trzech o takim samym rozkładzie, mamy więc kolejnych dziesięciu niezależnych świadków. Te, które pojawiają się więcej niż dwukrotnie, na ogół odzwierciedlają pewną zależność, lecz mimo to dodają kolejnych dziesięciu niezależnych świadków. Mówiąc „niezależnych”, mam na myśli w ich pokoleniu. W miarę cofania się przez stulecia przypuszczalnie pojawi się grupowanie. Czy jednak 63 niezależnych świadków w swoim pokoleniu zmniejszyłoby się o ponad połowę do czasu, gdy cofniemy się do V wieku? Bardzo w to wątpię, oczekiwałbym co najmniej 30 linii</w:t>
      </w:r>
      <w:r>
        <w:rPr>
          <w:rStyle w:val="FootnoteReference"/>
        </w:rPr>
        <w:footnoteReference w:id="347"/>
      </w:r>
      <w:r>
        <w:t xml:space="preserve"> </w:t>
      </w:r>
      <w:r>
        <w:t xml:space="preserve">nadal w V wieku. Czy w ciągu dwóch stuleci zmniejszyłyby się o ponad połowę? Jeśli nie, w III wieku nadal mielibyśmy 15 linii, co oznaczałoby, że</w:t>
      </w:r>
      <w:r>
        <w:t xml:space="preserve"> </w:t>
      </w:r>
      <w:r>
        <w:rPr>
          <w:bCs/>
          <w:b/>
        </w:rPr>
        <w:t xml:space="preserve">f</w:t>
      </w:r>
      <w:r>
        <w:rPr>
          <w:vertAlign w:val="superscript"/>
          <w:bCs/>
          <w:b/>
        </w:rPr>
        <w:t xml:space="preserve">35</w:t>
      </w:r>
      <w:r>
        <w:t xml:space="preserve"> </w:t>
      </w:r>
      <w:r>
        <w:t xml:space="preserve">jest bardzo wczesna.</w:t>
      </w:r>
    </w:p>
    <w:p>
      <w:pPr>
        <w:pStyle w:val="BodyText"/>
      </w:pPr>
      <w:r>
        <w:t xml:space="preserve">Wracając do tabeli, zauważam, że ιθυνοντος i νομου mają tylko jeden wspólny manuskrypt spośród 23, lecz ιθυνοντος i ημων nie mają ani jednego wspólnego spośród 26! ιθυνοντος i επειτα mają tylko jeden wspólny spośród 26, ιθυνοντος i δυναμενος nie mają zaś ani jednego wspólnego spośród 31! νομου i ημων mają trzy wspólne spośród 31, νομου i επειτα mają dwa wspólne spośród 35, νομου i δυναμενος mają tylko dwa wspólne spośród 37. Mistrzem jest ου, mający 18 manuskryptów wyłącznie dla siebie. Co zatem mówią nam te dowody? Czy nie wskazują, że</w:t>
      </w:r>
      <w:r>
        <w:t xml:space="preserve"> </w:t>
      </w:r>
      <w:r>
        <w:rPr>
          <w:bCs/>
          <w:b/>
        </w:rPr>
        <w:t xml:space="preserve">f</w:t>
      </w:r>
      <w:r>
        <w:rPr>
          <w:vertAlign w:val="superscript"/>
          <w:bCs/>
          <w:b/>
        </w:rPr>
        <w:t xml:space="preserve">35</w:t>
      </w:r>
      <w:r>
        <w:t xml:space="preserve"> </w:t>
      </w:r>
      <w:r>
        <w:t xml:space="preserve">jest rdzeniem, od którego odeszło bardzo wiele odnóg? Istnieje bardzo niewiele wzorca, co wskazuje, że</w:t>
      </w:r>
      <w:r>
        <w:t xml:space="preserve"> </w:t>
      </w:r>
      <w:r>
        <w:rPr>
          <w:bCs/>
          <w:b/>
        </w:rPr>
        <w:t xml:space="preserve">f</w:t>
      </w:r>
      <w:r>
        <w:rPr>
          <w:vertAlign w:val="superscript"/>
          <w:bCs/>
          <w:b/>
        </w:rPr>
        <w:t xml:space="preserve">35</w:t>
      </w:r>
      <w:r>
        <w:t xml:space="preserve"> </w:t>
      </w:r>
      <w:r>
        <w:t xml:space="preserve">musi być zarówno starożytna, jak i niezależna. Manuskrypty zgadzające się z</w:t>
      </w:r>
      <w:r>
        <w:t xml:space="preserve"> </w:t>
      </w:r>
      <w:r>
        <w:rPr>
          <w:bCs/>
          <w:b/>
        </w:rPr>
        <w:t xml:space="preserve">f</w:t>
      </w:r>
      <w:r>
        <w:rPr>
          <w:vertAlign w:val="superscript"/>
          <w:bCs/>
          <w:b/>
        </w:rPr>
        <w:t xml:space="preserve">35</w:t>
      </w:r>
      <w:r>
        <w:t xml:space="preserve"> </w:t>
      </w:r>
      <w:r>
        <w:t xml:space="preserve">sześć razy na osiem mogą okazać się znajdować na obrzeżach rodziny, te zgadzające się pięć razy byłyby dalej, i tak dalej.</w:t>
      </w:r>
    </w:p>
    <w:p>
      <w:pPr>
        <w:pStyle w:val="BodyText"/>
      </w:pPr>
      <w:r>
        <w:t xml:space="preserve">Spójrzmy teraz na 1 List Jana. Podczas gdy w Liście Jakuba uwzględnili 77 manuskryptów bizantyjskich (łącznie z</w:t>
      </w:r>
      <w:r>
        <w:t xml:space="preserve"> </w:t>
      </w:r>
      <w:r>
        <w:rPr>
          <w:bCs/>
          <w:b/>
        </w:rPr>
        <w:t xml:space="preserve">f</w:t>
      </w:r>
      <w:r>
        <w:rPr>
          <w:vertAlign w:val="superscript"/>
          <w:bCs/>
          <w:b/>
        </w:rPr>
        <w:t xml:space="preserve">35</w:t>
      </w:r>
      <w:r>
        <w:t xml:space="preserve">), dla 1 Listu Jana uwzględnili tylko 48, nastawienie jest więc silniejsze. Ponownie uwzględnili siedem, aby reprezentowały wykluczone manuskrypty, GA 18 i 35, aby reprezentowały</w:t>
      </w:r>
      <w:r>
        <w:t xml:space="preserve"> </w:t>
      </w:r>
      <w:r>
        <w:rPr>
          <w:bCs/>
          <w:b/>
        </w:rPr>
        <w:t xml:space="preserve">K</w:t>
      </w:r>
      <w:r>
        <w:rPr>
          <w:vertAlign w:val="superscript"/>
          <w:bCs/>
          <w:b/>
        </w:rPr>
        <w:t xml:space="preserve">r</w:t>
      </w:r>
      <w:r>
        <w:t xml:space="preserve"> </w:t>
      </w:r>
      <w:r>
        <w:t xml:space="preserve">Sodena, oraz GA 319, 424, 468, 617 i 2423, aby reprezentowały rdzeń wykluczonych manuskryptów bizantyjskich.</w:t>
      </w:r>
    </w:p>
    <w:p>
      <w:pPr>
        <w:pStyle w:val="BodyText"/>
      </w:pPr>
      <w:r>
        <w:t xml:space="preserve">Wymieniam cztery odczyty</w:t>
      </w:r>
      <w:r>
        <w:t xml:space="preserve"> </w:t>
      </w:r>
      <w:r>
        <w:rPr>
          <w:bCs/>
          <w:b/>
        </w:rPr>
        <w:t xml:space="preserve">f</w:t>
      </w:r>
      <w:r>
        <w:rPr>
          <w:vertAlign w:val="superscript"/>
          <w:bCs/>
          <w:b/>
        </w:rPr>
        <w:t xml:space="preserve">35</w:t>
      </w:r>
      <w:r>
        <w:t xml:space="preserve"> </w:t>
      </w:r>
      <w:r>
        <w:t xml:space="preserve">(dla 1 Listu Jana) jako mające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W poniższej tabeli odczyty te tworzą pierwszy wiersz, a pod każdym z nich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center"/>
            </w:pPr>
            <w:r>
              <w:t xml:space="preserve">3,6</w:t>
            </w:r>
            <w:r>
              <w:t xml:space="preserve">και</w:t>
            </w:r>
          </w:p>
        </w:tc>
        <w:tc>
          <w:tcPr/>
          <w:p>
            <w:pPr>
              <w:pStyle w:val="Compact"/>
              <w:jc w:val="center"/>
            </w:pPr>
            <w:r>
              <w:t xml:space="preserve">5,11</w:t>
            </w:r>
            <w:r>
              <w:t xml:space="preserve">ο θεος ημιν</w:t>
            </w:r>
          </w:p>
        </w:tc>
        <w:tc>
          <w:tcPr/>
          <w:p>
            <w:pPr>
              <w:pStyle w:val="Compact"/>
              <w:jc w:val="center"/>
            </w:pPr>
            <w:r>
              <w:t xml:space="preserve">1,6</w:t>
            </w:r>
            <w:r>
              <w:t xml:space="preserve">περιπατουμεν</w:t>
            </w:r>
          </w:p>
        </w:tc>
        <w:tc>
          <w:tcPr/>
          <w:p>
            <w:pPr>
              <w:pStyle w:val="Compact"/>
              <w:jc w:val="center"/>
            </w:pPr>
            <w:r>
              <w:t xml:space="preserve">3,24</w:t>
            </w:r>
            <w:r>
              <w:t xml:space="preserve">--- εν</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B</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0142*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0296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180*</w:t>
            </w:r>
          </w:p>
        </w:tc>
        <w:tc>
          <w:tcPr/>
          <w:p>
            <w:pPr>
              <w:pStyle w:val="Compact"/>
              <w:jc w:val="center"/>
            </w:pPr>
            <w:r>
              <w:t xml:space="preserve">180</w:t>
            </w:r>
          </w:p>
        </w:tc>
      </w:tr>
      <w:tr>
        <w:tc>
          <w:tcPr/>
          <w:p>
            <w:pPr>
              <w:pStyle w:val="Compact"/>
              <w:jc w:val="center"/>
            </w:pPr>
            <w:r>
              <w:t xml:space="preserve">254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607*</w:t>
            </w:r>
          </w:p>
        </w:tc>
        <w:tc>
          <w:tcPr/>
          <w:p>
            <w:pPr>
              <w:pStyle w:val="Compact"/>
              <w:jc w:val="center"/>
            </w:pPr>
            <w:r>
              <w:rPr>
                <w:u w:val="single"/>
              </w:rPr>
              <w:t xml:space="preserve">607</w:t>
            </w:r>
          </w:p>
        </w:tc>
      </w:tr>
      <w:tr>
        <w:tc>
          <w:tcPr/>
          <w:p>
            <w:pPr>
              <w:pStyle w:val="Compact"/>
              <w:jc w:val="center"/>
            </w:pPr>
            <w:r>
              <w:t xml:space="preserve">---</w:t>
            </w:r>
          </w:p>
        </w:tc>
        <w:tc>
          <w:tcPr/>
          <w:p>
            <w:pPr>
              <w:pStyle w:val="Compact"/>
              <w:jc w:val="center"/>
            </w:pPr>
            <w:r>
              <w:t xml:space="preserve">614</w:t>
            </w:r>
          </w:p>
        </w:tc>
        <w:tc>
          <w:tcPr/>
          <w:p>
            <w:pPr>
              <w:pStyle w:val="Compact"/>
              <w:jc w:val="center"/>
            </w:pPr>
            <w:r>
              <w:t xml:space="preserve">---</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630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w:t>
            </w:r>
          </w:p>
        </w:tc>
      </w:tr>
      <w:tr>
        <w:tc>
          <w:tcPr/>
          <w:p>
            <w:pPr>
              <w:pStyle w:val="Compact"/>
              <w:jc w:val="center"/>
            </w:pPr>
            <w:r>
              <w:t xml:space="preserve">1523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1739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r>
      <w:tr>
        <w:tc>
          <w:tcPr/>
          <w:p>
            <w:pPr>
              <w:pStyle w:val="Compact"/>
              <w:jc w:val="center"/>
            </w:pPr>
            <w:r>
              <w:t xml:space="preserve">1844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1881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w:t>
            </w:r>
          </w:p>
        </w:tc>
        <w:tc>
          <w:tcPr/>
          <w:p>
            <w:pPr>
              <w:pStyle w:val="Compact"/>
              <w:jc w:val="center"/>
            </w:pPr>
            <w:r>
              <w:t xml:space="preserve">2138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2298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2374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2412</w:t>
            </w:r>
          </w:p>
        </w:tc>
        <w:tc>
          <w:tcPr/>
          <w:p>
            <w:pPr>
              <w:pStyle w:val="Compact"/>
              <w:jc w:val="center"/>
            </w:pPr>
            <w:r>
              <w:t xml:space="preserve">---</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2423</w:t>
            </w:r>
          </w:p>
        </w:tc>
      </w:tr>
      <w:tr>
        <w:tc>
          <w:tcPr/>
          <w:p>
            <w:pPr>
              <w:pStyle w:val="Compact"/>
              <w:jc w:val="center"/>
            </w:pPr>
            <w:r>
              <w:t xml:space="preserve">---</w:t>
            </w:r>
          </w:p>
        </w:tc>
        <w:tc>
          <w:tcPr/>
          <w:p>
            <w:pPr>
              <w:pStyle w:val="Compact"/>
              <w:jc w:val="center"/>
            </w:pPr>
            <w:r>
              <w:t xml:space="preserve">2492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2544</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13</w:t>
            </w:r>
          </w:p>
        </w:tc>
        <w:tc>
          <w:tcPr/>
          <w:p>
            <w:pPr>
              <w:pStyle w:val="Compact"/>
              <w:jc w:val="center"/>
            </w:pPr>
            <w:r>
              <w:rPr>
                <w:bCs/>
                <w:b/>
              </w:rPr>
              <w:t xml:space="preserve">10</w:t>
            </w:r>
          </w:p>
        </w:tc>
      </w:tr>
    </w:tbl>
    <w:p>
      <w:pPr>
        <w:pStyle w:val="BodyText"/>
      </w:pPr>
      <w:r>
        <w:t xml:space="preserve">Podobnie jak w Liście Jakuba, między dwiema pierwszymi kolumnami nie ma pokrywania się (w Liście Jakuba pierwsza kolumna ma wprawdzie jeden wspólny manuskrypt z drugą, lecz żadnego z trzecią i piątą),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moim zdaniem, potrafię wykazać, wówczas sięga Oryginału — jakie inne rozsądne wyjaśnienie istnieje?</w:t>
      </w:r>
    </w:p>
    <w:p>
      <w:pPr>
        <w:pStyle w:val="BodyText"/>
      </w:pPr>
      <w:r>
        <w:t xml:space="preserve">Rodzina 35 reprezentuje około 16% ogółu zachowanych manuskryptów, lecz prawie nigdy nie jest całkowicie sama. Jak jednak pokazano wyżej, rozproszenie innych manuskryptów prawie nigdy nie jest takie samo. Pytam więc ponownie: jak należy wyjaśnić to zróżnicowane rozproszenie? Czy nie wskazuje ono, że</w:t>
      </w:r>
      <w:r>
        <w:t xml:space="preserve"> </w:t>
      </w:r>
      <w:r>
        <w:rPr>
          <w:bCs/>
          <w:b/>
        </w:rPr>
        <w:t xml:space="preserve">f</w:t>
      </w:r>
      <w:r>
        <w:rPr>
          <w:vertAlign w:val="superscript"/>
          <w:bCs/>
          <w:b/>
        </w:rPr>
        <w:t xml:space="preserve">35</w:t>
      </w:r>
      <w:r>
        <w:t xml:space="preserve"> </w:t>
      </w:r>
      <w:r>
        <w:t xml:space="preserve">jest rdzeniem, od którego odeszło bardzo wiele odnóg? Jakie inne rozsądne wyjaśnienie istnieje? Jeśli jest rdzeniem, reprezentuje Oryginał. (Zakładam rozsądnie normalny przekaz, którego broniłem w innym miejscu).</w:t>
      </w:r>
    </w:p>
    <w:p>
      <w:pPr>
        <w:pStyle w:val="BodyText"/>
      </w:pPr>
      <w:r>
        <w:t xml:space="preserve">Proszę czytelnika, aby zatrzymał się i naprawdę pomyślał o konsekwencjach przedstawionych wyżej dowodów (próbując odłożyć na bok z góry przyjęte poglądy). Standardowym postępowaniem zwolenników pewnej orientacji teoretycznej było naleganie na rozróżnienie między poszczególnymi odczytami a typem tekstu. Zgadzam się, że należy je rozróżniać. Jednak to mozaika, profil lub wybór poszczególnych odczytów definiuje typ tekstu, rodzinę lub linię przekazu.</w:t>
      </w:r>
      <w:r>
        <w:t xml:space="preserve"> </w:t>
      </w:r>
      <w:r>
        <w:rPr>
          <w:bCs/>
          <w:b/>
        </w:rPr>
        <w:t xml:space="preserve">Jeśli można wykazać, że wszystkie poszczególne odczyty definiujące rodzinę są starożytne, wówczas z konieczności sama rodzina jest starożytna!</w:t>
      </w:r>
    </w:p>
    <w:p>
      <w:pPr>
        <w:pStyle w:val="BodyText"/>
      </w:pPr>
      <w:r>
        <w:t xml:space="preserve">Przypuszczam, że teoretycznie mogłoby być możliwe, aby ktoś w VIII wieku spreparował nowy archetyp, używając wyłącznie wczesnych odczytów, jaki jednak możliwy powód mógłby mieć ktokolwiek, by to uczynić? I jak tak spreparowany tekst mógł rozprzestrzenić się po świecie śródziemnomorskim? Jak mógł osiągnąć poziom wierności znacznie przewyższający każdą inną linię przekazu, łącznie ze znacznie starszymi? Jak archetyp spreparowany w VIII wieku mógł wyprzeć wszystkie starsze archetypy? Mam na myśli wierność przekazu. (W naszych czasach spreparowany tekst, oparty na wczesnych manuskryptach, zawładnął światem akademickim, lecz nie ma tu analogii — wiemy, kto go stworzył, kiedy, jak i dlaczego. Napisałem na ten temat stronę lub dwie gdzie indziej).</w:t>
      </w:r>
    </w:p>
    <w:p>
      <w:pPr>
        <w:pStyle w:val="BodyText"/>
      </w:pPr>
      <w:r>
        <w:t xml:space="preserve">Każdy, kto chce wysunąć teorię, że Rodzina 35 została spreparowana przez kogoś w XII, VIII lub IV wieku, i uczynić to odpowiedzialnie, musi przedstawić dowody, które dały początek tej teorii. Musi pokazać, kto to zrobił, kiedy i gdzie. Istnieje wiele setek zachowanych kopii pism Nowego Testamentu. Jeśli wszystkie te manuskrypty nie dostarczają wymaganych dowodów, teoria jest jawnie fałszywa. Wysuwanie teorii, która jest jawnie fałszywa, jest przewrotnością.</w:t>
      </w:r>
    </w:p>
    <w:bookmarkEnd w:id="348"/>
    <w:bookmarkStart w:id="354" w:name="o-tekście-pericope-adulterae"/>
    <w:p>
      <w:pPr>
        <w:pStyle w:val="Heading2"/>
      </w:pPr>
      <w:r>
        <w:t xml:space="preserve">O tekście</w:t>
      </w:r>
      <w:r>
        <w:t xml:space="preserve"> </w:t>
      </w:r>
      <w:r>
        <w:rPr>
          <w:iCs/>
          <w:i/>
        </w:rPr>
        <w:t xml:space="preserve">Pericope Adulterae</w:t>
      </w:r>
    </w:p>
    <w:p>
      <w:pPr>
        <w:pStyle w:val="FirstParagraph"/>
      </w:pPr>
      <w:r>
        <w:t xml:space="preserve">Poniższe informacje opierają się na pełnym kolacjonowaniu przez Maurice’a A. Robinsona 1389 manuskryptów zawierających Perykopę, Ewangelię Jana 7,53-8,11.</w:t>
      </w:r>
      <w:r>
        <w:rPr>
          <w:rStyle w:val="FootnoteReference"/>
        </w:rPr>
        <w:footnoteReference w:id="349"/>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 </w:t>
      </w:r>
      <w:r>
        <w:t xml:space="preserve">(jak w aparacie Tekstu Większościowego H-F). Przyjmuję, że wszystkie mniejsze grupy są mieszaninami opartymi na wielkiej trójce. Niniejsza część przedstawia wyniki wraz z moją interpretacją ich znaczenia.</w:t>
      </w:r>
    </w:p>
    <w:bookmarkStart w:id="350" w:name="profil-m7"/>
    <w:p>
      <w:pPr>
        <w:pStyle w:val="Heading3"/>
      </w:pPr>
      <w:r>
        <w:t xml:space="preserve">Profil</w:t>
      </w:r>
      <w:r>
        <w:t xml:space="preserve"> </w:t>
      </w:r>
      <w:r>
        <w:rPr>
          <w:bCs/>
          <w:b/>
        </w:rPr>
        <w:t xml:space="preserve">M</w:t>
      </w:r>
      <w:r>
        <w:rPr>
          <w:vertAlign w:val="superscript"/>
          <w:bCs/>
          <w:b/>
        </w:rPr>
        <w:t xml:space="preserve">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τον λιθον επ αυτη βαλετω</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αυτη</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30</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και απο του νυν</w:t>
            </w:r>
          </w:p>
        </w:tc>
      </w:tr>
    </w:tbl>
    <w:p>
      <w:pPr>
        <w:pStyle w:val="BodyText"/>
      </w:pPr>
      <w:r>
        <w:rPr>
          <w:bCs/>
          <w:b/>
        </w:rPr>
        <w:t xml:space="preserve">Komentarz</w:t>
      </w:r>
      <w:r>
        <w:t xml:space="preserve">: Jest to jeden wyraźny, jednoznaczny i niebudzący wątpliwości profil/mozaika, określony przez 127 manuskryptów — nie ma między nimi żadnego zróżnicowania wewnętrznego.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przypuszczam, że także z mniejszymi grupami (chociaż ich nie sprawdziłem). Jak podano niżej, na potrzeby odróżnienia ich od siebie nawzajem oraz od</w:t>
      </w:r>
      <w:r>
        <w:t xml:space="preserve"> </w:t>
      </w:r>
      <w:r>
        <w:rPr>
          <w:bCs/>
          <w:b/>
        </w:rPr>
        <w:t xml:space="preserve">7</w:t>
      </w:r>
      <w:r>
        <w:t xml:space="preserve"> </w:t>
      </w:r>
      <w:r>
        <w:t xml:space="preserve">można uzyskać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obie będą musiały zostać podzielone. Powyższy profil określa archetypalny tekst</w:t>
      </w:r>
      <w:r>
        <w:t xml:space="preserve"> </w:t>
      </w:r>
      <w:r>
        <w:rPr>
          <w:bCs/>
          <w:b/>
        </w:rPr>
        <w:t xml:space="preserve">M</w:t>
      </w:r>
      <w:r>
        <w:rPr>
          <w:vertAlign w:val="superscript"/>
          <w:bCs/>
          <w:b/>
        </w:rPr>
        <w:t xml:space="preserve">7</w:t>
      </w:r>
      <w:r>
        <w:t xml:space="preserve">.</w:t>
      </w:r>
    </w:p>
    <w:bookmarkEnd w:id="350"/>
    <w:bookmarkStart w:id="351" w:name="profil-m6"/>
    <w:p>
      <w:pPr>
        <w:pStyle w:val="Heading3"/>
      </w:pPr>
      <w:r>
        <w:t xml:space="preserve">Profil</w:t>
      </w:r>
      <w:r>
        <w:t xml:space="preserve"> </w:t>
      </w:r>
      <w:r>
        <w:rPr>
          <w:bCs/>
          <w:b/>
        </w:rPr>
        <w:t xml:space="preserve">M</w:t>
      </w:r>
      <w:r>
        <w:rPr>
          <w:vertAlign w:val="superscript"/>
          <w:bCs/>
          <w:b/>
        </w:rPr>
        <w:t xml:space="preserve">6</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 / απηλθον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**και ο Ιησους δε / και ο Ιησους</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βαθεος</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**ηλθεν ο Ιησους</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 / 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τω μεσω / 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**ειπον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 = pominięcie</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 / –φορω / –φορως</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 / –νη</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 / υμων Μωσης / Μ. ενετ. ημιν /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**λιθαζειν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 / 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 / 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 / επερωτωντες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αναβλεψας / 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**αυτοις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**λιθον βαλετω επ αυτην</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 / 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ο Ιησους μονος / μονος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**ειδεν αυτην και ειπεν</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 (εκεινοι οι κατηγοροι σου) / (που 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 απο του νυν / απο του νυν και</w:t>
            </w:r>
          </w:p>
        </w:tc>
      </w:tr>
    </w:tbl>
    <w:p>
      <w:pPr>
        <w:pStyle w:val="BodyText"/>
      </w:pPr>
      <w:r>
        <w:rPr>
          <w:bCs/>
          <w:b/>
        </w:rPr>
        <w:t xml:space="preserve">Komentarz</w:t>
      </w:r>
      <w:r>
        <w:t xml:space="preserve">: Sprawdziłem manuskrypty</w:t>
      </w:r>
      <w:r>
        <w:t xml:space="preserve"> </w:t>
      </w:r>
      <w:r>
        <w:rPr>
          <w:bCs/>
          <w:b/>
        </w:rPr>
        <w:t xml:space="preserve">M</w:t>
      </w:r>
      <w:r>
        <w:rPr>
          <w:vertAlign w:val="superscript"/>
          <w:bCs/>
          <w:b/>
        </w:rPr>
        <w:t xml:space="preserve">6</w:t>
      </w:r>
      <w:r>
        <w:t xml:space="preserve"> </w:t>
      </w:r>
      <w:r>
        <w:t xml:space="preserve">z</w:t>
      </w:r>
      <w:r>
        <w:t xml:space="preserve"> </w:t>
      </w:r>
      <w:r>
        <w:rPr>
          <w:bCs/>
          <w:b/>
        </w:rPr>
        <w:t xml:space="preserve">XI</w:t>
      </w:r>
      <w:r>
        <w:t xml:space="preserve"> </w:t>
      </w:r>
      <w:r>
        <w:t xml:space="preserve">wieku (ponad 80) i ku mojemu zaskoczeniu żadne dwa nie miały identycznej mozaiki wariantów. Niezależnie od tego, jakiego zestawu kontrastowego użyje się jako podstawy (np. βαθεως × βαθεος), gdy tylko spojrzy się w dół wykazu pozostałych wariantów, manuskrypty wędrują tam i z powrotem, tworząc oszałamiającą różnorodność odmienności, zmieniających się sojuszy czy czegokolwiek innego. Jeśli sprawdzone zostaną wszystkie stulecia, przypuszczalnie znajdzie się kilka małych grup, w których manuskrypty członkowskie mają identyczne mozaiki, lecz nie wyłoni się żaden pojedynczy, rozstrzygający profil</w:t>
      </w:r>
      <w:r>
        <w:t xml:space="preserve"> </w:t>
      </w:r>
      <w:r>
        <w:rPr>
          <w:bCs/>
          <w:b/>
        </w:rPr>
        <w:t xml:space="preserve">M</w:t>
      </w:r>
      <w:r>
        <w:rPr>
          <w:vertAlign w:val="superscript"/>
          <w:bCs/>
          <w:b/>
        </w:rPr>
        <w:t xml:space="preserve">6</w:t>
      </w:r>
      <w:r>
        <w:t xml:space="preserve"> </w:t>
      </w:r>
      <w:r>
        <w:t xml:space="preserve">(w przeciwieństwie do</w:t>
      </w:r>
      <w:r>
        <w:t xml:space="preserve"> </w:t>
      </w:r>
      <w:r>
        <w:rPr>
          <w:bCs/>
          <w:b/>
        </w:rPr>
        <w:t xml:space="preserve">M</w:t>
      </w:r>
      <w:r>
        <w:rPr>
          <w:vertAlign w:val="superscript"/>
          <w:bCs/>
          <w:b/>
        </w:rPr>
        <w:t xml:space="preserve">7</w:t>
      </w:r>
      <w:r>
        <w:t xml:space="preserve">). Jeśli nie ma jednego profilu, nie ma obiektywnego sposobu zdefiniowania/ustalenia/odtworzenia archetypu</w:t>
      </w:r>
      <w:r>
        <w:t xml:space="preserve"> </w:t>
      </w:r>
      <w:r>
        <w:rPr>
          <w:bCs/>
          <w:b/>
        </w:rPr>
        <w:t xml:space="preserve">M</w:t>
      </w:r>
      <w:r>
        <w:rPr>
          <w:vertAlign w:val="superscript"/>
          <w:bCs/>
          <w:b/>
        </w:rPr>
        <w:t xml:space="preserve">6</w:t>
      </w:r>
      <w:r>
        <w:t xml:space="preserve">. Bez możliwego do zdefiniowania archetypu</w:t>
      </w:r>
      <w:r>
        <w:t xml:space="preserve"> </w:t>
      </w:r>
      <w:r>
        <w:rPr>
          <w:bCs/>
          <w:b/>
        </w:rPr>
        <w:t xml:space="preserve">M</w:t>
      </w:r>
      <w:r>
        <w:rPr>
          <w:vertAlign w:val="superscript"/>
          <w:bCs/>
          <w:b/>
        </w:rPr>
        <w:t xml:space="preserve">6</w:t>
      </w:r>
      <w:r>
        <w:t xml:space="preserve"> </w:t>
      </w:r>
      <w:r>
        <w:t xml:space="preserve">nie jest realnym kandydatem do oryginalnej formy Tekstu. Dziesięć wariantów oznaczonych ** odróżnia jednak</w:t>
      </w:r>
      <w:r>
        <w:t xml:space="preserve"> </w:t>
      </w:r>
      <w:r>
        <w:rPr>
          <w:bCs/>
          <w:b/>
        </w:rPr>
        <w:t xml:space="preserve">M</w:t>
      </w:r>
      <w:r>
        <w:rPr>
          <w:vertAlign w:val="superscript"/>
          <w:bCs/>
          <w:b/>
        </w:rPr>
        <w:t xml:space="preserve">6</w:t>
      </w:r>
      <w:r>
        <w:t xml:space="preserve"> </w:t>
      </w:r>
      <w:r>
        <w:t xml:space="preserve">zarówno od</w:t>
      </w:r>
      <w:r>
        <w:t xml:space="preserve"> </w:t>
      </w:r>
      <w:r>
        <w:rPr>
          <w:bCs/>
          <w:b/>
        </w:rPr>
        <w:t xml:space="preserve">M</w:t>
      </w:r>
      <w:r>
        <w:rPr>
          <w:vertAlign w:val="superscript"/>
          <w:bCs/>
          <w:b/>
        </w:rPr>
        <w:t xml:space="preserve">5</w:t>
      </w:r>
      <w:r>
        <w:t xml:space="preserve">, jak i od</w:t>
      </w:r>
      <w:r>
        <w:t xml:space="preserve"> </w:t>
      </w:r>
      <w:r>
        <w:rPr>
          <w:bCs/>
          <w:b/>
        </w:rPr>
        <w:t xml:space="preserve">M</w:t>
      </w:r>
      <w:r>
        <w:rPr>
          <w:vertAlign w:val="superscript"/>
          <w:bCs/>
          <w:b/>
        </w:rPr>
        <w:t xml:space="preserve">7</w:t>
      </w:r>
      <w:r>
        <w:t xml:space="preserve">, tworząc jej „kręgosłup”. Dwa spośród tych dziesięciu, a także kolejnych czternaście, mają jednak zróżnicowanie wewnętrzne (oprócz różnych dalszych odmienności niezapisanych na tej liście). Poszczególne manuskrypty w oszałamiający sposób meandrują wśród mnogości wewnętrznego (w obrębie grupy) zróżnicowania, co wszystko razem zmniejsza wiarygodność grupy. Przyjmuję, że</w:t>
      </w:r>
      <w:r>
        <w:t xml:space="preserve"> </w:t>
      </w:r>
      <w:r>
        <w:rPr>
          <w:bCs/>
          <w:b/>
        </w:rPr>
        <w:t xml:space="preserve">M</w:t>
      </w:r>
      <w:r>
        <w:rPr>
          <w:vertAlign w:val="superscript"/>
          <w:bCs/>
          <w:b/>
        </w:rPr>
        <w:t xml:space="preserve">6</w:t>
      </w:r>
      <w:r>
        <w:t xml:space="preserve"> </w:t>
      </w:r>
      <w:r>
        <w:t xml:space="preserve">odzwierciedla wpływ aleksandryjski.</w:t>
      </w:r>
    </w:p>
    <w:bookmarkEnd w:id="351"/>
    <w:bookmarkStart w:id="352" w:name="profil-m5"/>
    <w:p>
      <w:pPr>
        <w:pStyle w:val="Heading3"/>
      </w:pPr>
      <w:r>
        <w:t xml:space="preserve">Profil</w:t>
      </w:r>
      <w:r>
        <w:t xml:space="preserve"> </w:t>
      </w:r>
      <w:r>
        <w:rPr>
          <w:bCs/>
          <w:b/>
        </w:rPr>
        <w:t xml:space="preserve">M</w:t>
      </w:r>
      <w:r>
        <w:rPr>
          <w:vertAlign w:val="superscript"/>
          <w:bCs/>
          <w:b/>
        </w:rPr>
        <w:t xml:space="preserve">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**επορευθη / επορευθησαν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**εν</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**καταληφθεισαν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**αυτη η γυνη</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**κατεληφθη / ειληπται / κατειληπται</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επαυτοφωρω / –φορω</w:t>
            </w:r>
          </w:p>
        </w:tc>
      </w:tr>
      <w:tr>
        <w:tc>
          <w:tcPr/>
          <w:p>
            <w:pPr>
              <w:pStyle w:val="Compact"/>
              <w:jc w:val="center"/>
            </w:pPr>
            <w:r>
              <w:t xml:space="preserve">8,4</w:t>
            </w:r>
          </w:p>
        </w:tc>
        <w:tc>
          <w:tcPr/>
          <w:p>
            <w:pPr>
              <w:pStyle w:val="Compact"/>
              <w:jc w:val="right"/>
            </w:pPr>
            <w:r>
              <w:t xml:space="preserve">15</w:t>
            </w:r>
          </w:p>
        </w:tc>
        <w:tc>
          <w:tcPr/>
          <w:p>
            <w:pPr>
              <w:pStyle w:val="Compact"/>
              <w:jc w:val="left"/>
            </w:pPr>
            <w:r>
              <w:t xml:space="preserve">**μοιχευομενη</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**Μωσης ημιν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18</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**κατηγορειν</w:t>
            </w:r>
          </w:p>
        </w:tc>
      </w:tr>
      <w:tr>
        <w:tc>
          <w:tcPr/>
          <w:p>
            <w:pPr>
              <w:pStyle w:val="Compact"/>
              <w:jc w:val="center"/>
            </w:pPr>
            <w:r>
              <w:t xml:space="preserve">8,6</w:t>
            </w:r>
          </w:p>
        </w:tc>
        <w:tc>
          <w:tcPr/>
          <w:p>
            <w:pPr>
              <w:pStyle w:val="Compact"/>
              <w:jc w:val="right"/>
            </w:pPr>
            <w:r>
              <w:t xml:space="preserve">20</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24</w:t>
            </w:r>
          </w:p>
        </w:tc>
        <w:tc>
          <w:tcPr/>
          <w:p>
            <w:pPr>
              <w:pStyle w:val="Compact"/>
              <w:jc w:val="left"/>
            </w:pPr>
            <w:r>
              <w:t xml:space="preserve">**επ αυτην τον λιθον βαλετω</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27</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 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**κρινω / 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w:t>
            </w:r>
          </w:p>
        </w:tc>
      </w:tr>
    </w:tbl>
    <w:p>
      <w:pPr>
        <w:pStyle w:val="BodyText"/>
      </w:pPr>
      <w:r>
        <w:rPr>
          <w:bCs/>
          <w:b/>
        </w:rPr>
        <w:t xml:space="preserve">Komentarz</w:t>
      </w:r>
      <w:r>
        <w:t xml:space="preserve">: Odkładając na bok podziały w nr. 1, 13, 14, 29 i 32, istnieje grupa manuskryptów o tym profilu. Istnieje równie duża grupa, która w wersecie 6 zmienia εγραφεν na κατεγραφεν, a w wersecie 7 zmienia πρωτος na πρωτον. Obie te grupy mają rdzeń manuskryptów o „doskonałym” profilu, z wyjątkiem tego, że obie grupy dzielą się w sprawie -φωρω/-φορω. Obie grupy mają „rozmyte” krawędzie z licznymi manuskryptami wykazującymi różne stopnie odmienności. Istnieje duża liczba manuskryptów mieszanych, skupionych wokół kilku z grubsza określonych mozaik. Istnieje również trójdzielny podział w wariancie nr 24, a ponadto czwarty, słabszy wariant (205 manuskryptów × 191 × 104 × 21). Warianty oznaczone ** odróżniają jednak</w:t>
      </w:r>
      <w:r>
        <w:t xml:space="preserve"> </w:t>
      </w:r>
      <w:r>
        <w:rPr>
          <w:bCs/>
          <w:b/>
        </w:rPr>
        <w:t xml:space="preserve">M</w:t>
      </w:r>
      <w:r>
        <w:rPr>
          <w:vertAlign w:val="superscript"/>
          <w:bCs/>
          <w:b/>
        </w:rPr>
        <w:t xml:space="preserve">5</w:t>
      </w:r>
      <w:r>
        <w:t xml:space="preserve"> </w:t>
      </w:r>
      <w:r>
        <w:t xml:space="preserve">zarówno od</w:t>
      </w:r>
      <w:r>
        <w:t xml:space="preserve"> </w:t>
      </w:r>
      <w:r>
        <w:rPr>
          <w:bCs/>
          <w:b/>
        </w:rPr>
        <w:t xml:space="preserve">M</w:t>
      </w:r>
      <w:r>
        <w:rPr>
          <w:vertAlign w:val="superscript"/>
          <w:bCs/>
          <w:b/>
        </w:rPr>
        <w:t xml:space="preserve">6</w:t>
      </w:r>
      <w:r>
        <w:t xml:space="preserve">, jak i od</w:t>
      </w:r>
      <w:r>
        <w:t xml:space="preserve"> </w:t>
      </w:r>
      <w:r>
        <w:rPr>
          <w:bCs/>
          <w:b/>
        </w:rPr>
        <w:t xml:space="preserve">M</w:t>
      </w:r>
      <w:r>
        <w:rPr>
          <w:vertAlign w:val="superscript"/>
          <w:bCs/>
          <w:b/>
        </w:rPr>
        <w:t xml:space="preserve">7</w:t>
      </w:r>
      <w:r>
        <w:t xml:space="preserve">, tworząc jej „kręgosłup”, chociaż w trzech z nich istnieje zróżnicowanie wewnętrzne, niezależnie od nr. 24. Istnieje dalsze zróżnicowanie wewnętrzne niezapisane na tej liście.</w:t>
      </w:r>
      <w:r>
        <w:t xml:space="preserve"> </w:t>
      </w:r>
      <w:r>
        <w:rPr>
          <w:bCs/>
          <w:b/>
        </w:rPr>
        <w:t xml:space="preserve">M</w:t>
      </w:r>
      <w:r>
        <w:rPr>
          <w:vertAlign w:val="superscript"/>
          <w:bCs/>
          <w:b/>
        </w:rPr>
        <w:t xml:space="preserve">5</w:t>
      </w:r>
      <w:r>
        <w:t xml:space="preserve"> </w:t>
      </w:r>
      <w:r>
        <w:t xml:space="preserve">nie jest tak „grząska” jak</w:t>
      </w:r>
      <w:r>
        <w:t xml:space="preserve"> </w:t>
      </w:r>
      <w:r>
        <w:rPr>
          <w:bCs/>
          <w:b/>
        </w:rPr>
        <w:t xml:space="preserve">M</w:t>
      </w:r>
      <w:r>
        <w:rPr>
          <w:vertAlign w:val="superscript"/>
          <w:bCs/>
          <w:b/>
        </w:rPr>
        <w:t xml:space="preserve">6</w:t>
      </w:r>
      <w:r>
        <w:t xml:space="preserve">, lecz nie jest tak solidna jak</w:t>
      </w:r>
      <w:r>
        <w:t xml:space="preserve"> </w:t>
      </w:r>
      <w:r>
        <w:rPr>
          <w:bCs/>
          <w:b/>
        </w:rPr>
        <w:t xml:space="preserve">M</w:t>
      </w:r>
      <w:r>
        <w:rPr>
          <w:vertAlign w:val="superscript"/>
          <w:bCs/>
          <w:b/>
        </w:rPr>
        <w:t xml:space="preserve">7</w:t>
      </w:r>
      <w:r>
        <w:t xml:space="preserve">. Przyjmuję, że</w:t>
      </w:r>
      <w:r>
        <w:t xml:space="preserve"> </w:t>
      </w:r>
      <w:r>
        <w:rPr>
          <w:bCs/>
          <w:b/>
        </w:rPr>
        <w:t xml:space="preserve">M</w:t>
      </w:r>
      <w:r>
        <w:rPr>
          <w:vertAlign w:val="superscript"/>
          <w:bCs/>
          <w:b/>
        </w:rPr>
        <w:t xml:space="preserve">5</w:t>
      </w:r>
      <w:r>
        <w:t xml:space="preserve"> </w:t>
      </w:r>
      <w:r>
        <w:t xml:space="preserve">odzwierciedla wpływ łaciński. W każdym razie ustalenie jednego archetypu</w:t>
      </w:r>
      <w:r>
        <w:t xml:space="preserve"> </w:t>
      </w:r>
      <w:r>
        <w:rPr>
          <w:bCs/>
          <w:b/>
        </w:rPr>
        <w:t xml:space="preserve">M</w:t>
      </w:r>
      <w:r>
        <w:rPr>
          <w:vertAlign w:val="superscript"/>
          <w:bCs/>
          <w:b/>
        </w:rPr>
        <w:t xml:space="preserve">5</w:t>
      </w:r>
      <w:r>
        <w:t xml:space="preserve"> </w:t>
      </w:r>
      <w:r>
        <w:t xml:space="preserve">wydaje się zaledwie możliwe, a musi go mieć, aby być realnym kandydatem do oryginalnej formy Tekstu. Najwyraźniej forma oryginalna jest archetypem ostatecznym.</w:t>
      </w:r>
    </w:p>
    <w:bookmarkEnd w:id="352"/>
    <w:bookmarkStart w:id="353" w:name="X9c714fc0aede81bb278e92288a36ad6ad4dcb78"/>
    <w:p>
      <w:pPr>
        <w:pStyle w:val="Heading3"/>
      </w:pPr>
      <w:r>
        <w:t xml:space="preserve">Jednoznaczni przedstawiciele</w:t>
      </w:r>
      <w:r>
        <w:t xml:space="preserve"> </w:t>
      </w:r>
      <w:r>
        <w:rPr>
          <w:bCs/>
          <w:b/>
        </w:rPr>
        <w:t xml:space="preserve">M</w:t>
      </w:r>
      <w:r>
        <w:rPr>
          <w:vertAlign w:val="superscript"/>
          <w:bCs/>
          <w:b/>
        </w:rPr>
        <w:t xml:space="preserve">7</w:t>
      </w:r>
      <w:r>
        <w:t xml:space="preserve"> </w:t>
      </w:r>
      <w:r>
        <w:t xml:space="preserve">(</w:t>
      </w:r>
      <w:r>
        <w:rPr>
          <w:bCs/>
          <w:b/>
        </w:rPr>
        <w:t xml:space="preserve">f</w:t>
      </w:r>
      <w:r>
        <w:rPr>
          <w:vertAlign w:val="superscript"/>
          <w:bCs/>
          <w:b/>
        </w:rPr>
        <w:t xml:space="preserve">35</w:t>
      </w:r>
      <w:r>
        <w:t xml:space="preserve">) = 245 manuskryptów</w:t>
      </w:r>
    </w:p>
    <w:p>
      <w:pPr>
        <w:numPr>
          <w:ilvl w:val="0"/>
          <w:numId w:val="1035"/>
        </w:numPr>
      </w:pPr>
      <w:r>
        <w:rPr>
          <w:bCs/>
          <w:b/>
        </w:rPr>
        <w:t xml:space="preserve">Doskonała zgodność (główni przedstawiciele)</w:t>
      </w:r>
      <w:r>
        <w:t xml:space="preserve"> </w:t>
      </w:r>
      <w:r>
        <w:t xml:space="preserve">—</w:t>
      </w:r>
      <w:r>
        <w:t xml:space="preserve"> </w:t>
      </w:r>
      <w:r>
        <w:rPr>
          <w:bCs/>
          <w:b/>
        </w:rPr>
        <w:t xml:space="preserve">XI</w:t>
      </w:r>
      <w:r>
        <w:t xml:space="preserve">: 35, 83, 547, 1435;</w:t>
      </w:r>
      <w:r>
        <w:t xml:space="preserve"> </w:t>
      </w:r>
      <w:r>
        <w:rPr>
          <w:bCs/>
          <w:b/>
        </w:rPr>
        <w:t xml:space="preserve">XII</w:t>
      </w:r>
      <w:r>
        <w:t xml:space="preserve">: 510, 768, 1046, 1323, 1329, 1489, 1490, 2296, 2367, 2382;</w:t>
      </w:r>
      <w:r>
        <w:t xml:space="preserve"> </w:t>
      </w:r>
      <w:r>
        <w:rPr>
          <w:bCs/>
          <w:b/>
        </w:rPr>
        <w:t xml:space="preserve">XIII</w:t>
      </w:r>
      <w:r>
        <w:t xml:space="preserve">: 128, 141, 147, 154, 167, 170, 204, 361, 553, 676, 685, 696, 757, 825, 897, 1072, 1251, 1339, 1400, 1461, 1496, 1499, 1550, 1551, 1576, 1694, 2284, 2479, 2510;</w:t>
      </w:r>
      <w:r>
        <w:t xml:space="preserve"> </w:t>
      </w:r>
      <w:r>
        <w:rPr>
          <w:bCs/>
          <w:b/>
        </w:rPr>
        <w:t xml:space="preserve">XIV</w:t>
      </w:r>
      <w:r>
        <w:t xml:space="preserve">: 18, 55, 66, 201, 246, 363, 386, 402, 415, 480, 586, 645, 758, 763, 769, 781, 789, 797, 824, 845, 867, 928, 932, 938, 960, 986, 1023, 1075, 1092, 1111, 1117, 1119, 1133, 1146, 1189, 1236, 1328, 1390, 1482, 1488, 1492, 1493, 1548, 1560, 1572, 1584, 1600, 1619, 1620, 1628, 1633, 1637, 1650, 1659, 1667, 1688, 1698, 1703, 2261, 2355, 2407, 2454, 2503, 2765, 2767;</w:t>
      </w:r>
      <w:r>
        <w:t xml:space="preserve"> </w:t>
      </w:r>
      <w:r>
        <w:rPr>
          <w:bCs/>
          <w:b/>
        </w:rPr>
        <w:t xml:space="preserve">XV</w:t>
      </w:r>
      <w:r>
        <w:t xml:space="preserve">: 955, 958, 962, 1003, 1180, 1250, 1508, 1625, 1636, 1648, 1686, 1713, 2131, 2554;</w:t>
      </w:r>
      <w:r>
        <w:t xml:space="preserve"> </w:t>
      </w:r>
      <w:r>
        <w:rPr>
          <w:bCs/>
          <w:b/>
        </w:rPr>
        <w:t xml:space="preserve">XVI</w:t>
      </w:r>
      <w:r>
        <w:t xml:space="preserve">: 1596, 1652, 2496, 2636, 2806 = 127 manuskryptów.</w:t>
      </w:r>
    </w:p>
    <w:p>
      <w:pPr>
        <w:numPr>
          <w:ilvl w:val="0"/>
          <w:numId w:val="1035"/>
        </w:numPr>
      </w:pPr>
      <w:r>
        <w:rPr>
          <w:bCs/>
          <w:b/>
        </w:rPr>
        <w:t xml:space="preserve">Główna podgrupa: w 8,4 ma επαυτοφορω (jedyna zmiana)</w:t>
      </w:r>
      <w:r>
        <w:t xml:space="preserve"> </w:t>
      </w:r>
      <w:r>
        <w:t xml:space="preserve">—</w:t>
      </w:r>
      <w:r>
        <w:t xml:space="preserve"> </w:t>
      </w:r>
      <w:r>
        <w:rPr>
          <w:bCs/>
          <w:b/>
        </w:rPr>
        <w:t xml:space="preserve">XII</w:t>
      </w:r>
      <w:r>
        <w:t xml:space="preserve">: 660, 1145, 1224;</w:t>
      </w:r>
      <w:r>
        <w:t xml:space="preserve"> </w:t>
      </w:r>
      <w:r>
        <w:rPr>
          <w:bCs/>
          <w:b/>
        </w:rPr>
        <w:t xml:space="preserve">XIII</w:t>
      </w:r>
      <w:r>
        <w:t xml:space="preserve">: 479, 689, 691, 940, 1334, 1487, 1501, 1601, 2584, 2598;</w:t>
      </w:r>
      <w:r>
        <w:t xml:space="preserve"> </w:t>
      </w:r>
      <w:r>
        <w:rPr>
          <w:bCs/>
          <w:b/>
        </w:rPr>
        <w:t xml:space="preserve">XIV</w:t>
      </w:r>
      <w:r>
        <w:t xml:space="preserve">: 189, 290, 394, 521, 890, 959, 1025, 1165, 1234, 1445, 1462, 1476, 1543, 1559, 1614, 1618, 1622, 1634, 1657, 1658, 2309, 2399, 2466, 2621, 2689;</w:t>
      </w:r>
      <w:r>
        <w:t xml:space="preserve"> </w:t>
      </w:r>
      <w:r>
        <w:rPr>
          <w:bCs/>
          <w:b/>
        </w:rPr>
        <w:t xml:space="preserve">XV</w:t>
      </w:r>
      <w:r>
        <w:t xml:space="preserve">: 285, 961, 1017, 1059, 1132, 1158, 1247, 1649, 1656, 2204, 2221, 2352, 2692;</w:t>
      </w:r>
      <w:r>
        <w:t xml:space="preserve"> </w:t>
      </w:r>
      <w:r>
        <w:rPr>
          <w:bCs/>
          <w:b/>
        </w:rPr>
        <w:t xml:space="preserve">XVI</w:t>
      </w:r>
      <w:r>
        <w:t xml:space="preserve">: 1680, 1702, 2255;</w:t>
      </w:r>
      <w:r>
        <w:t xml:space="preserve"> </w:t>
      </w:r>
      <w:r>
        <w:rPr>
          <w:bCs/>
          <w:b/>
        </w:rPr>
        <w:t xml:space="preserve">XVII</w:t>
      </w:r>
      <w:r>
        <w:t xml:space="preserve">: 1700 = 55 manuskryptów.</w:t>
      </w:r>
    </w:p>
    <w:p>
      <w:pPr>
        <w:numPr>
          <w:ilvl w:val="0"/>
          <w:numId w:val="1035"/>
        </w:numPr>
      </w:pPr>
      <w:r>
        <w:rPr>
          <w:bCs/>
          <w:b/>
        </w:rPr>
        <w:t xml:space="preserve">Mniejsza podgrupa: w 8,9 ma κατεληφθη (jedyna zmiana)</w:t>
      </w:r>
      <w:r>
        <w:t xml:space="preserve"> </w:t>
      </w:r>
      <w:r>
        <w:t xml:space="preserve">—</w:t>
      </w:r>
      <w:r>
        <w:t xml:space="preserve"> </w:t>
      </w:r>
      <w:r>
        <w:rPr>
          <w:bCs/>
          <w:b/>
        </w:rPr>
        <w:t xml:space="preserve">XIII</w:t>
      </w:r>
      <w:r>
        <w:t xml:space="preserve">: 155, 2520;</w:t>
      </w:r>
      <w:r>
        <w:t xml:space="preserve"> </w:t>
      </w:r>
      <w:r>
        <w:rPr>
          <w:bCs/>
          <w:b/>
        </w:rPr>
        <w:t xml:space="preserve">XIV</w:t>
      </w:r>
      <w:r>
        <w:t xml:space="preserve">: 588, 1185;</w:t>
      </w:r>
      <w:r>
        <w:t xml:space="preserve"> </w:t>
      </w:r>
      <w:r>
        <w:rPr>
          <w:bCs/>
          <w:b/>
        </w:rPr>
        <w:t xml:space="preserve">XV</w:t>
      </w:r>
      <w:r>
        <w:t xml:space="preserve">: 1617;</w:t>
      </w:r>
      <w:r>
        <w:t xml:space="preserve"> </w:t>
      </w:r>
      <w:r>
        <w:rPr>
          <w:bCs/>
          <w:b/>
        </w:rPr>
        <w:t xml:space="preserve">XVI</w:t>
      </w:r>
      <w:r>
        <w:t xml:space="preserve">: 1088 = 6 manuskryptów.</w:t>
      </w:r>
    </w:p>
    <w:p>
      <w:pPr>
        <w:numPr>
          <w:ilvl w:val="0"/>
          <w:numId w:val="1035"/>
        </w:numPr>
      </w:pPr>
      <w:r>
        <w:rPr>
          <w:bCs/>
          <w:b/>
        </w:rPr>
        <w:t xml:space="preserve">Mniejsza podgrupa: w 8,7 ma τον λιθον βαλετω επ αυτην (jedyna zmiana)</w:t>
      </w:r>
      <w:r>
        <w:t xml:space="preserve"> </w:t>
      </w:r>
      <w:r>
        <w:t xml:space="preserve">—</w:t>
      </w:r>
      <w:r>
        <w:t xml:space="preserve"> </w:t>
      </w:r>
      <w:r>
        <w:rPr>
          <w:bCs/>
          <w:b/>
        </w:rPr>
        <w:t xml:space="preserve">XII</w:t>
      </w:r>
      <w:r>
        <w:t xml:space="preserve">: 1199;</w:t>
      </w:r>
      <w:r>
        <w:t xml:space="preserve"> </w:t>
      </w:r>
      <w:r>
        <w:rPr>
          <w:bCs/>
          <w:b/>
        </w:rPr>
        <w:t xml:space="preserve">XIV</w:t>
      </w:r>
      <w:r>
        <w:t xml:space="preserve">: 953, 1020, 1147;</w:t>
      </w:r>
      <w:r>
        <w:t xml:space="preserve"> </w:t>
      </w:r>
      <w:r>
        <w:rPr>
          <w:bCs/>
          <w:b/>
        </w:rPr>
        <w:t xml:space="preserve">XV</w:t>
      </w:r>
      <w:r>
        <w:t xml:space="preserve">: 1389 = 5 manuskryptów.</w:t>
      </w:r>
    </w:p>
    <w:p>
      <w:pPr>
        <w:numPr>
          <w:ilvl w:val="0"/>
          <w:numId w:val="1035"/>
        </w:numPr>
      </w:pPr>
      <w:r>
        <w:rPr>
          <w:bCs/>
          <w:b/>
        </w:rPr>
        <w:t xml:space="preserve">Inne manuskrypty z jedną zmianą</w:t>
      </w:r>
      <w:r>
        <w:t xml:space="preserve"> </w:t>
      </w:r>
      <w:r>
        <w:t xml:space="preserve">—</w:t>
      </w:r>
      <w:r>
        <w:t xml:space="preserve"> </w:t>
      </w:r>
      <w:r>
        <w:rPr>
          <w:bCs/>
          <w:b/>
        </w:rPr>
        <w:t xml:space="preserve">XII</w:t>
      </w:r>
      <w:r>
        <w:t xml:space="preserve">: 520, 1401, 2122, 2322;</w:t>
      </w:r>
      <w:r>
        <w:t xml:space="preserve"> </w:t>
      </w:r>
      <w:r>
        <w:rPr>
          <w:bCs/>
          <w:b/>
        </w:rPr>
        <w:t xml:space="preserve">XIII</w:t>
      </w:r>
      <w:r>
        <w:t xml:space="preserve">: 2647;</w:t>
      </w:r>
      <w:r>
        <w:t xml:space="preserve"> </w:t>
      </w:r>
      <w:r>
        <w:rPr>
          <w:bCs/>
          <w:b/>
        </w:rPr>
        <w:t xml:space="preserve">XIV</w:t>
      </w:r>
      <w:r>
        <w:t xml:space="preserve">: 1095, 1503, 2273, 2508;</w:t>
      </w:r>
      <w:r>
        <w:t xml:space="preserve"> </w:t>
      </w:r>
      <w:r>
        <w:rPr>
          <w:bCs/>
          <w:b/>
        </w:rPr>
        <w:t xml:space="preserve">XV</w:t>
      </w:r>
      <w:r>
        <w:t xml:space="preserve">: 575, 2673;</w:t>
      </w:r>
      <w:r>
        <w:t xml:space="preserve"> </w:t>
      </w:r>
      <w:r>
        <w:rPr>
          <w:bCs/>
          <w:b/>
        </w:rPr>
        <w:t xml:space="preserve">XVI</w:t>
      </w:r>
      <w:r>
        <w:t xml:space="preserve">: 1030;</w:t>
      </w:r>
      <w:r>
        <w:t xml:space="preserve"> </w:t>
      </w:r>
      <w:r>
        <w:rPr>
          <w:bCs/>
          <w:b/>
        </w:rPr>
        <w:t xml:space="preserve">XVII</w:t>
      </w:r>
      <w:r>
        <w:t xml:space="preserve">: 2136, 2137, 2497 = 15 manuskryptów.</w:t>
      </w:r>
    </w:p>
    <w:p>
      <w:pPr>
        <w:pStyle w:val="FirstParagraph"/>
      </w:pPr>
      <w:r>
        <w:rPr>
          <w:bCs/>
          <w:b/>
        </w:rPr>
        <w:t xml:space="preserve">+2) Manuskrypty z dwiema zmianami</w:t>
      </w:r>
      <w:r>
        <w:t xml:space="preserve">:</w:t>
      </w:r>
    </w:p>
    <w:p>
      <w:pPr>
        <w:numPr>
          <w:ilvl w:val="0"/>
          <w:numId w:val="1036"/>
        </w:numPr>
        <w:pStyle w:val="Compact"/>
      </w:pPr>
    </w:p>
    <w:p>
      <w:pPr>
        <w:numPr>
          <w:ilvl w:val="1"/>
          <w:numId w:val="1037"/>
        </w:numPr>
        <w:pStyle w:val="Compact"/>
      </w:pPr>
    </w:p>
    <w:p>
      <w:pPr>
        <w:numPr>
          <w:ilvl w:val="2"/>
          <w:numId w:val="1038"/>
        </w:numPr>
        <w:pStyle w:val="Compact"/>
      </w:pPr>
    </w:p>
    <w:p>
      <w:pPr>
        <w:numPr>
          <w:ilvl w:val="3"/>
          <w:numId w:val="1039"/>
        </w:numPr>
        <w:pStyle w:val="Compact"/>
      </w:pPr>
      <w:r>
        <w:t xml:space="preserve">—</w:t>
      </w:r>
      <w:r>
        <w:t xml:space="preserve"> </w:t>
      </w:r>
      <w:r>
        <w:rPr>
          <w:bCs/>
          <w:b/>
        </w:rPr>
        <w:t xml:space="preserve">XII</w:t>
      </w:r>
      <w:r>
        <w:t xml:space="preserve">: 1453, 2559;</w:t>
      </w:r>
      <w:r>
        <w:t xml:space="preserve"> </w:t>
      </w:r>
      <w:r>
        <w:rPr>
          <w:bCs/>
          <w:b/>
        </w:rPr>
        <w:t xml:space="preserve">XV</w:t>
      </w:r>
      <w:r>
        <w:t xml:space="preserve">: 1131;</w:t>
      </w:r>
      <w:r>
        <w:t xml:space="preserve"> </w:t>
      </w:r>
      <w:r>
        <w:rPr>
          <w:bCs/>
          <w:b/>
        </w:rPr>
        <w:t xml:space="preserve">XVIII</w:t>
      </w:r>
      <w:r>
        <w:t xml:space="preserve">: 1325</w:t>
      </w:r>
    </w:p>
    <w:p>
      <w:pPr>
        <w:numPr>
          <w:ilvl w:val="0"/>
          <w:numId w:val="1036"/>
        </w:numPr>
        <w:pStyle w:val="Compact"/>
      </w:pPr>
    </w:p>
    <w:p>
      <w:pPr>
        <w:numPr>
          <w:ilvl w:val="1"/>
          <w:numId w:val="1040"/>
        </w:numPr>
        <w:pStyle w:val="Compact"/>
      </w:pPr>
    </w:p>
    <w:p>
      <w:pPr>
        <w:numPr>
          <w:ilvl w:val="2"/>
          <w:numId w:val="1041"/>
        </w:numPr>
        <w:pStyle w:val="Compact"/>
      </w:pPr>
    </w:p>
    <w:p>
      <w:pPr>
        <w:numPr>
          <w:ilvl w:val="3"/>
          <w:numId w:val="1042"/>
        </w:numPr>
        <w:pStyle w:val="Compact"/>
      </w:pPr>
      <w:r>
        <w:t xml:space="preserve">—</w:t>
      </w:r>
      <w:r>
        <w:t xml:space="preserve"> </w:t>
      </w:r>
      <w:r>
        <w:rPr>
          <w:bCs/>
          <w:b/>
        </w:rPr>
        <w:t xml:space="preserve">XII</w:t>
      </w:r>
      <w:r>
        <w:t xml:space="preserve">: 387, 1813;</w:t>
      </w:r>
      <w:r>
        <w:t xml:space="preserve"> </w:t>
      </w:r>
      <w:r>
        <w:rPr>
          <w:bCs/>
          <w:b/>
        </w:rPr>
        <w:t xml:space="preserve">XIII</w:t>
      </w:r>
      <w:r>
        <w:t xml:space="preserve">: 1552</w:t>
      </w:r>
    </w:p>
    <w:p>
      <w:pPr>
        <w:numPr>
          <w:ilvl w:val="0"/>
          <w:numId w:val="1036"/>
        </w:numPr>
        <w:pStyle w:val="Compact"/>
      </w:pPr>
    </w:p>
    <w:p>
      <w:pPr>
        <w:numPr>
          <w:ilvl w:val="1"/>
          <w:numId w:val="1043"/>
        </w:numPr>
        <w:pStyle w:val="Compact"/>
      </w:pPr>
    </w:p>
    <w:p>
      <w:pPr>
        <w:numPr>
          <w:ilvl w:val="2"/>
          <w:numId w:val="1044"/>
        </w:numPr>
        <w:pStyle w:val="Compact"/>
      </w:pPr>
    </w:p>
    <w:p>
      <w:pPr>
        <w:numPr>
          <w:ilvl w:val="3"/>
          <w:numId w:val="1045"/>
        </w:numPr>
        <w:pStyle w:val="Compact"/>
      </w:pPr>
      <w:r>
        <w:t xml:space="preserve">—</w:t>
      </w:r>
      <w:r>
        <w:t xml:space="preserve"> </w:t>
      </w:r>
      <w:r>
        <w:rPr>
          <w:bCs/>
          <w:b/>
        </w:rPr>
        <w:t xml:space="preserve">XII</w:t>
      </w:r>
      <w:r>
        <w:t xml:space="preserve">: 2260;</w:t>
      </w:r>
      <w:r>
        <w:t xml:space="preserve"> </w:t>
      </w:r>
      <w:r>
        <w:rPr>
          <w:bCs/>
          <w:b/>
        </w:rPr>
        <w:t xml:space="preserve">XIV</w:t>
      </w:r>
      <w:r>
        <w:t xml:space="preserve">: 1599, 1638, 1544</w:t>
      </w:r>
    </w:p>
    <w:p>
      <w:pPr>
        <w:numPr>
          <w:ilvl w:val="0"/>
          <w:numId w:val="1036"/>
        </w:numPr>
        <w:pStyle w:val="Compact"/>
      </w:pPr>
    </w:p>
    <w:p>
      <w:pPr>
        <w:numPr>
          <w:ilvl w:val="1"/>
          <w:numId w:val="1046"/>
        </w:numPr>
        <w:pStyle w:val="Compact"/>
      </w:pPr>
    </w:p>
    <w:p>
      <w:pPr>
        <w:numPr>
          <w:ilvl w:val="2"/>
          <w:numId w:val="1047"/>
        </w:numPr>
        <w:pStyle w:val="Compact"/>
      </w:pPr>
      <w:r>
        <w:t xml:space="preserve">nietypowy —</w:t>
      </w:r>
      <w:r>
        <w:t xml:space="preserve"> </w:t>
      </w:r>
      <w:r>
        <w:rPr>
          <w:bCs/>
          <w:b/>
        </w:rPr>
        <w:t xml:space="preserve">X</w:t>
      </w:r>
      <w:r>
        <w:t xml:space="preserve">: 1166;</w:t>
      </w:r>
      <w:r>
        <w:t xml:space="preserve"> </w:t>
      </w:r>
      <w:r>
        <w:rPr>
          <w:bCs/>
          <w:b/>
        </w:rPr>
        <w:t xml:space="preserve">XIV</w:t>
      </w:r>
      <w:r>
        <w:t xml:space="preserve">: 952, 978, 1062;</w:t>
      </w:r>
      <w:r>
        <w:t xml:space="preserve"> </w:t>
      </w:r>
      <w:r>
        <w:rPr>
          <w:bCs/>
          <w:b/>
        </w:rPr>
        <w:t xml:space="preserve">XVI</w:t>
      </w:r>
      <w:r>
        <w:t xml:space="preserve">: 1591, 2714</w:t>
      </w:r>
    </w:p>
    <w:p>
      <w:pPr>
        <w:numPr>
          <w:ilvl w:val="0"/>
          <w:numId w:val="1036"/>
        </w:numPr>
        <w:pStyle w:val="Compact"/>
      </w:pPr>
    </w:p>
    <w:p>
      <w:pPr>
        <w:numPr>
          <w:ilvl w:val="1"/>
          <w:numId w:val="1048"/>
        </w:numPr>
        <w:pStyle w:val="Compact"/>
      </w:pPr>
    </w:p>
    <w:p>
      <w:pPr>
        <w:numPr>
          <w:ilvl w:val="2"/>
          <w:numId w:val="1049"/>
        </w:numPr>
        <w:pStyle w:val="Compact"/>
      </w:pPr>
    </w:p>
    <w:p>
      <w:pPr>
        <w:numPr>
          <w:ilvl w:val="3"/>
          <w:numId w:val="1050"/>
        </w:numPr>
        <w:pStyle w:val="Compact"/>
      </w:pPr>
      <w:r>
        <w:t xml:space="preserve">—</w:t>
      </w:r>
      <w:r>
        <w:t xml:space="preserve"> </w:t>
      </w:r>
      <w:r>
        <w:rPr>
          <w:bCs/>
          <w:b/>
        </w:rPr>
        <w:t xml:space="preserve">XIII</w:t>
      </w:r>
      <w:r>
        <w:t xml:space="preserve">: 1477, 1497;</w:t>
      </w:r>
      <w:r>
        <w:t xml:space="preserve"> </w:t>
      </w:r>
      <w:r>
        <w:rPr>
          <w:bCs/>
          <w:b/>
        </w:rPr>
        <w:t xml:space="preserve">XIV</w:t>
      </w:r>
      <w:r>
        <w:t xml:space="preserve">: 1181, 1248;</w:t>
      </w:r>
      <w:r>
        <w:t xml:space="preserve"> </w:t>
      </w:r>
      <w:r>
        <w:rPr>
          <w:bCs/>
          <w:b/>
        </w:rPr>
        <w:t xml:space="preserve">XVI</w:t>
      </w:r>
      <w:r>
        <w:t xml:space="preserve">: 2635</w:t>
      </w:r>
    </w:p>
    <w:p>
      <w:pPr>
        <w:numPr>
          <w:ilvl w:val="0"/>
          <w:numId w:val="1036"/>
        </w:numPr>
        <w:pStyle w:val="Compact"/>
      </w:pPr>
    </w:p>
    <w:p>
      <w:pPr>
        <w:numPr>
          <w:ilvl w:val="1"/>
          <w:numId w:val="1051"/>
        </w:numPr>
        <w:pStyle w:val="Compact"/>
      </w:pPr>
      <w:r>
        <w:t xml:space="preserve">2 nietypowe —</w:t>
      </w:r>
      <w:r>
        <w:t xml:space="preserve"> </w:t>
      </w:r>
      <w:r>
        <w:rPr>
          <w:bCs/>
          <w:b/>
        </w:rPr>
        <w:t xml:space="preserve">XI</w:t>
      </w:r>
      <w:r>
        <w:t xml:space="preserve">: 1314, 1384;</w:t>
      </w:r>
      <w:r>
        <w:t xml:space="preserve"> </w:t>
      </w:r>
      <w:r>
        <w:rPr>
          <w:bCs/>
          <w:b/>
        </w:rPr>
        <w:t xml:space="preserve">XIV</w:t>
      </w:r>
      <w:r>
        <w:t xml:space="preserve">: 2265;</w:t>
      </w:r>
      <w:r>
        <w:t xml:space="preserve"> </w:t>
      </w:r>
      <w:r>
        <w:rPr>
          <w:bCs/>
          <w:b/>
        </w:rPr>
        <w:t xml:space="preserve">XV</w:t>
      </w:r>
      <w:r>
        <w:t xml:space="preserve">: 1116, 1348</w:t>
      </w:r>
    </w:p>
    <w:p>
      <w:pPr>
        <w:pStyle w:val="FirstParagraph"/>
      </w:pPr>
      <w:r>
        <w:t xml:space="preserve">= 27 manuskryptów.</w:t>
      </w:r>
    </w:p>
    <w:p>
      <w:pPr>
        <w:pStyle w:val="BodyText"/>
      </w:pPr>
      <w:r>
        <w:rPr>
          <w:bCs/>
          <w:b/>
        </w:rPr>
        <w:t xml:space="preserve">+3) Manuskrypty z trzema zmianami</w:t>
      </w:r>
      <w:r>
        <w:t xml:space="preserve">:</w:t>
      </w:r>
    </w:p>
    <w:p>
      <w:pPr>
        <w:numPr>
          <w:ilvl w:val="0"/>
          <w:numId w:val="1052"/>
        </w:numPr>
        <w:pStyle w:val="Compact"/>
      </w:pPr>
    </w:p>
    <w:p>
      <w:pPr>
        <w:numPr>
          <w:ilvl w:val="1"/>
          <w:numId w:val="1053"/>
        </w:numPr>
        <w:pStyle w:val="Compact"/>
      </w:pPr>
    </w:p>
    <w:p>
      <w:pPr>
        <w:numPr>
          <w:ilvl w:val="2"/>
          <w:numId w:val="1054"/>
        </w:numPr>
        <w:pStyle w:val="Compact"/>
      </w:pPr>
    </w:p>
    <w:p>
      <w:pPr>
        <w:numPr>
          <w:ilvl w:val="3"/>
          <w:numId w:val="1055"/>
        </w:numPr>
        <w:pStyle w:val="Compact"/>
      </w:pPr>
    </w:p>
    <w:p>
      <w:pPr>
        <w:numPr>
          <w:ilvl w:val="4"/>
          <w:numId w:val="1056"/>
        </w:numPr>
        <w:pStyle w:val="Compact"/>
      </w:pPr>
      <w:r>
        <w:t xml:space="preserve">nietypowy —</w:t>
      </w:r>
      <w:r>
        <w:t xml:space="preserve"> </w:t>
      </w:r>
      <w:r>
        <w:rPr>
          <w:bCs/>
          <w:b/>
        </w:rPr>
        <w:t xml:space="preserve">XII</w:t>
      </w:r>
      <w:r>
        <w:t xml:space="preserve">: 105;</w:t>
      </w:r>
      <w:r>
        <w:t xml:space="preserve"> </w:t>
      </w:r>
      <w:r>
        <w:rPr>
          <w:bCs/>
          <w:b/>
        </w:rPr>
        <w:t xml:space="preserve">XVI</w:t>
      </w:r>
      <w:r>
        <w:t xml:space="preserve">: 2715</w:t>
      </w:r>
    </w:p>
    <w:p>
      <w:pPr>
        <w:numPr>
          <w:ilvl w:val="0"/>
          <w:numId w:val="1052"/>
        </w:numPr>
        <w:pStyle w:val="Compact"/>
      </w:pPr>
    </w:p>
    <w:p>
      <w:pPr>
        <w:numPr>
          <w:ilvl w:val="1"/>
          <w:numId w:val="1057"/>
        </w:numPr>
        <w:pStyle w:val="Compact"/>
      </w:pPr>
    </w:p>
    <w:p>
      <w:pPr>
        <w:numPr>
          <w:ilvl w:val="2"/>
          <w:numId w:val="1058"/>
        </w:numPr>
        <w:pStyle w:val="Compact"/>
      </w:pPr>
    </w:p>
    <w:p>
      <w:pPr>
        <w:numPr>
          <w:ilvl w:val="3"/>
          <w:numId w:val="1059"/>
        </w:numPr>
        <w:pStyle w:val="Compact"/>
      </w:pPr>
    </w:p>
    <w:p>
      <w:pPr>
        <w:numPr>
          <w:ilvl w:val="4"/>
          <w:numId w:val="1060"/>
        </w:numPr>
        <w:pStyle w:val="Compact"/>
      </w:pPr>
    </w:p>
    <w:p>
      <w:pPr>
        <w:numPr>
          <w:ilvl w:val="5"/>
          <w:numId w:val="1061"/>
        </w:numPr>
        <w:pStyle w:val="Compact"/>
      </w:pPr>
      <w:r>
        <w:t xml:space="preserve">—</w:t>
      </w:r>
      <w:r>
        <w:t xml:space="preserve"> </w:t>
      </w:r>
      <w:r>
        <w:rPr>
          <w:bCs/>
          <w:b/>
        </w:rPr>
        <w:t xml:space="preserve">XIV</w:t>
      </w:r>
      <w:r>
        <w:t xml:space="preserve">: 806</w:t>
      </w:r>
    </w:p>
    <w:p>
      <w:pPr>
        <w:numPr>
          <w:ilvl w:val="0"/>
          <w:numId w:val="1052"/>
        </w:numPr>
        <w:pStyle w:val="Compact"/>
      </w:pPr>
    </w:p>
    <w:p>
      <w:pPr>
        <w:numPr>
          <w:ilvl w:val="1"/>
          <w:numId w:val="1062"/>
        </w:numPr>
        <w:pStyle w:val="Compact"/>
      </w:pPr>
    </w:p>
    <w:p>
      <w:pPr>
        <w:numPr>
          <w:ilvl w:val="2"/>
          <w:numId w:val="1063"/>
        </w:numPr>
        <w:pStyle w:val="Compact"/>
      </w:pPr>
    </w:p>
    <w:p>
      <w:pPr>
        <w:numPr>
          <w:ilvl w:val="3"/>
          <w:numId w:val="1064"/>
        </w:numPr>
        <w:pStyle w:val="Compact"/>
      </w:pPr>
    </w:p>
    <w:p>
      <w:pPr>
        <w:numPr>
          <w:ilvl w:val="4"/>
          <w:numId w:val="1065"/>
        </w:numPr>
        <w:pStyle w:val="Compact"/>
      </w:pPr>
      <w:r>
        <w:t xml:space="preserve">nietypowy —</w:t>
      </w:r>
      <w:r>
        <w:t xml:space="preserve"> </w:t>
      </w:r>
      <w:r>
        <w:rPr>
          <w:bCs/>
          <w:b/>
        </w:rPr>
        <w:t xml:space="preserve">XII</w:t>
      </w:r>
      <w:r>
        <w:t xml:space="preserve">: 353;</w:t>
      </w:r>
      <w:r>
        <w:t xml:space="preserve"> </w:t>
      </w:r>
      <w:r>
        <w:rPr>
          <w:bCs/>
          <w:b/>
        </w:rPr>
        <w:t xml:space="preserve">XIII</w:t>
      </w:r>
      <w:r>
        <w:t xml:space="preserve">: 966</w:t>
      </w:r>
    </w:p>
    <w:p>
      <w:pPr>
        <w:numPr>
          <w:ilvl w:val="0"/>
          <w:numId w:val="1052"/>
        </w:numPr>
        <w:pStyle w:val="Compact"/>
      </w:pPr>
    </w:p>
    <w:p>
      <w:pPr>
        <w:numPr>
          <w:ilvl w:val="1"/>
          <w:numId w:val="1066"/>
        </w:numPr>
        <w:pStyle w:val="Compact"/>
      </w:pPr>
    </w:p>
    <w:p>
      <w:pPr>
        <w:numPr>
          <w:ilvl w:val="2"/>
          <w:numId w:val="1067"/>
        </w:numPr>
        <w:pStyle w:val="Compact"/>
      </w:pPr>
    </w:p>
    <w:p>
      <w:pPr>
        <w:numPr>
          <w:ilvl w:val="3"/>
          <w:numId w:val="1068"/>
        </w:numPr>
        <w:pStyle w:val="Compact"/>
      </w:pPr>
    </w:p>
    <w:p>
      <w:pPr>
        <w:numPr>
          <w:ilvl w:val="4"/>
          <w:numId w:val="1069"/>
        </w:numPr>
        <w:pStyle w:val="Compact"/>
      </w:pPr>
      <w:r>
        <w:t xml:space="preserve">nietypowy —</w:t>
      </w:r>
      <w:r>
        <w:t xml:space="preserve"> </w:t>
      </w:r>
      <w:r>
        <w:rPr>
          <w:bCs/>
          <w:b/>
        </w:rPr>
        <w:t xml:space="preserve">XV</w:t>
      </w:r>
      <w:r>
        <w:t xml:space="preserve">: 664</w:t>
      </w:r>
    </w:p>
    <w:p>
      <w:pPr>
        <w:numPr>
          <w:ilvl w:val="0"/>
          <w:numId w:val="1052"/>
        </w:numPr>
        <w:pStyle w:val="Compact"/>
      </w:pPr>
    </w:p>
    <w:p>
      <w:pPr>
        <w:numPr>
          <w:ilvl w:val="1"/>
          <w:numId w:val="1070"/>
        </w:numPr>
        <w:pStyle w:val="Compact"/>
      </w:pPr>
    </w:p>
    <w:p>
      <w:pPr>
        <w:numPr>
          <w:ilvl w:val="2"/>
          <w:numId w:val="1071"/>
        </w:numPr>
        <w:pStyle w:val="Compact"/>
      </w:pPr>
      <w:r>
        <w:t xml:space="preserve">2 nietypowe —</w:t>
      </w:r>
      <w:r>
        <w:t xml:space="preserve"> </w:t>
      </w:r>
      <w:r>
        <w:rPr>
          <w:bCs/>
          <w:b/>
        </w:rPr>
        <w:t xml:space="preserve">XII</w:t>
      </w:r>
      <w:r>
        <w:t xml:space="preserve">: 2632;</w:t>
      </w:r>
      <w:r>
        <w:t xml:space="preserve"> </w:t>
      </w:r>
      <w:r>
        <w:rPr>
          <w:bCs/>
          <w:b/>
        </w:rPr>
        <w:t xml:space="preserve">XV</w:t>
      </w:r>
      <w:r>
        <w:t xml:space="preserve">: 56;</w:t>
      </w:r>
      <w:r>
        <w:t xml:space="preserve"> </w:t>
      </w:r>
      <w:r>
        <w:rPr>
          <w:bCs/>
          <w:b/>
        </w:rPr>
        <w:t xml:space="preserve">XVI</w:t>
      </w:r>
      <w:r>
        <w:t xml:space="preserve">: 61</w:t>
      </w:r>
    </w:p>
    <w:p>
      <w:pPr>
        <w:numPr>
          <w:ilvl w:val="0"/>
          <w:numId w:val="1052"/>
        </w:numPr>
        <w:pStyle w:val="Compact"/>
      </w:pPr>
    </w:p>
    <w:p>
      <w:pPr>
        <w:numPr>
          <w:ilvl w:val="1"/>
          <w:numId w:val="1072"/>
        </w:numPr>
        <w:pStyle w:val="Compact"/>
      </w:pPr>
      <w:r>
        <w:t xml:space="preserve">3 nietypowe —</w:t>
      </w:r>
      <w:r>
        <w:t xml:space="preserve"> </w:t>
      </w:r>
      <w:r>
        <w:rPr>
          <w:bCs/>
          <w:b/>
        </w:rPr>
        <w:t xml:space="preserve">XV</w:t>
      </w:r>
      <w:r>
        <w:t xml:space="preserve">: 58</w:t>
      </w:r>
    </w:p>
    <w:p>
      <w:pPr>
        <w:pStyle w:val="FirstParagraph"/>
      </w:pPr>
      <w:r>
        <w:t xml:space="preserve">= 10 manuskryptów.</w:t>
      </w:r>
    </w:p>
    <w:p>
      <w:pPr>
        <w:pStyle w:val="BodyText"/>
      </w:pPr>
      <w:r>
        <w:rPr>
          <w:bCs/>
          <w:b/>
        </w:rPr>
        <w:t xml:space="preserve">Komentarz</w:t>
      </w:r>
      <w:r>
        <w:t xml:space="preserve">: b) i c) różnią się od a) jedynie podobnie brzmiącą samogłoską, natomiast warianty 8 i 14 obejmują jedną literę. Istnieje mała podgrupa (o rozmytych krawędziach) oparta na wariantach 17, 20 i 29. Istnieje większa, bardziej rozmyta grupa, której swego rodzaju podstawę tworzą warianty 1, 16, 17, 28 i 29, z 9 i 19 na obrzeżach, a następnie dalszym zróżnicowaniem. Istnieje 40-50 manuskryptów, w których do podstawy</w:t>
      </w:r>
      <w:r>
        <w:t xml:space="preserve"> </w:t>
      </w:r>
      <w:r>
        <w:rPr>
          <w:bCs/>
          <w:b/>
        </w:rPr>
        <w:t xml:space="preserve">M</w:t>
      </w:r>
      <w:r>
        <w:rPr>
          <w:vertAlign w:val="superscript"/>
          <w:bCs/>
          <w:b/>
        </w:rPr>
        <w:t xml:space="preserve">7</w:t>
      </w:r>
      <w:r>
        <w:t xml:space="preserve"> </w:t>
      </w:r>
      <w:r>
        <w:t xml:space="preserve">dodano różne ilości domieszki (dodając je do jednoznacznych i dzieląc przez 1650, otrzymujemy około 18%). W rzeczywistości uważam, że</w:t>
      </w:r>
      <w:r>
        <w:t xml:space="preserve"> </w:t>
      </w:r>
      <w:r>
        <w:rPr>
          <w:bCs/>
          <w:b/>
        </w:rPr>
        <w:t xml:space="preserve">M</w:t>
      </w:r>
      <w:r>
        <w:rPr>
          <w:vertAlign w:val="superscript"/>
          <w:bCs/>
          <w:b/>
        </w:rPr>
        <w:t xml:space="preserve">7</w:t>
      </w:r>
      <w:r>
        <w:t xml:space="preserve"> </w:t>
      </w:r>
      <w:r>
        <w:t xml:space="preserve">była podstawą, od której odeszli twórcy</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(oraz wszystkich innych grup).</w:t>
      </w:r>
    </w:p>
    <w:p>
      <w:pPr>
        <w:pStyle w:val="BodyText"/>
      </w:pPr>
      <w:r>
        <w:rPr>
          <w:bCs/>
          <w:b/>
        </w:rPr>
        <w:t xml:space="preserve">Komentarz interpretacyjny</w:t>
      </w:r>
      <w:r>
        <w:t xml:space="preserve">: Postępujące „oczyszczanie” strumienia przekazu na przestrzeni stuleci (z perspektywy pierwszeństwa tekstu bizantyjskiego) było uznawane przez wszystkich i każdego, a ich próby wyjaśnienia tego zjawiska zazwyczaj odzwierciedlały ich założenia wstępne. Z mojego punktu widzenia oczywiste wyjaśnienie jest następujące: wszystkie obozy uznają, że najcięższe ataki na czystość Tekstu miały miejsce w II wieku. Jednak „serce Kościoła”, obszar egejski, zdecydowanie najlepiej pod każdym względem przygotowany do czuwania nad wiernym przekazem, po prostu odmawiało kopiowania form aberracyjnych. Manuskryptów zawierających takie formy nie używano (ani nie kopiowano), dlatego wiele z nich przetrwało fizycznie ponad tysiąclecie. Mniej złych form używano (kopie były trudno dostępne), lecz stopniowo przestawano je kopiować. Dlatego zachowane uncjały z IX wieku są dostateczne, w ponad 80% bizantyjskie, lecz nie dość dobre, by je kopiować i ponownie wykorzystywać (gdy lepsze manuskrypty przekształcano w formę minuskułową). Aż do pojawienia się tekstu drukowanego manuskrypty sporządzano po to, by ich używać. Stopniowo używano tylko najlepszych, które wskutek tego zużywano i kopiowano. Proces ten osiągnął kulminację w XIV wieku, gdy osmański cień posuwał się nad Azją Mniejszą, lecz Cesarstwo Bizantyjskie nadal istniało.</w:t>
      </w:r>
    </w:p>
    <w:p>
      <w:pPr>
        <w:pStyle w:val="BodyText"/>
      </w:pPr>
      <w:r>
        <w:t xml:space="preserve">Proszę zauważyć słowa „z perspektywy pierwszeństwa tekstu bizantyjskiego”.</w:t>
      </w:r>
      <w:r>
        <w:t xml:space="preserve"> </w:t>
      </w:r>
      <w:r>
        <w:rPr>
          <w:bCs/>
          <w:b/>
        </w:rPr>
        <w:t xml:space="preserve">Rodzinę 35 wiernie kopiowano od początku do końca</w:t>
      </w:r>
      <w:r>
        <w:t xml:space="preserve">. Dla siedemnastu ksiąg sam mam jedną doskonałą kopię sporządzoną w XV wieku (oprócz rozmaitych kopii doskonałych dla jednej lub większej liczby ksiąg, z XIV, XIII, XII i XI wieku). Aby kopia sporządzona w XV wieku była doskonała, wszyscy jej „przodkowie”</w:t>
      </w:r>
      <w:r>
        <w:t xml:space="preserve"> </w:t>
      </w:r>
      <w:r>
        <w:rPr>
          <w:u w:val="single"/>
        </w:rPr>
        <w:t xml:space="preserve">również musieli być doskonali. Proszę zauważyć, że doskonała kopia czyni wszystkie</w:t>
      </w:r>
      <w:r>
        <w:t xml:space="preserve"> </w:t>
      </w:r>
      <w:r>
        <w:t xml:space="preserve">„kanony” krytyki tekstu nieistotnymi dla każdego punktu późniejszego od powstania archetypu. Jak jednak możemy wiedzieć, że dana kopia jest „doskonała”? Profil archetypalny można ustalić empirycznie przez porównanie wszystkich zachowanych przedstawicieli rodziny (odnoszę się wyłącznie do</w:t>
      </w:r>
      <w:r>
        <w:t xml:space="preserve"> </w:t>
      </w:r>
      <w:r>
        <w:rPr>
          <w:bCs/>
          <w:b/>
        </w:rPr>
        <w:t xml:space="preserve">f</w:t>
      </w:r>
      <w:r>
        <w:rPr>
          <w:vertAlign w:val="superscript"/>
          <w:bCs/>
          <w:b/>
        </w:rPr>
        <w:t xml:space="preserve">35</w:t>
      </w:r>
      <w:r>
        <w:t xml:space="preserve">). Kopia, która doskonale odpowiada archetypowi, jest z konieczności kopią doskonałą. Doskonałe kopie mówią nam jednak coś ważnego o postawie kopistów. To, że wykonywali pracę z taką starannością, przypuszczalnie wskazuje przynajmniej na szacunek, jeśli nie cześć dla tego, co kopiowali — wierzyli, że kopiują Słowo Boże.</w:t>
      </w:r>
      <w:r>
        <w:t xml:space="preserve"> </w:t>
      </w:r>
      <w:r>
        <w:rPr>
          <w:bCs/>
          <w:b/>
        </w:rPr>
        <w:t xml:space="preserve">Ponieważ manuskrypty wszystkich innych linii przekazu kopiowano z mniejszą starannością, kopiści przypuszczalnie dokonywali w swoich umysłach rozróżnienia, najwyraźniej uważając f</w:t>
      </w:r>
      <w:r>
        <w:rPr>
          <w:vertAlign w:val="superscript"/>
          <w:bCs/>
          <w:b/>
        </w:rPr>
        <w:t xml:space="preserve">35</w:t>
      </w:r>
      <w:r>
        <w:rPr>
          <w:bCs/>
          <w:b/>
        </w:rPr>
        <w:t xml:space="preserve"> </w:t>
      </w:r>
      <w:r>
        <w:rPr>
          <w:bCs/>
          <w:b/>
        </w:rPr>
        <w:t xml:space="preserve">za najlepszą linię.</w:t>
      </w:r>
    </w:p>
    <w:bookmarkEnd w:id="353"/>
    <w:bookmarkEnd w:id="354"/>
    <w:bookmarkStart w:id="377" w:name="kiedy-mamy-do-czynienia-z-recenzją"/>
    <w:p>
      <w:pPr>
        <w:pStyle w:val="Heading2"/>
      </w:pPr>
      <w:r>
        <w:t xml:space="preserve">Kiedy mamy do czynienia z „recenzją”?</w:t>
      </w:r>
    </w:p>
    <w:p>
      <w:pPr>
        <w:pStyle w:val="FirstParagraph"/>
      </w:pPr>
      <w:r>
        <w:t xml:space="preserve">„Tekst syryjski musi być w istocie wynikiem «recenzji» we właściwym znaczeniu tego słowa, dziełem zamierzonej krytyki, przeprowadzonej celowo przez redaktorów, a nie jedynie przez skrybów”.</w:t>
      </w:r>
      <w:r>
        <w:rPr>
          <w:rStyle w:val="FootnoteReference"/>
        </w:rPr>
        <w:footnoteReference w:id="355"/>
      </w:r>
      <w:r>
        <w:t xml:space="preserve"> </w:t>
      </w:r>
      <w:r>
        <w:t xml:space="preserve">Nie mam zwyczaju odwoływać się do Fentona Johna Anthony’ego Horta, lecz jego rozumienie „recenzji” jest przypuszczalnie poprawne. Recenzję tworzy określona osoba (lub grupa) w określonym czasie i miejscu. Jeśli ktoś chce postulować lub twierdzić, że dokonano recenzji, i robić to odpowiedzialnie, musi wskazać źródło oraz przedstawić pewne dowody.</w:t>
      </w:r>
      <w:r>
        <w:rPr>
          <w:rStyle w:val="FootnoteReference"/>
        </w:rPr>
        <w:footnoteReference w:id="356"/>
      </w:r>
    </w:p>
    <w:p>
      <w:pPr>
        <w:pStyle w:val="BodyText"/>
      </w:pPr>
      <w:r>
        <w:t xml:space="preserve">Czy wśród manuskryptów zawierających Listy Ogólne istnieją jakieś recenzje? Odpowiedź oprę na kolacjonowaniach przedstawionych w</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357"/>
      </w:r>
      <w:r>
        <w:t xml:space="preserve"> </w:t>
      </w:r>
      <w:r>
        <w:t xml:space="preserve">Skolacjonowano w nich około 555 manuskryptów, z których około 30 jest fragmentarycznych, stanowi to około 85% ogółu zachowanych manuskryptów. Posłużę się wymogiem Colwella dotyczącym 70% zgodności, aby manuskrypty mogły zostać zaklasyfikowane do tego samego typu tekstu (chociaż sam wymagam co najmniej 80%). Ponieważ</w:t>
      </w:r>
      <w:r>
        <w:t xml:space="preserve"> </w:t>
      </w:r>
      <w:r>
        <w:rPr>
          <w:iCs/>
          <w:i/>
        </w:rPr>
        <w:t xml:space="preserve">TuT</w:t>
      </w:r>
      <w:r>
        <w:t xml:space="preserve"> </w:t>
      </w:r>
      <w:r>
        <w:t xml:space="preserve">przedstawia 98 zestawów wariantów rozłożonych w siedmiu Listach, mamy korpus, który przypuszczalnie jest dość reprezentatywny. Chociaż o ile mi wiadomo,</w:t>
      </w:r>
      <w:r>
        <w:t xml:space="preserve"> </w:t>
      </w:r>
      <w:r>
        <w:rPr>
          <w:iCs/>
          <w:i/>
        </w:rPr>
        <w:t xml:space="preserve">Institut</w:t>
      </w:r>
      <w:r>
        <w:t xml:space="preserve"> </w:t>
      </w:r>
      <w:r>
        <w:t xml:space="preserve">nigdy nie ujawnił kryteriów, według których wybrano zestawy, wybrane zestawy są znaczące (nie błahe).</w:t>
      </w:r>
    </w:p>
    <w:bookmarkStart w:id="358" w:name="recenzja-aleksandryjska"/>
    <w:p>
      <w:pPr>
        <w:pStyle w:val="Heading3"/>
      </w:pPr>
      <w:r>
        <w:t xml:space="preserve">Recenzja aleksandryjska?</w:t>
      </w:r>
    </w:p>
    <w:p>
      <w:pPr>
        <w:pStyle w:val="FirstParagraph"/>
      </w:pPr>
      <w:r>
        <w:t xml:space="preserve">Czy istnieje recenzja lub typ tekstu egipski bądź aleksandryjski?</w:t>
      </w:r>
      <w:r>
        <w:t xml:space="preserve"> </w:t>
      </w:r>
      <w:r>
        <w:rPr>
          <w:iCs/>
          <w:i/>
        </w:rPr>
        <w:t xml:space="preserve">TuT</w:t>
      </w:r>
      <w:r>
        <w:t xml:space="preserve"> </w:t>
      </w:r>
      <w:r>
        <w:t xml:space="preserve">podąża za tekstem „standardowym”, który nazywa LESART 2. Żaden manuskrypt nie ma tego profilu. Najbliższy jest Kodeks B, który odbiega od niego 13 razy na 98, przy czym trzy to podwarianty, a cztery to odczyty singularne (łącznie z dwoma podwariantami) — zgodność wynosi 86,7% (po pominięciu podwariantów wynosi 89,8%). Następny jest rękopis kursywny 1739, który odbiega 29 razy na 98, przy czym cztery to podwarianty, a żaden nie jest odczytem singularnym — zgodność wynosi 70,4% (po pominięciu podwariantów wynosi 74,5%). Następny jest P</w:t>
      </w:r>
      <w:r>
        <w:rPr>
          <w:vertAlign w:val="superscript"/>
        </w:rPr>
        <w:t xml:space="preserve">74</w:t>
      </w:r>
      <w:r>
        <w:t xml:space="preserve"> </w:t>
      </w:r>
      <w:r>
        <w:t xml:space="preserve">(VII wiek), który odbiega 3 razy na 10, przy czym jeden to podwariant, a jeden to odczyt singularny — zgodność wynosi 70% (po pominięciu podwariantu wynosi 80%). Następny jest Kodeks A, który odbiega 34 razy na 98, przy czym cztery to podwarianty, a żaden nie jest odczytem singularnym — zgodność wynosi 65,3% (po pominięciu podwariantów wynosi 69,4%). Następny jest Kodeks C, który odbiega 24 razy na 66, przy czym jeden to podwariant, a cztery to odczyty singularne — zgodność wynosi 63,6% (po pominięciu podwariantu wynosi 65,2%). Następny jest rękopis kursywny 1852, który odbiega 36 razy na 95, przy czym dwa to podwarianty, a żaden nie jest odczytem singularnym — zgodność wynosi 62,1% (po pominięciu podwariantów wynosi 64,2%). Następny jest Kodeks ℵ, który odbiega 40 razy na 98, przy czym siedem to podwarianty, a dziewięć to odczyty singularne (łącznie z czterema podwariantami) — zgodność wynosi 59,2% (po pominięciu podwariantów wynosi 66,3%). Następny jest Kodeks 044 (około 800 roku), który odbiega 40 razy na 97, przy czym cztery to podwarianty, a siedem to odczyty singularne (łącznie z trzema podwariantami) — zgodność wynosi 59% (po pominięciu podwariantów wynosi 62,9%). Następny jest Kodeks 048 (V wiek), który odbiega 8 razy na 18, przy czym jeden to podwariant, a żaden nie jest odczytem singularnym — zgodność wynosi 55,6% (po pominięciu podwariantu wynosi 61,1%). Nie następnym jest P</w:t>
      </w:r>
      <w:r>
        <w:rPr>
          <w:vertAlign w:val="superscript"/>
        </w:rPr>
        <w:t xml:space="preserve">72</w:t>
      </w:r>
      <w:r>
        <w:t xml:space="preserve">, który odbiega 18 razy na 38, przy czym sześć to podwarianty, a dziewięć to odczyty singularne (łącznie z trzema podwariantami) — zgodność wynosi 52,6% (po pominięciu podwariantów wynosi 68,4%). Kodeks B jest wyraźnie najważniejszym manuskryptem w schemacie Alanda, a tekst „standardowy” jest kompozycją.</w:t>
      </w:r>
    </w:p>
    <w:p>
      <w:pPr>
        <w:pStyle w:val="BodyText"/>
      </w:pPr>
      <w:r>
        <w:t xml:space="preserve">Czy istnieje tutaj jednak egipski typ tekstu? Otóż</w:t>
      </w:r>
      <w:r>
        <w:t xml:space="preserve"> </w:t>
      </w:r>
      <w:r>
        <w:rPr>
          <w:bCs/>
          <w:b/>
        </w:rPr>
        <w:t xml:space="preserve">B</w:t>
      </w:r>
      <w:r>
        <w:t xml:space="preserve"> </w:t>
      </w:r>
      <w:r>
        <w:t xml:space="preserve">i ℵ różnią się w 44 spośród 98 zestawów, ich zgodność wynosi więc 55,1%.</w:t>
      </w:r>
      <w:r>
        <w:t xml:space="preserve"> </w:t>
      </w:r>
      <w:r>
        <w:rPr>
          <w:bCs/>
          <w:b/>
        </w:rPr>
        <w:t xml:space="preserve">B</w:t>
      </w:r>
      <w:r>
        <w:t xml:space="preserve"> </w:t>
      </w:r>
      <w:r>
        <w:t xml:space="preserve">i</w:t>
      </w:r>
      <w:r>
        <w:t xml:space="preserve"> </w:t>
      </w:r>
      <w:r>
        <w:rPr>
          <w:bCs/>
          <w:b/>
        </w:rPr>
        <w:t xml:space="preserve">A</w:t>
      </w:r>
      <w:r>
        <w:t xml:space="preserve"> </w:t>
      </w:r>
      <w:r>
        <w:t xml:space="preserve">różnią się w 43 spośród 98 zestawów, ich zgodność wynosi więc 56,1%.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19 spośród 38 zestawów, ich zgodność wynosi więc 50%.</w:t>
      </w:r>
      <w:r>
        <w:t xml:space="preserve"> </w:t>
      </w:r>
      <w:r>
        <w:rPr>
          <w:bCs/>
          <w:b/>
        </w:rPr>
        <w:t xml:space="preserve">B</w:t>
      </w:r>
      <w:r>
        <w:t xml:space="preserve"> </w:t>
      </w:r>
      <w:r>
        <w:t xml:space="preserve">i</w:t>
      </w:r>
      <w:r>
        <w:t xml:space="preserve"> </w:t>
      </w:r>
      <w:r>
        <w:rPr>
          <w:bCs/>
          <w:b/>
        </w:rPr>
        <w:t xml:space="preserve">C</w:t>
      </w:r>
      <w:r>
        <w:t xml:space="preserve"> </w:t>
      </w:r>
      <w:r>
        <w:t xml:space="preserve">różnią się w 27 spośród 66 zestawów, ich zgodność wynosi więc 59,1%.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w:t>
      </w:r>
      <w:r>
        <w:t xml:space="preserve"> </w:t>
      </w:r>
      <w:r>
        <w:rPr>
          <w:bCs/>
          <w:b/>
        </w:rPr>
        <w:t xml:space="preserve">B</w:t>
      </w:r>
      <w:r>
        <w:t xml:space="preserve"> </w:t>
      </w:r>
      <w:r>
        <w:t xml:space="preserve">i</w:t>
      </w:r>
      <w:r>
        <w:t xml:space="preserve"> </w:t>
      </w:r>
      <w:r>
        <w:rPr>
          <w:bCs/>
          <w:b/>
        </w:rPr>
        <w:t xml:space="preserve">1739</w:t>
      </w:r>
      <w:r>
        <w:t xml:space="preserve"> </w:t>
      </w:r>
      <w:r>
        <w:t xml:space="preserve">różnią się w 37 spośród 98 zestawów, ich zgodność wynosi więc 62,2%.</w:t>
      </w:r>
      <w:r>
        <w:t xml:space="preserve"> </w:t>
      </w:r>
      <w:r>
        <w:rPr>
          <w:bCs/>
          <w:b/>
        </w:rPr>
        <w:t xml:space="preserve">A</w:t>
      </w:r>
      <w:r>
        <w:t xml:space="preserve"> </w:t>
      </w:r>
      <w:r>
        <w:t xml:space="preserve">i ℵ różnią się w 35 spośród 98 zestawów, ich zgodność wynosi więc 64,3%.</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24 spośród 38 zestawów, ich zgodność wynosi więc 36,8%.</w:t>
      </w:r>
      <w:r>
        <w:t xml:space="preserve"> </w:t>
      </w:r>
      <w:r>
        <w:rPr>
          <w:bCs/>
          <w:b/>
        </w:rPr>
        <w:t xml:space="preserve">A</w:t>
      </w:r>
      <w:r>
        <w:t xml:space="preserve"> </w:t>
      </w:r>
      <w:r>
        <w:t xml:space="preserve">i</w:t>
      </w:r>
      <w:r>
        <w:t xml:space="preserve"> </w:t>
      </w:r>
      <w:r>
        <w:rPr>
          <w:bCs/>
          <w:b/>
        </w:rPr>
        <w:t xml:space="preserve">C</w:t>
      </w:r>
      <w:r>
        <w:t xml:space="preserve"> </w:t>
      </w:r>
      <w:r>
        <w:t xml:space="preserve">różnią się w 26 spośród 66 zestawów, ich zgodność wynosi więc 60,6%.</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4 spośród 10 zestawów, ich zgodność wynosi więc 60%.</w:t>
      </w:r>
      <w:r>
        <w:t xml:space="preserve"> </w:t>
      </w:r>
      <w:r>
        <w:rPr>
          <w:bCs/>
          <w:b/>
        </w:rPr>
        <w:t xml:space="preserve">A</w:t>
      </w:r>
      <w:r>
        <w:t xml:space="preserve"> </w:t>
      </w:r>
      <w:r>
        <w:t xml:space="preserve">i</w:t>
      </w:r>
      <w:r>
        <w:t xml:space="preserve"> </w:t>
      </w:r>
      <w:r>
        <w:rPr>
          <w:bCs/>
          <w:b/>
        </w:rPr>
        <w:t xml:space="preserve">1739</w:t>
      </w:r>
      <w:r>
        <w:t xml:space="preserve"> </w:t>
      </w:r>
      <w:r>
        <w:t xml:space="preserve">różnią się w 36 spośród 98 zestawów, ich zgodność wynosi więc 63,3%. ℵ i</w:t>
      </w:r>
      <w:r>
        <w:t xml:space="preserve"> </w:t>
      </w:r>
      <w:r>
        <w:rPr>
          <w:bCs/>
          <w:b/>
        </w:rPr>
        <w:t xml:space="preserve">P</w:t>
      </w:r>
      <w:r>
        <w:rPr>
          <w:vertAlign w:val="superscript"/>
          <w:bCs/>
          <w:b/>
        </w:rPr>
        <w:t xml:space="preserve">72</w:t>
      </w:r>
      <w:r>
        <w:t xml:space="preserve"> </w:t>
      </w:r>
      <w:r>
        <w:t xml:space="preserve">różnią się w 26 spośród 38 zestawów, ich zgodność wynosi więc 31,6%. ℵ i</w:t>
      </w:r>
      <w:r>
        <w:t xml:space="preserve"> </w:t>
      </w:r>
      <w:r>
        <w:rPr>
          <w:bCs/>
          <w:b/>
        </w:rPr>
        <w:t xml:space="preserve">C</w:t>
      </w:r>
      <w:r>
        <w:t xml:space="preserve"> </w:t>
      </w:r>
      <w:r>
        <w:t xml:space="preserve">różnią się w 30 spośród 66 zestawów, ich zgodność wynosi więc 54,5%. ℵ 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 ℵ i</w:t>
      </w:r>
      <w:r>
        <w:t xml:space="preserve"> </w:t>
      </w:r>
      <w:r>
        <w:rPr>
          <w:bCs/>
          <w:b/>
        </w:rPr>
        <w:t xml:space="preserve">1739</w:t>
      </w:r>
      <w:r>
        <w:t xml:space="preserve"> </w:t>
      </w:r>
      <w:r>
        <w:t xml:space="preserve">różnią się w 46 spośród 98 zestawów, ich zgodność wynosi więc 53,1%.</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18 spośród 31 zestawów, ich zgodność wynosi więc 41,9%.</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w:t>
      </w:r>
      <w:r>
        <w:t xml:space="preserve"> </w:t>
      </w:r>
      <w:r>
        <w:rPr>
          <w:bCs/>
          <w:b/>
        </w:rPr>
        <w:t xml:space="preserve">C</w:t>
      </w:r>
      <w:r>
        <w:t xml:space="preserve"> </w:t>
      </w:r>
      <w:r>
        <w:t xml:space="preserve">i</w:t>
      </w:r>
      <w:r>
        <w:t xml:space="preserve"> </w:t>
      </w:r>
      <w:r>
        <w:rPr>
          <w:bCs/>
          <w:b/>
        </w:rPr>
        <w:t xml:space="preserve">1739</w:t>
      </w:r>
      <w:r>
        <w:t xml:space="preserve"> </w:t>
      </w:r>
      <w:r>
        <w:t xml:space="preserve">różnią się w 23 spośród 66 zestawów, ich zgodność wynosi więc 65,2%.</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22 spośród 38 zestawów, ich zgodność wynosi więc 42,1%.</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 Na podstawie tych dowodów Colwell nie pozwoliłby nam twierdzić, że istnieje typ tekstu. Wczesne manuskrypty najwyraźniej uległy wspólnemu wpływowi, lecz każdy zboczył na prywatną ścieżkę. Żadne dwa zestawy nie mają takiego samego wykazu rozbieżności. Każdy z nich jest z pewnością niezależny w swoim pokoleniu. Wspólny wpływ dostrzegalny we wczesnych manuskryptach musiał mieć źródło, lecz źródło to jest naprawdę zbyt niewyraźne, by kwalifikować się jako recenzja.</w:t>
      </w:r>
    </w:p>
    <w:bookmarkEnd w:id="358"/>
    <w:bookmarkStart w:id="374" w:name="recenzja-bizantyjska"/>
    <w:p>
      <w:pPr>
        <w:pStyle w:val="Heading3"/>
      </w:pPr>
      <w:r>
        <w:t xml:space="preserve">Recenzja bizantyjska?</w:t>
      </w:r>
    </w:p>
    <w:p>
      <w:pPr>
        <w:pStyle w:val="FirstParagraph"/>
      </w:pPr>
      <w:r>
        <w:t xml:space="preserve">LESART 1 jest tekstem większościowym w najściślejszym znaczeniu. Aland podążał za odczytem większościowym w każdym przypadku z wyjątkiem dwóch zestawów wariantów, w których nie ma wariantu większościowego, i tam podążał za większością względną (zestaw 32, 1 List Piotra 3,16 — καταλαλωσιν ma 49,8% wobec καταλαλουσιν z 44,6%) (zestaw 34, 1 List Piotra 4,3 — ημιν ma 47,1% wobec υμιν z 41,7%). Ubocznym skutkiem tej procedury jest to, że żaden manuskrypt nie ma dokładnie tego profilu — znalazłem cztery manuskrypty różniące się zaledwie dwoma wariantami (607, 639, 1730, 2423) i pięć różniących się trzema. Podstawowy profil</w:t>
      </w:r>
      <w:r>
        <w:t xml:space="preserve"> </w:t>
      </w:r>
      <w:r>
        <w:rPr>
          <w:bCs/>
          <w:b/>
        </w:rPr>
        <w:t xml:space="preserve">f</w:t>
      </w:r>
      <w:r>
        <w:rPr>
          <w:vertAlign w:val="superscript"/>
          <w:bCs/>
          <w:b/>
        </w:rPr>
        <w:t xml:space="preserve">35</w:t>
      </w:r>
      <w:r>
        <w:t xml:space="preserve"> </w:t>
      </w:r>
      <w:r>
        <w:t xml:space="preserve">odbiega pięcioma.</w:t>
      </w:r>
    </w:p>
    <w:p>
      <w:pPr>
        <w:pStyle w:val="BodyText"/>
      </w:pPr>
      <w:r>
        <w:t xml:space="preserve">Po przeanalizowaniu profili około 555 manuskryptów, poza</w:t>
      </w:r>
      <w:r>
        <w:t xml:space="preserve"> </w:t>
      </w:r>
      <w:r>
        <w:rPr>
          <w:bCs/>
          <w:b/>
        </w:rPr>
        <w:t xml:space="preserve">f</w:t>
      </w:r>
      <w:r>
        <w:rPr>
          <w:vertAlign w:val="superscript"/>
          <w:bCs/>
          <w:b/>
        </w:rPr>
        <w:t xml:space="preserve">35</w:t>
      </w:r>
      <w:r>
        <w:t xml:space="preserve"> </w:t>
      </w:r>
      <w:r>
        <w:t xml:space="preserve">znalazłem dokładnie jeden zespół czterech manuskryptów (82, 699, 1668, 2484) z kilkoma przyłączonymi oraz jeden zespół trzech manuskryptów (390, 912, 1594), również z kilkoma przyłączonymi, a także dziewięć par — wszystkie pozostałe mają prywatne profile (łącznie z „przyłączonymi”).</w:t>
      </w:r>
    </w:p>
    <w:p>
      <w:pPr>
        <w:pStyle w:val="BodyText"/>
      </w:pPr>
      <w:r>
        <w:t xml:space="preserve">W obrębie</w:t>
      </w:r>
      <w:r>
        <w:t xml:space="preserve"> </w:t>
      </w:r>
      <w:r>
        <w:rPr>
          <w:bCs/>
          <w:b/>
        </w:rPr>
        <w:t xml:space="preserve">f</w:t>
      </w:r>
      <w:r>
        <w:rPr>
          <w:vertAlign w:val="superscript"/>
          <w:bCs/>
          <w:b/>
        </w:rPr>
        <w:t xml:space="preserve">35</w:t>
      </w:r>
      <w:r>
        <w:t xml:space="preserve"> </w:t>
      </w:r>
      <w:r>
        <w:t xml:space="preserve">31 manuskryptów ma profil podstawowy, istnieje podgrupa 6 manuskryptów, kolejna 4, kolejna 3 oraz dwie pary — tych 17 manuskryptów oraz kolejnych 10 różni się od profilu podstawowego tylko jednym wariantem. Istnieje 15 manuskryptów różniących się dwoma i 7 różniących się trzema, co daje łącznie 80 manuskryptów (z których 32 mają prywatne profile), a ponadto kilka innych na obrzeżach.</w:t>
      </w:r>
    </w:p>
    <w:p>
      <w:pPr>
        <w:pStyle w:val="BodyText"/>
      </w:pPr>
      <w:r>
        <w:t xml:space="preserve">Odkładając na bok wszystkie manuskrypty o wspólnym profilu oraz około 30 mających mniej niż 11% całości, pozostaje nam około 450 manuskryptów o prywatnym profilu (na podstawie 98 zestawów wariantów), z których zdecydowana większość jest bizantyjska. Patrzymy na normalny przekaz, nie na masową produkcję jednego egzemplarza.</w:t>
      </w:r>
    </w:p>
    <w:p>
      <w:pPr>
        <w:pStyle w:val="BodyText"/>
      </w:pPr>
      <w:r>
        <w:t xml:space="preserve">Odkładając na bok manuskrypty fragmentaryczne, około 40 znajduje się poniżej progu Colwella wynoszącego 70%, wszystkie pozostałe (około 485) kwalifikowałyby się jako członkowie jednego typu tekstu, który możemy nazwać bizantyjskim. Przy moim progu 80% tracimy kolejnych 17 manuskryptów, pozostaje około 470. Naprawdę wolałbym jednak 90%, a przy tym progu tracimy kolejnych 46 — nazwijmy to około 420 manuskryptami. Odkładając na bok 30 fragmentarycznych, dzieląc 420 przez 525, otrzymujemy 80% manuskryptów, które są silnie bizantyjskie</w:t>
      </w:r>
      <w:r>
        <w:rPr>
          <w:rStyle w:val="FootnoteReference"/>
        </w:rPr>
        <w:footnoteReference w:id="359"/>
      </w:r>
      <w:r>
        <w:t xml:space="preserve"> </w:t>
      </w:r>
      <w:r>
        <w:t xml:space="preserve">(przy progu 80% otrzymujemy prawie 90%) (przy progu 70% otrzymujemy 92%). 345 spośród 420 ma prywatne profile — z możliwym wyjątkiem</w:t>
      </w:r>
      <w:r>
        <w:t xml:space="preserve"> </w:t>
      </w:r>
      <w:r>
        <w:rPr>
          <w:bCs/>
          <w:b/>
        </w:rPr>
        <w:t xml:space="preserve">f</w:t>
      </w:r>
      <w:r>
        <w:rPr>
          <w:vertAlign w:val="superscript"/>
          <w:bCs/>
          <w:b/>
        </w:rPr>
        <w:t xml:space="preserve">35</w:t>
      </w:r>
      <w:r>
        <w:t xml:space="preserve"> </w:t>
      </w:r>
      <w:r>
        <w:t xml:space="preserve">nie było „upychania urny wyborczej”.</w:t>
      </w:r>
    </w:p>
    <w:p>
      <w:pPr>
        <w:pStyle w:val="BodyText"/>
      </w:pPr>
      <w:r>
        <w:t xml:space="preserve">Chociaż</w:t>
      </w:r>
      <w:r>
        <w:t xml:space="preserve"> </w:t>
      </w:r>
      <w:r>
        <w:rPr>
          <w:bCs/>
          <w:b/>
        </w:rPr>
        <w:t xml:space="preserve">f</w:t>
      </w:r>
      <w:r>
        <w:rPr>
          <w:vertAlign w:val="superscript"/>
          <w:bCs/>
          <w:b/>
        </w:rPr>
        <w:t xml:space="preserve">35</w:t>
      </w:r>
      <w:r>
        <w:t xml:space="preserve"> </w:t>
      </w:r>
      <w:r>
        <w:t xml:space="preserve">wyraźnie mieści się w strumieniu bizantyjskim, wyłączę ją i potraktuję oddzielnie. 420 minus 80 równa się 340 silnie bizantyjskim manuskryptom, z których tylko 25 ma wspólny profil. Oczywiście mamy typ tekstu, lecz czy jest to recenzja? Aby postulować recenzję, potrzebujemy źródła — kto jej dokonał, kiedy i gdzie? I przy użyciu czego? Czy tylko zredagował istniejące materiały, czy wymyślił niektóre warianty? Jeśli je wymyślił, czy istnieje dostrzegalny wzorzec wyjaśniający jego postawę?</w:t>
      </w:r>
    </w:p>
    <w:p>
      <w:pPr>
        <w:pStyle w:val="BodyText"/>
      </w:pPr>
      <w:r>
        <w:t xml:space="preserve">Mamy 315 silnie bizantyjskich manuskryptów (bez</w:t>
      </w:r>
      <w:r>
        <w:t xml:space="preserve"> </w:t>
      </w:r>
      <w:r>
        <w:rPr>
          <w:bCs/>
          <w:b/>
        </w:rPr>
        <w:t xml:space="preserve">f</w:t>
      </w:r>
      <w:r>
        <w:rPr>
          <w:vertAlign w:val="superscript"/>
          <w:bCs/>
          <w:b/>
        </w:rPr>
        <w:t xml:space="preserve">35</w:t>
      </w:r>
      <w:r>
        <w:t xml:space="preserve">) o prywatnych profilach — są one niezależne w swoim pokoleniu, przypuszczalnie reprezentują tyle samo egzemplarzy, również przypuszczalnie niezależnych w swoim pokoleniu itd. Przynajmniej częściowo z tego powodu uczeni od Horta po Alanda uznawali, że żadna „recenzja” bizantyjska nie mogła powstać później niż w IV wieku.</w:t>
      </w:r>
    </w:p>
    <w:p>
      <w:pPr>
        <w:pStyle w:val="BodyText"/>
      </w:pPr>
      <w:r>
        <w:t xml:space="preserve">Przed podjęciem kwestii</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jako możliwej recenzji chcę rozważyć inne aspekty ogólnych dowodów przedstawionych w</w:t>
      </w:r>
      <w:r>
        <w:t xml:space="preserve"> </w:t>
      </w:r>
      <w:r>
        <w:rPr>
          <w:iCs/>
          <w:i/>
        </w:rPr>
        <w:t xml:space="preserve">TuT</w:t>
      </w:r>
      <w:r>
        <w:t xml:space="preserve">. Spośród skolacjonowanych manuskryptów 78 jest datowanych. Istnieje dziewięć par manuskryptów z tą samą datą (lecz nie więcej niż dwa manuskrypty na rok — 60 ma więc prywatny rok), w ośmiu z nich te dwa manuskrypty mają zupełnie odmienne profile, w dziewiątej parze oba manuskrypty są</w:t>
      </w:r>
      <w:r>
        <w:t xml:space="preserve"> </w:t>
      </w:r>
      <w:r>
        <w:rPr>
          <w:bCs/>
          <w:b/>
        </w:rPr>
        <w:t xml:space="preserve">f</w:t>
      </w:r>
      <w:r>
        <w:rPr>
          <w:vertAlign w:val="superscript"/>
          <w:bCs/>
          <w:b/>
        </w:rPr>
        <w:t xml:space="preserve">35</w:t>
      </w:r>
      <w:r>
        <w:t xml:space="preserve">, lecz różnią się jednym wariantem. Oba znajdują się na górze Athos, lecz w różnych klasztorach — jest wysoce nieprawdopodobne, by miały ten sam egzemplarz. Nie ma tutaj dowodów masowej produkcji. Dlaczego jednak mnich na górze Athos miałby sporządzić kopię w 1280 roku po Chr.? Jeśli</w:t>
      </w:r>
      <w:r>
        <w:t xml:space="preserve"> </w:t>
      </w:r>
      <w:r>
        <w:rPr>
          <w:u w:val="single"/>
        </w:rPr>
        <w:t xml:space="preserve">kopia nadal tam jest, nie sporządzono jej, aby zrealizować zamówienie z miasta. Dlaczego więc</w:t>
      </w:r>
      <w:r>
        <w:t xml:space="preserve"> </w:t>
      </w:r>
      <w:r>
        <w:t xml:space="preserve">to uczynił — jako religijne ćwiczenie czy obowiązek? Co jednak kopiował? Najbardziej prawdopodobne wydaje mi się, że kopiował stary egzemplarz wykazujący oznaki zużycia, aby zachować jego tekst. Wykażę niżej, że manuskrypty sporządzone w jednym klasztorze opierały się na odrębnych egzemplarzach (jak wskazali Lake, Blake i New około 85 lat temu).</w:t>
      </w:r>
      <w:r>
        <w:rPr>
          <w:rStyle w:val="FootnoteReference"/>
        </w:rPr>
        <w:footnoteReference w:id="360"/>
      </w:r>
    </w:p>
    <w:bookmarkStart w:id="363" w:name="góra-athos"/>
    <w:p>
      <w:pPr>
        <w:pStyle w:val="Heading4"/>
      </w:pPr>
      <w:r>
        <w:rPr>
          <w:iCs/>
          <w:i/>
        </w:rPr>
        <w:t xml:space="preserve">Góra Athos</w:t>
      </w:r>
    </w:p>
    <w:p>
      <w:pPr>
        <w:pStyle w:val="FirstParagraph"/>
      </w:pPr>
      <w:r>
        <w:t xml:space="preserve">Słyszałem twierdzenie, że manuskrypty z góry Athos są podejrzane o masową produkcję i dostosowywanie do arbitralnego standardu. Podejrzewam, że mówiący nie wiedział, iż na tym obszarze istnieje wiele odrębnych klasztorów.</w:t>
      </w:r>
      <w:r>
        <w:t xml:space="preserve"> </w:t>
      </w:r>
      <w:r>
        <w:rPr>
          <w:iCs/>
          <w:i/>
        </w:rPr>
        <w:t xml:space="preserve">TuT</w:t>
      </w:r>
      <w:r>
        <w:t xml:space="preserve"> </w:t>
      </w:r>
      <w:r>
        <w:t xml:space="preserve">wymienia zaledwie dwadzieścia.</w:t>
      </w:r>
      <w:r>
        <w:rPr>
          <w:rStyle w:val="FootnoteReference"/>
        </w:rPr>
        <w:footnoteReference w:id="361"/>
      </w:r>
      <w:r>
        <w:t xml:space="preserve"> </w:t>
      </w:r>
      <w:r>
        <w:t xml:space="preserve">Przypomnijmy, że klasztory te reprezentowały różne patriarchaty, zakony, kraje, a nawet języki. Przeciętne małe miasto w USA prawdopodobnie będzie miało zbór Zborów Bożych, kościół baptystyczny, kościół biblijny, kościół kongregacjonalny, kościół episkopalny, kościół metodystyczny, kościół prezbiteriański, jakiś kościół neopentekostalny i inne. Jak odnoszą się do siebie? W jakim stopniu łączą siły? Nawet ogólnomiejska kampania ewangelizacyjna nie zgromadzi ich wszystkich. Czy mnisi w Cesarstwie Bizantyjskim różnili się od pastorów w USA? Czy natura ludzka się zmieniła? Chodzi mi o to, że między klasztorami prawdopodobnie bardzo rzadko porównywano notatki w sprawie takiej jak kopiowanie manuskryptów.</w:t>
      </w:r>
    </w:p>
    <w:p>
      <w:pPr>
        <w:pStyle w:val="BodyText"/>
      </w:pPr>
      <w:r>
        <w:t xml:space="preserve">Rozważmy: Grigoriu, Pavlu i Protatu wymieniono z jednym manuskryptem każdy (dla Listów Ogólnych),</w:t>
      </w:r>
      <w:r>
        <w:rPr>
          <w:rStyle w:val="FootnoteReference"/>
        </w:rPr>
        <w:footnoteReference w:id="362"/>
      </w:r>
      <w:r>
        <w:t xml:space="preserve"> </w:t>
      </w:r>
      <w:r>
        <w:t xml:space="preserve">z których żaden nie należy do</w:t>
      </w:r>
      <w:r>
        <w:t xml:space="preserve"> </w:t>
      </w:r>
      <w:r>
        <w:rPr>
          <w:bCs/>
          <w:b/>
        </w:rPr>
        <w:t xml:space="preserve">f</w:t>
      </w:r>
      <w:r>
        <w:rPr>
          <w:vertAlign w:val="superscript"/>
          <w:bCs/>
          <w:b/>
        </w:rPr>
        <w:t xml:space="preserve">35</w:t>
      </w:r>
      <w:r>
        <w:t xml:space="preserve">. Karakallu i Kavsokalyvion wymieniono z jednym manuskryptem</w:t>
      </w:r>
      <w:r>
        <w:t xml:space="preserve"> </w:t>
      </w:r>
      <w:r>
        <w:rPr>
          <w:bCs/>
          <w:b/>
        </w:rPr>
        <w:t xml:space="preserve">f</w:t>
      </w:r>
      <w:r>
        <w:rPr>
          <w:vertAlign w:val="superscript"/>
          <w:bCs/>
          <w:b/>
        </w:rPr>
        <w:t xml:space="preserve">35</w:t>
      </w:r>
      <w:r>
        <w:t xml:space="preserve"> </w:t>
      </w:r>
      <w:r>
        <w:t xml:space="preserve">każdy. Konstamonitu, Filotheu i Stavronikita wymieniono z dwoma manuskryptami, jednym należącym do</w:t>
      </w:r>
      <w:r>
        <w:t xml:space="preserve"> </w:t>
      </w:r>
      <w:r>
        <w:rPr>
          <w:bCs/>
          <w:b/>
        </w:rPr>
        <w:t xml:space="preserve">f</w:t>
      </w:r>
      <w:r>
        <w:rPr>
          <w:vertAlign w:val="superscript"/>
          <w:bCs/>
          <w:b/>
        </w:rPr>
        <w:t xml:space="preserve">35</w:t>
      </w:r>
      <w:r>
        <w:t xml:space="preserve">, a drugim nie. Xiropotamu ma dwa manuskrypty, z których żaden nie należy do</w:t>
      </w:r>
      <w:r>
        <w:t xml:space="preserve"> </w:t>
      </w:r>
      <w:r>
        <w:rPr>
          <w:bCs/>
          <w:b/>
        </w:rPr>
        <w:t xml:space="preserve">f</w:t>
      </w:r>
      <w:r>
        <w:rPr>
          <w:vertAlign w:val="superscript"/>
          <w:bCs/>
          <w:b/>
        </w:rPr>
        <w:t xml:space="preserve">35</w:t>
      </w:r>
      <w:r>
        <w:t xml:space="preserve">. Pantokratoros ma trzy, z których jeden należy do</w:t>
      </w:r>
      <w:r>
        <w:t xml:space="preserve"> </w:t>
      </w:r>
      <w:r>
        <w:rPr>
          <w:bCs/>
          <w:b/>
        </w:rPr>
        <w:t xml:space="preserve">f</w:t>
      </w:r>
      <w:r>
        <w:rPr>
          <w:vertAlign w:val="superscript"/>
          <w:bCs/>
          <w:b/>
        </w:rPr>
        <w:t xml:space="preserve">35</w:t>
      </w:r>
      <w:r>
        <w:t xml:space="preserve">. Dochiariu ma pięć manuskryptów, z których żaden nie należy do</w:t>
      </w:r>
      <w:r>
        <w:t xml:space="preserve"> </w:t>
      </w:r>
      <w:r>
        <w:rPr>
          <w:bCs/>
          <w:b/>
        </w:rPr>
        <w:t xml:space="preserve">f</w:t>
      </w:r>
      <w:r>
        <w:rPr>
          <w:vertAlign w:val="superscript"/>
          <w:bCs/>
          <w:b/>
        </w:rPr>
        <w:t xml:space="preserve">35</w:t>
      </w:r>
      <w:r>
        <w:t xml:space="preserve">. Esfigmenu również ma pięć, z których jeden należy do</w:t>
      </w:r>
      <w:r>
        <w:t xml:space="preserve"> </w:t>
      </w:r>
      <w:r>
        <w:rPr>
          <w:bCs/>
          <w:b/>
        </w:rPr>
        <w:t xml:space="preserve">f</w:t>
      </w:r>
      <w:r>
        <w:rPr>
          <w:vertAlign w:val="superscript"/>
          <w:bCs/>
          <w:b/>
        </w:rPr>
        <w:t xml:space="preserve">35</w:t>
      </w:r>
      <w:r>
        <w:t xml:space="preserve">. Panteleimonos wymieniono z siedmioma manuskryptami, z których dwa należą do</w:t>
      </w:r>
      <w:r>
        <w:t xml:space="preserve"> </w:t>
      </w:r>
      <w:r>
        <w:rPr>
          <w:bCs/>
          <w:b/>
        </w:rPr>
        <w:t xml:space="preserve">f</w:t>
      </w:r>
      <w:r>
        <w:rPr>
          <w:vertAlign w:val="superscript"/>
          <w:bCs/>
          <w:b/>
        </w:rPr>
        <w:t xml:space="preserve">35</w:t>
      </w:r>
      <w:r>
        <w:t xml:space="preserve">. Dionysiu wymieniono z dziewięcioma manuskryptami, z których trzy należą do</w:t>
      </w:r>
      <w:r>
        <w:t xml:space="preserve"> </w:t>
      </w:r>
      <w:r>
        <w:rPr>
          <w:bCs/>
          <w:b/>
        </w:rPr>
        <w:t xml:space="preserve">f</w:t>
      </w:r>
      <w:r>
        <w:rPr>
          <w:vertAlign w:val="superscript"/>
          <w:bCs/>
          <w:b/>
        </w:rPr>
        <w:t xml:space="preserve">35</w:t>
      </w:r>
      <w:r>
        <w:t xml:space="preserve">. Kutlumusiu wymieniono z dziesięcioma manuskryptami, z których dwa należą do</w:t>
      </w:r>
      <w:r>
        <w:t xml:space="preserve"> </w:t>
      </w:r>
      <w:r>
        <w:rPr>
          <w:bCs/>
          <w:b/>
        </w:rPr>
        <w:t xml:space="preserve">f</w:t>
      </w:r>
      <w:r>
        <w:rPr>
          <w:vertAlign w:val="superscript"/>
          <w:bCs/>
          <w:b/>
        </w:rPr>
        <w:t xml:space="preserve">35</w:t>
      </w:r>
      <w:r>
        <w:t xml:space="preserve">. Iviron wymieniono z dwunastoma manuskryptami, z których pięć należy do</w:t>
      </w:r>
      <w:r>
        <w:t xml:space="preserve"> </w:t>
      </w:r>
      <w:r>
        <w:rPr>
          <w:bCs/>
          <w:b/>
        </w:rPr>
        <w:t xml:space="preserve">f</w:t>
      </w:r>
      <w:r>
        <w:rPr>
          <w:vertAlign w:val="superscript"/>
          <w:bCs/>
          <w:b/>
        </w:rPr>
        <w:t xml:space="preserve">35</w:t>
      </w:r>
      <w:r>
        <w:t xml:space="preserve">. Vatopediu wymieniono z 28 manuskryptami, z których pięć należy do</w:t>
      </w:r>
      <w:r>
        <w:t xml:space="preserve"> </w:t>
      </w:r>
      <w:r>
        <w:rPr>
          <w:bCs/>
          <w:b/>
        </w:rPr>
        <w:t xml:space="preserve">f</w:t>
      </w:r>
      <w:r>
        <w:rPr>
          <w:vertAlign w:val="superscript"/>
          <w:bCs/>
          <w:b/>
        </w:rPr>
        <w:t xml:space="preserve">35</w:t>
      </w:r>
      <w:r>
        <w:t xml:space="preserve">. M. Lavras wymieniono z 52 manuskryptami, z których 22 należą do</w:t>
      </w:r>
      <w:r>
        <w:t xml:space="preserve"> </w:t>
      </w:r>
      <w:r>
        <w:rPr>
          <w:bCs/>
          <w:b/>
        </w:rPr>
        <w:t xml:space="preserve">f</w:t>
      </w:r>
      <w:r>
        <w:rPr>
          <w:vertAlign w:val="superscript"/>
          <w:bCs/>
          <w:b/>
        </w:rPr>
        <w:t xml:space="preserve">35</w:t>
      </w:r>
      <w:r>
        <w:t xml:space="preserve">. Z możliwym wyjątkiem M. Lavras najwyraźniej nie działał żaden „walec”</w:t>
      </w:r>
      <w:r>
        <w:t xml:space="preserve"> </w:t>
      </w:r>
      <w:r>
        <w:rPr>
          <w:bCs/>
          <w:b/>
        </w:rPr>
        <w:t xml:space="preserve">f</w:t>
      </w:r>
      <w:r>
        <w:rPr>
          <w:vertAlign w:val="superscript"/>
          <w:bCs/>
          <w:b/>
        </w:rPr>
        <w:t xml:space="preserve">35</w:t>
      </w:r>
      <w:r>
        <w:t xml:space="preserve">.</w:t>
      </w:r>
    </w:p>
    <w:p>
      <w:pPr>
        <w:pStyle w:val="BodyText"/>
      </w:pPr>
      <w:r>
        <w:t xml:space="preserve">Co jednak z sytuacją wewnątrz jednego klasztoru? Chociaż manuskrypty znajdujące się obecnie w miejscach takich jak Londyn czy Paryż przypuszczalnie sporządzono gdzie indziej, te znajdujące się w miejscach takich jak góra Athos, Patmos, Jerozolima i Synaj prawdopodobnie sporządzono właśnie tam. Klasztor na górze Synaj jest na tyle odizolowany, że moglibyśmy oczekiwać znacznego „chowu wsobnego”. Przyjrzyjmy się więc manuskryptom z Synaju wymienionym przez</w:t>
      </w:r>
      <w:r>
        <w:t xml:space="preserve"> </w:t>
      </w:r>
      <w:r>
        <w:rPr>
          <w:iCs/>
          <w:i/>
        </w:rPr>
        <w:t xml:space="preserve">TuT</w:t>
      </w:r>
      <w:r>
        <w:t xml:space="preserve">.</w:t>
      </w:r>
    </w:p>
    <w:bookmarkEnd w:id="363"/>
    <w:bookmarkStart w:id="371" w:name="góra-synaj"/>
    <w:p>
      <w:pPr>
        <w:pStyle w:val="Heading4"/>
      </w:pPr>
      <w:r>
        <w:rPr>
          <w:iCs/>
          <w:i/>
        </w:rPr>
        <w:t xml:space="preserve">Góra Synaj</w:t>
      </w:r>
    </w:p>
    <w:p>
      <w:pPr>
        <w:pStyle w:val="FirstParagraph"/>
      </w:pPr>
      <w:r>
        <w:t xml:space="preserve">Wymienię manuskrypty w malejącym porządku „aleksandryjskości”,</w:t>
      </w:r>
      <w:r>
        <w:rPr>
          <w:rStyle w:val="FootnoteReference"/>
        </w:rPr>
        <w:footnoteReference w:id="364"/>
      </w:r>
      <w:r>
        <w:t xml:space="preserve"> </w:t>
      </w:r>
      <w:r>
        <w:t xml:space="preserve">z zastrzeżeniem, że porządek taki jest istotny tylko dla pierwszych siedmiu lub ośmiu:</w:t>
      </w:r>
      <w:r>
        <w:rPr>
          <w:rStyle w:val="FootnoteReference"/>
        </w:rPr>
        <w:footnoteReference w:id="365"/>
      </w:r>
    </w:p>
    <w:p>
      <w:pPr>
        <w:numPr>
          <w:ilvl w:val="0"/>
          <w:numId w:val="1073"/>
        </w:numPr>
      </w:pPr>
      <w:r>
        <w:t xml:space="preserve">ℵ, 01</w:t>
      </w:r>
      <w:r>
        <w:rPr>
          <w:rStyle w:val="FootnoteReference"/>
        </w:rPr>
        <w:footnoteReference w:id="366"/>
      </w:r>
      <w:r>
        <w:t xml:space="preserve"> </w:t>
      </w:r>
      <w:r>
        <w:t xml:space="preserve">— IV, eapr (2 = 57 [2 podw.], 1/2 = 5 [1 podw.], 1 = 19 [3 podw.], sing = 9, nietyp. = 8) = 98 wariantów.</w:t>
      </w:r>
    </w:p>
    <w:p>
      <w:pPr>
        <w:numPr>
          <w:ilvl w:val="0"/>
          <w:numId w:val="1073"/>
        </w:numPr>
      </w:pPr>
      <w:r>
        <w:t xml:space="preserve">1243 — XI, eap (2 = 51, 1/2 = 6, 1 = 22 [5 podw.], sing = 2, nietyp. = 16) = 97.</w:t>
      </w:r>
    </w:p>
    <w:p>
      <w:pPr>
        <w:numPr>
          <w:ilvl w:val="0"/>
          <w:numId w:val="1073"/>
        </w:numPr>
      </w:pPr>
      <w:r>
        <w:t xml:space="preserve">1241 — XII, eap (2 = 47 [5 podw.], 1/2 = 4, 1 = 17 [2 podw.], sing = 5, nietyp. = 18) = 91.</w:t>
      </w:r>
    </w:p>
    <w:p>
      <w:pPr>
        <w:numPr>
          <w:ilvl w:val="0"/>
          <w:numId w:val="1073"/>
        </w:numPr>
      </w:pPr>
      <w:r>
        <w:t xml:space="preserve">1881 — XIV, ap (2 = 42 [3 podw.], 1/2 = 3 [1 podw.], 1 = 16 [1 podw.], sing = 1, nietyp. = 11) = 73.</w:t>
      </w:r>
    </w:p>
    <w:p>
      <w:pPr>
        <w:numPr>
          <w:ilvl w:val="0"/>
          <w:numId w:val="1073"/>
        </w:numPr>
      </w:pPr>
      <w:r>
        <w:t xml:space="preserve">2495 — XIV, eapr (2 = 37 [2 podw.], 1/2 = 4, 1 = 37 [4 podw.], sing = 2, nietyp. = 17) = 97.</w:t>
      </w:r>
    </w:p>
    <w:p>
      <w:pPr>
        <w:numPr>
          <w:ilvl w:val="0"/>
          <w:numId w:val="1073"/>
        </w:numPr>
      </w:pPr>
      <w:r>
        <w:t xml:space="preserve">2492 — XIII, eap (2 = 17 [2 podw.], 1/2 = 8, 1 = 58 [2 podw.], sing = 1, nietyp. = 9) = 93.</w:t>
      </w:r>
    </w:p>
    <w:p>
      <w:pPr>
        <w:numPr>
          <w:ilvl w:val="0"/>
          <w:numId w:val="1073"/>
        </w:numPr>
      </w:pPr>
      <w:r>
        <w:t xml:space="preserve">2494 — 1316, eapr (2 = 11, 1/2 = 4, 1 = 73 [2 podw.], nietyp. = 10) = 98. Od tego miejsca w dół wszystkie manuskrypty mieszczą się w strumieniu bizantyjskim.</w:t>
      </w:r>
    </w:p>
    <w:p>
      <w:pPr>
        <w:numPr>
          <w:ilvl w:val="0"/>
          <w:numId w:val="1073"/>
        </w:numPr>
      </w:pPr>
      <w:r>
        <w:t xml:space="preserve">1874 — X, ap (2 = 4, 1/2 = 9, 1 = 78 [2 podw.], sing = 1, nietyp. = 6) = 98.</w:t>
      </w:r>
    </w:p>
    <w:p>
      <w:pPr>
        <w:numPr>
          <w:ilvl w:val="0"/>
          <w:numId w:val="1073"/>
        </w:numPr>
      </w:pPr>
      <w:r>
        <w:t xml:space="preserve">1877 — XIV, ap (2 = 2, 1/2 = 9, 1 = 81 [5 podw.], sing = 2, nietyp. = 4) = 98.</w:t>
      </w:r>
    </w:p>
    <w:p>
      <w:pPr>
        <w:numPr>
          <w:ilvl w:val="0"/>
          <w:numId w:val="1073"/>
        </w:numPr>
      </w:pPr>
      <w:r>
        <w:t xml:space="preserve">2086 — XIV, ap (2 = 2, 1/2 = 8, 1 = 82 [2 podw.], sing = 1, nietyp. = 5) = 98.</w:t>
      </w:r>
    </w:p>
    <w:p>
      <w:pPr>
        <w:numPr>
          <w:ilvl w:val="0"/>
          <w:numId w:val="1073"/>
        </w:numPr>
      </w:pPr>
      <w:r>
        <w:t xml:space="preserve">1251 — XIII, eap (2 = 2, 1/2 = 9, 1 = 82 [3 podw.], nietyp. = 4) = 97.</w:t>
      </w:r>
    </w:p>
    <w:p>
      <w:pPr>
        <w:numPr>
          <w:ilvl w:val="0"/>
          <w:numId w:val="1073"/>
        </w:numPr>
      </w:pPr>
      <w:r>
        <w:t xml:space="preserve">1245 — XII, ap (2 = 3, 1/2 = 10 [1 podw.], 1 = 83 [6 podw.], nietyp. = 2) = 98.</w:t>
      </w:r>
    </w:p>
    <w:p>
      <w:pPr>
        <w:numPr>
          <w:ilvl w:val="0"/>
          <w:numId w:val="1073"/>
        </w:numPr>
      </w:pPr>
      <w:r>
        <w:t xml:space="preserve">1240 — XII, eap (2 = 1, 1/2 = 7, 1 = 82 [7 podw.], nietyp. = 4) = 94.</w:t>
      </w:r>
    </w:p>
    <w:p>
      <w:pPr>
        <w:numPr>
          <w:ilvl w:val="0"/>
          <w:numId w:val="1073"/>
        </w:numPr>
      </w:pPr>
      <w:r>
        <w:t xml:space="preserve">2356 — XIV, eap (2 = 1, 1/2 = 9, 1 = 76 [2 podw.], nietyp. = 4) = 90.</w:t>
      </w:r>
    </w:p>
    <w:p>
      <w:pPr>
        <w:numPr>
          <w:ilvl w:val="0"/>
          <w:numId w:val="1073"/>
        </w:numPr>
      </w:pPr>
      <w:r>
        <w:t xml:space="preserve">1880 — X, ap (2 = 2, 1/2 = 10, 1 = 84 [5 podw.], nietyp. = 2) = 98.</w:t>
      </w:r>
    </w:p>
    <w:p>
      <w:pPr>
        <w:numPr>
          <w:ilvl w:val="0"/>
          <w:numId w:val="1073"/>
        </w:numPr>
      </w:pPr>
      <w:r>
        <w:t xml:space="preserve">2502 — 1242, eap (2 = 1, 1/2 = 9, 1 = 73 [6 podw.], nietyp. = 2) = 85.</w:t>
      </w:r>
    </w:p>
    <w:p>
      <w:pPr>
        <w:numPr>
          <w:ilvl w:val="0"/>
          <w:numId w:val="1073"/>
        </w:numPr>
      </w:pPr>
      <w:r>
        <w:t xml:space="preserve">1242 — XIII, eap (2 = 1, 1/2 = 9, 1 = 86 [4 podw.], nietyp. = 2) = 98.</w:t>
      </w:r>
    </w:p>
    <w:p>
      <w:pPr>
        <w:numPr>
          <w:ilvl w:val="0"/>
          <w:numId w:val="1073"/>
        </w:numPr>
      </w:pPr>
      <w:r>
        <w:t xml:space="preserve">1250 — XV, eap (2 = 1, 1/2 = 10, 1 = 77 [3 podw.], nietyp. = 3) = 91 (</w:t>
      </w:r>
      <w:r>
        <w:rPr>
          <w:bCs/>
          <w:b/>
        </w:rPr>
        <w:t xml:space="preserve">f</w:t>
      </w:r>
      <w:r>
        <w:rPr>
          <w:vertAlign w:val="superscript"/>
          <w:bCs/>
          <w:b/>
        </w:rPr>
        <w:t xml:space="preserve">35</w:t>
      </w:r>
      <w:r>
        <w:t xml:space="preserve"> </w:t>
      </w:r>
      <w:r>
        <w:t xml:space="preserve">± 2).</w:t>
      </w:r>
    </w:p>
    <w:p>
      <w:pPr>
        <w:numPr>
          <w:ilvl w:val="0"/>
          <w:numId w:val="1073"/>
        </w:numPr>
      </w:pPr>
      <w:r>
        <w:t xml:space="preserve">1247 — XV, eap (2 = 1, 1/2 = 10, 1 = 81 [3 podw.], nietyp. = 3) = 95 (</w:t>
      </w:r>
      <w:r>
        <w:rPr>
          <w:bCs/>
          <w:b/>
        </w:rPr>
        <w:t xml:space="preserve">f</w:t>
      </w:r>
      <w:r>
        <w:rPr>
          <w:vertAlign w:val="superscript"/>
          <w:bCs/>
          <w:b/>
        </w:rPr>
        <w:t xml:space="preserve">35</w:t>
      </w:r>
      <w:r>
        <w:t xml:space="preserve"> </w:t>
      </w:r>
      <w:r>
        <w:t xml:space="preserve">± 2).</w:t>
      </w:r>
    </w:p>
    <w:p>
      <w:pPr>
        <w:numPr>
          <w:ilvl w:val="0"/>
          <w:numId w:val="1073"/>
        </w:numPr>
      </w:pPr>
      <w:r>
        <w:t xml:space="preserve">1876 — XV, apr (2 = 1, 1/2 = 11, 1 = 83 [3 podw.], nietyp. = 3) = 98 (</w:t>
      </w:r>
      <w:r>
        <w:rPr>
          <w:bCs/>
          <w:b/>
        </w:rPr>
        <w:t xml:space="preserve">f</w:t>
      </w:r>
      <w:r>
        <w:rPr>
          <w:vertAlign w:val="superscript"/>
          <w:bCs/>
          <w:b/>
        </w:rPr>
        <w:t xml:space="preserve">35</w:t>
      </w:r>
      <w:r>
        <w:t xml:space="preserve"> </w:t>
      </w:r>
      <w:r>
        <w:t xml:space="preserve">± 2).</w:t>
      </w:r>
    </w:p>
    <w:p>
      <w:pPr>
        <w:numPr>
          <w:ilvl w:val="0"/>
          <w:numId w:val="1073"/>
        </w:numPr>
      </w:pPr>
      <w:r>
        <w:t xml:space="preserve">1249 — 1324, ap (2 = 1, 1/2 = 10, 1 = 84 [3 podw.], nietyp. = 2) = 97 (</w:t>
      </w:r>
      <w:r>
        <w:rPr>
          <w:bCs/>
          <w:b/>
        </w:rPr>
        <w:t xml:space="preserve">f</w:t>
      </w:r>
      <w:r>
        <w:rPr>
          <w:vertAlign w:val="superscript"/>
          <w:bCs/>
          <w:b/>
        </w:rPr>
        <w:t xml:space="preserve">35</w:t>
      </w:r>
      <w:r>
        <w:t xml:space="preserve"> </w:t>
      </w:r>
      <w:r>
        <w:t xml:space="preserve">± 1).</w:t>
      </w:r>
    </w:p>
    <w:p>
      <w:pPr>
        <w:numPr>
          <w:ilvl w:val="0"/>
          <w:numId w:val="1073"/>
        </w:numPr>
      </w:pPr>
      <w:r>
        <w:t xml:space="preserve">1248 — XIV, eap (2 = 1, 1/2 = 11, 1 = 84 [3 podw.], sing = 1, nietyp. = 1) = 98 (</w:t>
      </w:r>
      <w:r>
        <w:rPr>
          <w:bCs/>
          <w:b/>
        </w:rPr>
        <w:t xml:space="preserve">f</w:t>
      </w:r>
      <w:r>
        <w:rPr>
          <w:vertAlign w:val="superscript"/>
          <w:bCs/>
          <w:b/>
        </w:rPr>
        <w:t xml:space="preserve">35</w:t>
      </w:r>
      <w:r>
        <w:t xml:space="preserve"> </w:t>
      </w:r>
      <w:r>
        <w:t xml:space="preserve">± 1).</w:t>
      </w:r>
    </w:p>
    <w:p>
      <w:pPr>
        <w:numPr>
          <w:ilvl w:val="0"/>
          <w:numId w:val="1073"/>
        </w:numPr>
      </w:pPr>
      <w:r>
        <w:t xml:space="preserve">2501 — XVI, ap (2 = 1, 1/2 = 11, 1 = 83 [5 podw.], nietyp. = 1) = 96 (</w:t>
      </w:r>
      <w:r>
        <w:rPr>
          <w:bCs/>
          <w:b/>
        </w:rPr>
        <w:t xml:space="preserve">f</w:t>
      </w:r>
      <w:r>
        <w:rPr>
          <w:vertAlign w:val="superscript"/>
          <w:bCs/>
          <w:b/>
        </w:rPr>
        <w:t xml:space="preserve">35</w:t>
      </w:r>
      <w:r>
        <w:t xml:space="preserve"> </w:t>
      </w:r>
      <w:r>
        <w:t xml:space="preserve">± 4).</w:t>
      </w:r>
    </w:p>
    <w:p>
      <w:pPr>
        <w:numPr>
          <w:ilvl w:val="0"/>
          <w:numId w:val="1073"/>
        </w:numPr>
      </w:pPr>
      <w:r>
        <w:t xml:space="preserve">2085 — 1308, ap (2 = 0, 1/2 = 11, 1 = 84 [3 podw.], sing = 1, nietyp. = 2) = 98.</w:t>
      </w:r>
    </w:p>
    <w:p>
      <w:pPr>
        <w:numPr>
          <w:ilvl w:val="0"/>
          <w:numId w:val="1073"/>
        </w:numPr>
      </w:pPr>
      <w:r>
        <w:t xml:space="preserve">1244 — XI, ap (2 = 0, 1/2 = 10, 1 = 85 [3 podw.], nietyp. = 2) = 97.</w:t>
      </w:r>
    </w:p>
    <w:p>
      <w:pPr>
        <w:numPr>
          <w:ilvl w:val="0"/>
          <w:numId w:val="1073"/>
        </w:numPr>
      </w:pPr>
      <w:r>
        <w:t xml:space="preserve">2799 — XIV, ap (2 = 0, 1/2 = 3, 1 = 28 [2 podw.], sing = 1, nietyp. = 1) = 33.</w:t>
      </w:r>
      <w:r>
        <w:rPr>
          <w:rStyle w:val="FootnoteReference"/>
        </w:rPr>
        <w:footnoteReference w:id="367"/>
      </w:r>
    </w:p>
    <w:p>
      <w:pPr>
        <w:pStyle w:val="FirstParagraph"/>
      </w:pPr>
      <w:r>
        <w:t xml:space="preserve">Absolutnie żadne dwa manuskrypty nie są identyczne, nawet sześć manuskryptów</w:t>
      </w:r>
      <w:r>
        <w:t xml:space="preserve"> </w:t>
      </w:r>
      <w:r>
        <w:rPr>
          <w:bCs/>
          <w:b/>
        </w:rPr>
        <w:t xml:space="preserve">f</w:t>
      </w:r>
      <w:r>
        <w:rPr>
          <w:vertAlign w:val="superscript"/>
          <w:bCs/>
          <w:b/>
        </w:rPr>
        <w:t xml:space="preserve">35</w:t>
      </w:r>
      <w:r>
        <w:t xml:space="preserve"> </w:t>
      </w:r>
      <w:r>
        <w:t xml:space="preserve">różni się co najmniej jednym wariantem. Pozostałe manuskrypty bizantyjskie są wszystkie odmienne, niektóre naprawdę znacznie,</w:t>
      </w:r>
      <w:r>
        <w:rPr>
          <w:rStyle w:val="FootnoteReference"/>
        </w:rPr>
        <w:footnoteReference w:id="368"/>
      </w:r>
      <w:r>
        <w:t xml:space="preserve"> </w:t>
      </w:r>
      <w:r>
        <w:t xml:space="preserve">a jednak wszystkie wyraźnie mieszczą się w tradycji bizantyjskiej.</w:t>
      </w:r>
      <w:r>
        <w:rPr>
          <w:rStyle w:val="FootnoteReference"/>
        </w:rPr>
        <w:footnoteReference w:id="369"/>
      </w:r>
      <w:r>
        <w:t xml:space="preserve"> </w:t>
      </w:r>
      <w:r>
        <w:t xml:space="preserve">Tych 26 manuskryptów reprezentuje tyle samo egzemplarzy, nie było „chowu wsobnego” ani upychania urny wyborczej, każdy kopista próbował odtworzyć to, co miał przed sobą, niezależnie od rodzaju tekstu. Ponieważ manuskrypty nadal znajdowały się tam w 1800 roku, nie sporządzono ich, aby zrealizować zamówienie z innego miejsca. Ze względu na izolację niektórzy przodkowie 26 zachowanych manuskryptów równie dobrze mogli zostać przyniesieni do klasztoru przed podbojem islamskim.</w:t>
      </w:r>
    </w:p>
    <w:p>
      <w:pPr>
        <w:pStyle w:val="BodyText"/>
      </w:pPr>
      <w:r>
        <w:t xml:space="preserve">Profile pięciu pierwszych manuskryptów na powyższej liście są</w:t>
      </w:r>
      <w:r>
        <w:t xml:space="preserve"> </w:t>
      </w:r>
      <w:r>
        <w:rPr>
          <w:bCs/>
          <w:b/>
        </w:rPr>
        <w:t xml:space="preserve">bardzo</w:t>
      </w:r>
      <w:r>
        <w:t xml:space="preserve"> </w:t>
      </w:r>
      <w:r>
        <w:t xml:space="preserve">odmienne, różne od siebie nawzajem, żaden nie jest kopią ℵ, co uważam za osobliwe. Najwyraźniej ℵ nie był kopiowany — dlaczego?</w:t>
      </w:r>
      <w:r>
        <w:rPr>
          <w:rStyle w:val="FootnoteReference"/>
        </w:rPr>
        <w:footnoteReference w:id="370"/>
      </w:r>
    </w:p>
    <w:bookmarkEnd w:id="371"/>
    <w:bookmarkStart w:id="373" w:name="megistis-lavras"/>
    <w:p>
      <w:pPr>
        <w:pStyle w:val="Heading4"/>
      </w:pPr>
      <w:r>
        <w:rPr>
          <w:iCs/>
          <w:i/>
        </w:rPr>
        <w:t xml:space="preserve">Megistis Lavras</w:t>
      </w:r>
    </w:p>
    <w:p>
      <w:pPr>
        <w:pStyle w:val="FirstParagraph"/>
      </w:pPr>
      <w:r>
        <w:t xml:space="preserve">Dobrze, ale co z M. Lavras? Czy nieproporcjonalnie wysoki odsetek manuskryptów</w:t>
      </w:r>
      <w:r>
        <w:t xml:space="preserve"> </w:t>
      </w:r>
      <w:r>
        <w:rPr>
          <w:bCs/>
          <w:b/>
        </w:rPr>
        <w:t xml:space="preserve">f</w:t>
      </w:r>
      <w:r>
        <w:rPr>
          <w:vertAlign w:val="superscript"/>
          <w:bCs/>
          <w:b/>
        </w:rPr>
        <w:t xml:space="preserve">35</w:t>
      </w:r>
      <w:r>
        <w:t xml:space="preserve"> </w:t>
      </w:r>
      <w:r>
        <w:t xml:space="preserve">nie jest podejrzany? Aby się tego dowiedzieć, musimy zrobić dla M. Lavras to, co zrobiliśmy dla Synaju, co będzie oznaczało dwa razy więcej pracy (52 × 26). Ponownie wymienię manuskrypty w malejącym porządku „aleksandryjskości”, z zastrzeżeniem, że porządek taki jest istotny tylko dla pierwszych dziewięciu lub dziesięciu:</w:t>
      </w:r>
    </w:p>
    <w:p>
      <w:pPr>
        <w:numPr>
          <w:ilvl w:val="0"/>
          <w:numId w:val="1074"/>
        </w:numPr>
      </w:pPr>
      <w:r>
        <w:t xml:space="preserve">1739 — X, ap (2 = 66 [4 podw.], 1/2 = 7, 1 = 12 [2 podw.], nietyp. = 13) = 98.</w:t>
      </w:r>
    </w:p>
    <w:p>
      <w:pPr>
        <w:numPr>
          <w:ilvl w:val="0"/>
          <w:numId w:val="1074"/>
        </w:numPr>
      </w:pPr>
      <w:r>
        <w:t xml:space="preserve">044 — VIII, ap (2 = 52 [1 podw.], 1/2 = 7, 1 = 20, sing = 7, nietyp. = 11) = 97.</w:t>
      </w:r>
    </w:p>
    <w:p>
      <w:pPr>
        <w:numPr>
          <w:ilvl w:val="0"/>
          <w:numId w:val="1074"/>
        </w:numPr>
      </w:pPr>
      <w:r>
        <w:t xml:space="preserve">1735 — XI, ap (2 = 43 [2 podw.], 1/2 = 7 [1 podw.], 1 = 35 [2 podw.], sing = 1, nietyp. = 12) = 98.</w:t>
      </w:r>
    </w:p>
    <w:p>
      <w:pPr>
        <w:numPr>
          <w:ilvl w:val="0"/>
          <w:numId w:val="1074"/>
        </w:numPr>
      </w:pPr>
      <w:r>
        <w:t xml:space="preserve">1505 — XII, eap (2 = 41 [3 podw.], 1/2 = 4, 1 = 35 [3 podw.], nietyp. = 18) = 98.</w:t>
      </w:r>
    </w:p>
    <w:p>
      <w:pPr>
        <w:numPr>
          <w:ilvl w:val="0"/>
          <w:numId w:val="1074"/>
        </w:numPr>
      </w:pPr>
      <w:r>
        <w:t xml:space="preserve">1448 — XI, eap (2 = 23, 1/2 = 7 [1 podw.], 1 = 58 [2 podw.], sing = 1, nietyp. = 8) = 97.</w:t>
      </w:r>
    </w:p>
    <w:p>
      <w:pPr>
        <w:numPr>
          <w:ilvl w:val="0"/>
          <w:numId w:val="1074"/>
        </w:numPr>
      </w:pPr>
      <w:r>
        <w:t xml:space="preserve">1490 — XII, eap (2 = 13, 1/2 = 7 [1 podw.], 1 = 69 [4 podw.], nietyp. = 9) = 98.</w:t>
      </w:r>
    </w:p>
    <w:p>
      <w:pPr>
        <w:numPr>
          <w:ilvl w:val="0"/>
          <w:numId w:val="1074"/>
        </w:numPr>
      </w:pPr>
      <w:r>
        <w:t xml:space="preserve">1751 — 1479, ap (2 = 7 [1 podw.], 1/2 = 11 [1 podw.], 1 = 69 [3 podw.], sing = 5, nietyp. = 6) = 98.</w:t>
      </w:r>
    </w:p>
    <w:p>
      <w:pPr>
        <w:numPr>
          <w:ilvl w:val="0"/>
          <w:numId w:val="1074"/>
        </w:numPr>
      </w:pPr>
      <w:r>
        <w:t xml:space="preserve">1501 — XIII, eap (2 = 8 [1 podw.], 1/2 = 8, 1 = 73 [1 podw.], sing = 1, nietyp. = 8) = 98.</w:t>
      </w:r>
    </w:p>
    <w:p>
      <w:pPr>
        <w:numPr>
          <w:ilvl w:val="0"/>
          <w:numId w:val="1074"/>
        </w:numPr>
      </w:pPr>
      <w:r>
        <w:t xml:space="preserve">1661 — XV, eap (2 = 6, 1/2 = 9 [1 podw.], 1 = 73 [5 podw.], sing = 3, nietyp. = 7) = 98.</w:t>
      </w:r>
    </w:p>
    <w:p>
      <w:pPr>
        <w:pStyle w:val="FirstParagraph"/>
      </w:pPr>
      <w:r>
        <w:t xml:space="preserve">Od tego miejsca w dół wszystkie manuskrypty mieszczą się w strumieniu bizantyjskim.</w:t>
      </w:r>
    </w:p>
    <w:p>
      <w:pPr>
        <w:numPr>
          <w:ilvl w:val="0"/>
          <w:numId w:val="1075"/>
        </w:numPr>
      </w:pPr>
      <w:r>
        <w:t xml:space="preserve">1609 — XIV, eap (2 = 9 [1 podw.], 1/2 = 9, 1 = 76 [4 podw.], nietyp. = 3) = 97.</w:t>
      </w:r>
    </w:p>
    <w:p>
      <w:pPr>
        <w:numPr>
          <w:ilvl w:val="0"/>
          <w:numId w:val="1075"/>
        </w:numPr>
      </w:pPr>
      <w:r>
        <w:t xml:space="preserve">1646 — 1172, eap (2 = 3, 1/2 = 10, 1 = 77 [6 podw.], sing = 5, nietyp. = 3) = 98.</w:t>
      </w:r>
    </w:p>
    <w:p>
      <w:pPr>
        <w:numPr>
          <w:ilvl w:val="0"/>
          <w:numId w:val="1075"/>
        </w:numPr>
      </w:pPr>
      <w:r>
        <w:t xml:space="preserve">1509 — XIII, eap (2 = 3, 1/2 = 9, 1 = 77 [5 podw.], sing = 3, nietyp. = 5) = 97.</w:t>
      </w:r>
    </w:p>
    <w:p>
      <w:pPr>
        <w:numPr>
          <w:ilvl w:val="0"/>
          <w:numId w:val="1075"/>
        </w:numPr>
      </w:pPr>
      <w:r>
        <w:t xml:space="preserve">1744 — XIV, ap (2 = 2, 1/2 = 8, 1 = 81 [2 podw.], sing = 2, nietyp. = 5) = 98.</w:t>
      </w:r>
    </w:p>
    <w:p>
      <w:pPr>
        <w:numPr>
          <w:ilvl w:val="0"/>
          <w:numId w:val="1075"/>
        </w:numPr>
      </w:pPr>
      <w:r>
        <w:t xml:space="preserve">1643 — XIV, eap (2 = 3, 1/2 = 7, 1 = 82 [3 podw.], nietyp. = 6) = 98.</w:t>
      </w:r>
    </w:p>
    <w:p>
      <w:pPr>
        <w:numPr>
          <w:ilvl w:val="0"/>
          <w:numId w:val="1075"/>
        </w:numPr>
      </w:pPr>
      <w:r>
        <w:t xml:space="preserve">1626 — XV, eapr (2 = 2, 1/2 = 9, 1 = 81 [6 podw.], sing = 1, nietyp. = 5) = 98.</w:t>
      </w:r>
    </w:p>
    <w:p>
      <w:pPr>
        <w:numPr>
          <w:ilvl w:val="0"/>
          <w:numId w:val="1075"/>
        </w:numPr>
      </w:pPr>
      <w:r>
        <w:t xml:space="preserve">1743 — XII, ap (2 = 1, 1/2 = 7 [1 podw.], 1 = 83 [2 podw.], nietyp. = 7) = 98.</w:t>
      </w:r>
    </w:p>
    <w:p>
      <w:pPr>
        <w:numPr>
          <w:ilvl w:val="0"/>
          <w:numId w:val="1075"/>
        </w:numPr>
      </w:pPr>
      <w:r>
        <w:t xml:space="preserve">1622 — XIV, eap (2 = 4, 1/2 = 10, 1 = 81 [4 podw.], nietyp. = 3) = 98.</w:t>
      </w:r>
    </w:p>
    <w:p>
      <w:pPr>
        <w:numPr>
          <w:ilvl w:val="0"/>
          <w:numId w:val="1075"/>
        </w:numPr>
      </w:pPr>
      <w:r>
        <w:t xml:space="preserve">2194 — 1118, ap (2 = 2, 1/2 = 8, 1 = 83 [2 podw.], nietyp. = 5) = 98.</w:t>
      </w:r>
    </w:p>
    <w:p>
      <w:pPr>
        <w:numPr>
          <w:ilvl w:val="0"/>
          <w:numId w:val="1075"/>
        </w:numPr>
      </w:pPr>
      <w:r>
        <w:t xml:space="preserve">1495 — XIV, eap (2 = 4, 1/2 = 10, 1 = 82 [5 podw.], nietyp. = 2) = 98.</w:t>
      </w:r>
    </w:p>
    <w:p>
      <w:pPr>
        <w:numPr>
          <w:ilvl w:val="0"/>
          <w:numId w:val="1075"/>
        </w:numPr>
      </w:pPr>
      <w:r>
        <w:t xml:space="preserve">1642 — 1278, eap (2 = 1, 1/2 = 10, 1 = 82 [6 podw.], sing = 1, nietyp. = 3) = 97.</w:t>
      </w:r>
    </w:p>
    <w:p>
      <w:pPr>
        <w:numPr>
          <w:ilvl w:val="0"/>
          <w:numId w:val="1075"/>
        </w:numPr>
      </w:pPr>
      <w:r>
        <w:t xml:space="preserve">1738 — XI, ap (2 = 2, 1/2 = 10, 1 = 82 [8 podw.], nietyp. = 3) = 97.</w:t>
      </w:r>
    </w:p>
    <w:p>
      <w:pPr>
        <w:numPr>
          <w:ilvl w:val="0"/>
          <w:numId w:val="1075"/>
        </w:numPr>
      </w:pPr>
      <w:r>
        <w:t xml:space="preserve">1649 — XV, eap (2 = 2, 1/2 = 9, 1 = 84 [5 podw.], nietyp. = 3) = 98.</w:t>
      </w:r>
    </w:p>
    <w:p>
      <w:pPr>
        <w:numPr>
          <w:ilvl w:val="0"/>
          <w:numId w:val="1075"/>
        </w:numPr>
      </w:pPr>
      <w:r>
        <w:t xml:space="preserve">1734 — 1015, apr (2 = 1, 1/2 = 9, 1 = 82 [1 podw.], nietyp. = 4) = 96.</w:t>
      </w:r>
    </w:p>
    <w:p>
      <w:pPr>
        <w:numPr>
          <w:ilvl w:val="0"/>
          <w:numId w:val="1075"/>
        </w:numPr>
      </w:pPr>
      <w:r>
        <w:t xml:space="preserve">049 — IX, ap (2 = 1 [1 podw.], 1/2 = 9, 1 = 84 [4 podw.], nietyp. = 3) = 97.</w:t>
      </w:r>
    </w:p>
    <w:p>
      <w:pPr>
        <w:numPr>
          <w:ilvl w:val="0"/>
          <w:numId w:val="1075"/>
        </w:numPr>
      </w:pPr>
      <w:r>
        <w:t xml:space="preserve">1741 — XIV, ap (2 = 0, 1/2 = 7 [1 podw.], 1 = 87 [4 podw.], nietyp. = 4) = 98.</w:t>
      </w:r>
    </w:p>
    <w:p>
      <w:pPr>
        <w:numPr>
          <w:ilvl w:val="0"/>
          <w:numId w:val="1075"/>
        </w:numPr>
      </w:pPr>
      <w:r>
        <w:t xml:space="preserve">1456 — XIII, eap (2 = 0, 1/2 = 8 [1 podw.], 1 = 69 [2 podw.], nietyp. = 4) = 81.</w:t>
      </w:r>
    </w:p>
    <w:p>
      <w:pPr>
        <w:numPr>
          <w:ilvl w:val="0"/>
          <w:numId w:val="1075"/>
        </w:numPr>
      </w:pPr>
      <w:r>
        <w:t xml:space="preserve">1747 — XIV, ap (2 = 1, 1/2 = 9, 1 = 84 [6 podw.], nietyp. = 2) = 96.</w:t>
      </w:r>
    </w:p>
    <w:p>
      <w:pPr>
        <w:numPr>
          <w:ilvl w:val="0"/>
          <w:numId w:val="1075"/>
        </w:numPr>
      </w:pPr>
      <w:r>
        <w:t xml:space="preserve">1736 — XIII, ap (2 = 1, 1/2 = 10, 1 = 83 [4 podw.], nietyp. = 2) = 96.</w:t>
      </w:r>
    </w:p>
    <w:p>
      <w:pPr>
        <w:numPr>
          <w:ilvl w:val="0"/>
          <w:numId w:val="1075"/>
        </w:numPr>
      </w:pPr>
      <w:r>
        <w:t xml:space="preserve">2511 — XIV, eap (2 = 1, 1/2 = 10 [1 podw.], 1 = 76 [1 podw.], nietyp. = 2) = 89.</w:t>
      </w:r>
    </w:p>
    <w:p>
      <w:pPr>
        <w:numPr>
          <w:ilvl w:val="0"/>
          <w:numId w:val="1075"/>
        </w:numPr>
      </w:pPr>
      <w:r>
        <w:t xml:space="preserve">1750 — XV, ap (2 = 0, 1/2 = 9, 1 = 87 [3 podw.], nietyp. = 2) = 98.</w:t>
      </w:r>
    </w:p>
    <w:p>
      <w:pPr>
        <w:numPr>
          <w:ilvl w:val="0"/>
          <w:numId w:val="1075"/>
        </w:numPr>
      </w:pPr>
      <w:r>
        <w:t xml:space="preserve">1733 — XIV, apr (2 = 1, 1/2 = 11, 1 = 83 [3 podw.], nietyp. = 3) = 98 (</w:t>
      </w:r>
      <w:r>
        <w:rPr>
          <w:bCs/>
          <w:b/>
        </w:rPr>
        <w:t xml:space="preserve">f</w:t>
      </w:r>
      <w:r>
        <w:rPr>
          <w:vertAlign w:val="superscript"/>
          <w:bCs/>
          <w:b/>
        </w:rPr>
        <w:t xml:space="preserve">35</w:t>
      </w:r>
      <w:r>
        <w:t xml:space="preserve"> </w:t>
      </w:r>
      <w:r>
        <w:t xml:space="preserve">± 2) (16, 91).</w:t>
      </w:r>
    </w:p>
    <w:p>
      <w:pPr>
        <w:numPr>
          <w:ilvl w:val="0"/>
          <w:numId w:val="1075"/>
        </w:numPr>
      </w:pPr>
      <w:r>
        <w:t xml:space="preserve">1732 — 1384, apr (2 = 2, 1/2 = 11 [1 podw.], 1 = 83 [3 podw.], nietyp. = 1) = 97 (</w:t>
      </w:r>
      <w:r>
        <w:rPr>
          <w:bCs/>
          <w:b/>
        </w:rPr>
        <w:t xml:space="preserve">f</w:t>
      </w:r>
      <w:r>
        <w:rPr>
          <w:vertAlign w:val="superscript"/>
          <w:bCs/>
          <w:b/>
        </w:rPr>
        <w:t xml:space="preserve">35</w:t>
      </w:r>
      <w:r>
        <w:t xml:space="preserve"> </w:t>
      </w:r>
      <w:r>
        <w:t xml:space="preserve">± 2) (1, 72).</w:t>
      </w:r>
    </w:p>
    <w:p>
      <w:pPr>
        <w:numPr>
          <w:ilvl w:val="0"/>
          <w:numId w:val="1075"/>
        </w:numPr>
      </w:pPr>
      <w:r>
        <w:t xml:space="preserve">1508 — XV, eap (2 = 1, 1/2 = 10, 1 = 85 [4 podw.], nietyp. = 2) = 98 (</w:t>
      </w:r>
      <w:r>
        <w:rPr>
          <w:bCs/>
          <w:b/>
        </w:rPr>
        <w:t xml:space="preserve">f</w:t>
      </w:r>
      <w:r>
        <w:rPr>
          <w:vertAlign w:val="superscript"/>
          <w:bCs/>
          <w:b/>
        </w:rPr>
        <w:t xml:space="preserve">35</w:t>
      </w:r>
      <w:r>
        <w:t xml:space="preserve"> </w:t>
      </w:r>
      <w:r>
        <w:t xml:space="preserve">± 2) (21, 65).</w:t>
      </w:r>
    </w:p>
    <w:p>
      <w:pPr>
        <w:numPr>
          <w:ilvl w:val="0"/>
          <w:numId w:val="1075"/>
        </w:numPr>
      </w:pPr>
      <w:r>
        <w:t xml:space="preserve">1482 — 1304, eap (2 = 1, 1/2 = 10, 1 = 85 [2 podw.], nietyp. = 2) = 98 (</w:t>
      </w:r>
      <w:r>
        <w:rPr>
          <w:bCs/>
          <w:b/>
        </w:rPr>
        <w:t xml:space="preserve">f</w:t>
      </w:r>
      <w:r>
        <w:rPr>
          <w:vertAlign w:val="superscript"/>
          <w:bCs/>
          <w:b/>
        </w:rPr>
        <w:t xml:space="preserve">35</w:t>
      </w:r>
      <w:r>
        <w:t xml:space="preserve"> </w:t>
      </w:r>
      <w:r>
        <w:t xml:space="preserve">± 2) (45, 65).</w:t>
      </w:r>
    </w:p>
    <w:p>
      <w:pPr>
        <w:numPr>
          <w:ilvl w:val="0"/>
          <w:numId w:val="1075"/>
        </w:numPr>
      </w:pPr>
      <w:r>
        <w:t xml:space="preserve">1656 — XV, eap (2 = 1, 1/2 = 11, 1 = 84 [2 podw.], nietyp. = 2) = 98 (</w:t>
      </w:r>
      <w:r>
        <w:rPr>
          <w:bCs/>
          <w:b/>
        </w:rPr>
        <w:t xml:space="preserve">f</w:t>
      </w:r>
      <w:r>
        <w:rPr>
          <w:vertAlign w:val="superscript"/>
          <w:bCs/>
          <w:b/>
        </w:rPr>
        <w:t xml:space="preserve">35</w:t>
      </w:r>
      <w:r>
        <w:t xml:space="preserve"> </w:t>
      </w:r>
      <w:r>
        <w:t xml:space="preserve">± 2) (8, 45).</w:t>
      </w:r>
    </w:p>
    <w:p>
      <w:pPr>
        <w:numPr>
          <w:ilvl w:val="0"/>
          <w:numId w:val="1075"/>
        </w:numPr>
      </w:pPr>
      <w:r>
        <w:t xml:space="preserve">1748 — 1662, ap (2 = 1, 1/2 = 11, 1 = 85 [4 podw.], nietyp. = 1) = 98 (</w:t>
      </w:r>
      <w:r>
        <w:rPr>
          <w:bCs/>
          <w:b/>
        </w:rPr>
        <w:t xml:space="preserve">f</w:t>
      </w:r>
      <w:r>
        <w:rPr>
          <w:vertAlign w:val="superscript"/>
          <w:bCs/>
          <w:b/>
        </w:rPr>
        <w:t xml:space="preserve">35</w:t>
      </w:r>
      <w:r>
        <w:t xml:space="preserve"> </w:t>
      </w:r>
      <w:r>
        <w:t xml:space="preserve">± 2) (32, 62).</w:t>
      </w:r>
    </w:p>
    <w:p>
      <w:pPr>
        <w:numPr>
          <w:ilvl w:val="0"/>
          <w:numId w:val="1075"/>
        </w:numPr>
      </w:pPr>
      <w:r>
        <w:t xml:space="preserve">1737 — XII, ap (2 = 1, 1/2 = 11, 1 = 85 [3 podw.], nietyp. = 1) = 98 (</w:t>
      </w:r>
      <w:r>
        <w:rPr>
          <w:bCs/>
          <w:b/>
        </w:rPr>
        <w:t xml:space="preserve">f</w:t>
      </w:r>
      <w:r>
        <w:rPr>
          <w:vertAlign w:val="superscript"/>
          <w:bCs/>
          <w:b/>
        </w:rPr>
        <w:t xml:space="preserve">35</w:t>
      </w:r>
      <w:r>
        <w:t xml:space="preserve"> </w:t>
      </w:r>
      <w:r>
        <w:t xml:space="preserve">± 2) (32, 77).</w:t>
      </w:r>
    </w:p>
    <w:p>
      <w:pPr>
        <w:numPr>
          <w:ilvl w:val="0"/>
          <w:numId w:val="1075"/>
        </w:numPr>
      </w:pPr>
      <w:r>
        <w:t xml:space="preserve">1749 — XVI, ap (2 = 2, 1/2 = 11, 1 = 78 [3 podw.], nietyp. = 1) = 92 (</w:t>
      </w:r>
      <w:r>
        <w:rPr>
          <w:bCs/>
          <w:b/>
        </w:rPr>
        <w:t xml:space="preserve">f</w:t>
      </w:r>
      <w:r>
        <w:rPr>
          <w:vertAlign w:val="superscript"/>
          <w:bCs/>
          <w:b/>
        </w:rPr>
        <w:t xml:space="preserve">35</w:t>
      </w:r>
      <w:r>
        <w:t xml:space="preserve"> </w:t>
      </w:r>
      <w:r>
        <w:t xml:space="preserve">± 1) (29).</w:t>
      </w:r>
    </w:p>
    <w:p>
      <w:pPr>
        <w:numPr>
          <w:ilvl w:val="0"/>
          <w:numId w:val="1075"/>
        </w:numPr>
      </w:pPr>
      <w:r>
        <w:t xml:space="preserve">1637 — 1328, eapr (2 = 2, 1/2 = 11, 1 = 84 [3 podw.], nietyp. = 1) = 98 (</w:t>
      </w:r>
      <w:r>
        <w:rPr>
          <w:bCs/>
          <w:b/>
        </w:rPr>
        <w:t xml:space="preserve">f</w:t>
      </w:r>
      <w:r>
        <w:rPr>
          <w:vertAlign w:val="superscript"/>
          <w:bCs/>
          <w:b/>
        </w:rPr>
        <w:t xml:space="preserve">35</w:t>
      </w:r>
      <w:r>
        <w:t xml:space="preserve"> </w:t>
      </w:r>
      <w:r>
        <w:t xml:space="preserve">± 1) (17).</w:t>
      </w:r>
    </w:p>
    <w:p>
      <w:pPr>
        <w:numPr>
          <w:ilvl w:val="0"/>
          <w:numId w:val="1075"/>
        </w:numPr>
      </w:pPr>
      <w:r>
        <w:t xml:space="preserve">1740 — XIII, apr (2 = 1, 1/2 = 11, 1 = 85 [4 podw.], nietyp. = 1) = 98 (</w:t>
      </w:r>
      <w:r>
        <w:rPr>
          <w:bCs/>
          <w:b/>
        </w:rPr>
        <w:t xml:space="preserve">f</w:t>
      </w:r>
      <w:r>
        <w:rPr>
          <w:vertAlign w:val="superscript"/>
          <w:bCs/>
          <w:b/>
        </w:rPr>
        <w:t xml:space="preserve">35</w:t>
      </w:r>
      <w:r>
        <w:t xml:space="preserve"> </w:t>
      </w:r>
      <w:r>
        <w:t xml:space="preserve">± 1) (39).</w:t>
      </w:r>
    </w:p>
    <w:p>
      <w:pPr>
        <w:numPr>
          <w:ilvl w:val="0"/>
          <w:numId w:val="1075"/>
        </w:numPr>
      </w:pPr>
      <w:r>
        <w:t xml:space="preserve">1617 — XV, eapr (2 = 1, 1/2 = 11, 1 = 85 [4 podw.], nietyp. = 1) = 98 (</w:t>
      </w:r>
      <w:r>
        <w:rPr>
          <w:bCs/>
          <w:b/>
        </w:rPr>
        <w:t xml:space="preserve">f</w:t>
      </w:r>
      <w:r>
        <w:rPr>
          <w:vertAlign w:val="superscript"/>
          <w:bCs/>
          <w:b/>
        </w:rPr>
        <w:t xml:space="preserve">35</w:t>
      </w:r>
      <w:r>
        <w:t xml:space="preserve"> </w:t>
      </w:r>
      <w:r>
        <w:t xml:space="preserve">± 1) (21).</w:t>
      </w:r>
    </w:p>
    <w:p>
      <w:pPr>
        <w:numPr>
          <w:ilvl w:val="0"/>
          <w:numId w:val="1075"/>
        </w:numPr>
      </w:pPr>
      <w:r>
        <w:t xml:space="preserve">1618 — 1568, eap (2 = 1, 1/2 = 11, 1 = 85 [2 podw.], nietyp. = 1) = 98 (</w:t>
      </w:r>
      <w:r>
        <w:rPr>
          <w:bCs/>
          <w:b/>
        </w:rPr>
        <w:t xml:space="preserve">f</w:t>
      </w:r>
      <w:r>
        <w:rPr>
          <w:vertAlign w:val="superscript"/>
          <w:bCs/>
          <w:b/>
        </w:rPr>
        <w:t xml:space="preserve">35</w:t>
      </w:r>
      <w:r>
        <w:t xml:space="preserve"> </w:t>
      </w:r>
      <w:r>
        <w:t xml:space="preserve">± 1) (32).</w:t>
      </w:r>
    </w:p>
    <w:p>
      <w:pPr>
        <w:numPr>
          <w:ilvl w:val="0"/>
          <w:numId w:val="1075"/>
        </w:numPr>
      </w:pPr>
      <w:r>
        <w:t xml:space="preserve">1072 — XIII,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1075 — XIV,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1503 — 1317,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1619 — XIV,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1628 — 1400,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1636 — XV,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1745 — XV,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1746 — XIV,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1652 — XVI, eap (2 = 1, 1/2 = 3, 1 = 21) = 25 (</w:t>
      </w:r>
      <w:r>
        <w:rPr>
          <w:bCs/>
          <w:b/>
        </w:rPr>
        <w:t xml:space="preserve">f</w:t>
      </w:r>
      <w:r>
        <w:rPr>
          <w:vertAlign w:val="superscript"/>
          <w:bCs/>
          <w:b/>
        </w:rPr>
        <w:t xml:space="preserve">35</w:t>
      </w:r>
      <w:r>
        <w:t xml:space="preserve"> </w:t>
      </w:r>
      <w:r>
        <w:t xml:space="preserve">fragm.).</w:t>
      </w:r>
    </w:p>
    <w:p>
      <w:pPr>
        <w:numPr>
          <w:ilvl w:val="0"/>
          <w:numId w:val="1075"/>
        </w:numPr>
      </w:pPr>
      <w:r>
        <w:t xml:space="preserve">1742 — XIII, ap (2 = 1, 1/2 = 11, 1 = 85 [3 podw.]) = 97 (</w:t>
      </w:r>
      <w:r>
        <w:rPr>
          <w:bCs/>
          <w:b/>
        </w:rPr>
        <w:t xml:space="preserve">f</w:t>
      </w:r>
      <w:r>
        <w:rPr>
          <w:vertAlign w:val="superscript"/>
          <w:bCs/>
          <w:b/>
        </w:rPr>
        <w:t xml:space="preserve">35</w:t>
      </w:r>
      <w:r>
        <w:t xml:space="preserve"> </w:t>
      </w:r>
      <w:r>
        <w:t xml:space="preserve">± 5).</w:t>
      </w:r>
    </w:p>
    <w:p>
      <w:pPr>
        <w:pStyle w:val="FirstParagraph"/>
      </w:pPr>
      <w:r>
        <w:t xml:space="preserve">Ponownie, odkładając na razie na bok manuskrypty</w:t>
      </w:r>
      <w:r>
        <w:t xml:space="preserve"> </w:t>
      </w:r>
      <w:r>
        <w:rPr>
          <w:bCs/>
          <w:b/>
        </w:rPr>
        <w:t xml:space="preserve">f</w:t>
      </w:r>
      <w:r>
        <w:rPr>
          <w:vertAlign w:val="superscript"/>
          <w:bCs/>
          <w:b/>
        </w:rPr>
        <w:t xml:space="preserve">35</w:t>
      </w:r>
      <w:r>
        <w:t xml:space="preserve">, absolutnie żadne dwa manuskrypty nie są identyczne. Pozostałe manuskrypty bizantyjskie są wszystkie odmienne, niektóre naprawdę znacznie, a jednak wszystkie wyraźnie mieszczą się w tradycji bizantyjskiej. Tych 30 manuskryptów reprezentuje tyle samo egzemplarzy, nie było „chowu wsobnego” ani upychania urny wyborczej, każdy kopista próbował odtworzyć to, co miał przed sobą, niezależnie od jakości tekstu. Ponieważ manuskrypty nadal znajdowały się tam w 1800 roku, nie sporządzono ich, aby zrealizować zamówienie z innego miejsca.</w:t>
      </w:r>
    </w:p>
    <w:p>
      <w:pPr>
        <w:pStyle w:val="BodyText"/>
      </w:pPr>
      <w:r>
        <w:t xml:space="preserve">Ponadto skąd klasztory brały pergamin do ciągłego sporządzania manuskryptów? Czy miały pieniądze, by wychodzić i kupować go w garbarniach? Bardziej prawdopodobne wydaje mi się, że wytwarzały go same ze skór owiec i kóz, które jadły. W takim przypadku zdobycie ilości wystarczającej na jeden Nowy Testament mogło bez trudu zająć kilka lat. Problem znalezienia wystarczającej ilości pergaminu przemawia przeciwko masowej produkcji kopii w jakimkolwiek okresie epoki welinu. Trzy datowane manuskrypty na Synaju są oddalone od siebie o osiem lat (1308, 1316, 1324) — czy zgromadzenie wystarczającej ilości welinu mogło trwać aż tak długo?</w:t>
      </w:r>
    </w:p>
    <w:p>
      <w:pPr>
        <w:pStyle w:val="BodyText"/>
      </w:pPr>
      <w:r>
        <w:t xml:space="preserve">Rozważmy teraz grupę</w:t>
      </w:r>
      <w:r>
        <w:t xml:space="preserve"> </w:t>
      </w:r>
      <w:r>
        <w:rPr>
          <w:bCs/>
          <w:b/>
        </w:rPr>
        <w:t xml:space="preserve">f</w:t>
      </w:r>
      <w:r>
        <w:rPr>
          <w:vertAlign w:val="superscript"/>
          <w:bCs/>
          <w:b/>
        </w:rPr>
        <w:t xml:space="preserve">35</w:t>
      </w:r>
      <w:r>
        <w:t xml:space="preserve">. Siedem to</w:t>
      </w:r>
      <w:r>
        <w:t xml:space="preserve"> </w:t>
      </w:r>
      <w:r>
        <w:rPr>
          <w:bCs/>
          <w:b/>
        </w:rPr>
        <w:t xml:space="preserve">f</w:t>
      </w:r>
      <w:r>
        <w:rPr>
          <w:vertAlign w:val="superscript"/>
          <w:bCs/>
          <w:b/>
        </w:rPr>
        <w:t xml:space="preserve">35</w:t>
      </w:r>
      <w:r>
        <w:t xml:space="preserve"> </w:t>
      </w:r>
      <w:r>
        <w:t xml:space="preserve">± 2, lecz żadne dwa nie mają identycznego profilu — odmienne warianty umieściłem w nawiasach okrągłych na końcu wiersza, aby czytelnik mógł to sprawdzić jednym spojrzeniem. Pięć to</w:t>
      </w:r>
      <w:r>
        <w:t xml:space="preserve"> </w:t>
      </w:r>
      <w:r>
        <w:rPr>
          <w:bCs/>
          <w:b/>
        </w:rPr>
        <w:t xml:space="preserve">f</w:t>
      </w:r>
      <w:r>
        <w:rPr>
          <w:vertAlign w:val="superscript"/>
          <w:bCs/>
          <w:b/>
        </w:rPr>
        <w:t xml:space="preserve">35</w:t>
      </w:r>
      <w:r>
        <w:t xml:space="preserve"> </w:t>
      </w:r>
      <w:r>
        <w:t xml:space="preserve">± 1, lecz również żadne dwa nie mają identycznego profilu, jak czytelnik może zobaczyć jednym spojrzeniem. Te dwanaście manuskryptów także musiało więc zostać skopiowanych z tylu samo egzemplarzy — mamy teraz 44 manuskrypty skopiowane z odrębnych egzemplarzy. Ach, ale istnieje osiem manuskryptów o doskonałym profilu</w:t>
      </w:r>
      <w:r>
        <w:t xml:space="preserve"> </w:t>
      </w:r>
      <w:r>
        <w:rPr>
          <w:bCs/>
          <w:b/>
        </w:rPr>
        <w:t xml:space="preserve">f</w:t>
      </w:r>
      <w:r>
        <w:rPr>
          <w:vertAlign w:val="superscript"/>
          <w:bCs/>
          <w:b/>
        </w:rPr>
        <w:t xml:space="preserve">35</w:t>
      </w:r>
      <w:r>
        <w:t xml:space="preserve">, co z nimi? Cóż, zacznijmy od zawartości: trzy zawierają</w:t>
      </w:r>
      <w:r>
        <w:t xml:space="preserve"> </w:t>
      </w:r>
      <w:r>
        <w:rPr>
          <w:bCs/>
          <w:b/>
        </w:rPr>
        <w:t xml:space="preserve">eapr</w:t>
      </w:r>
      <w:r>
        <w:t xml:space="preserve">, trzy</w:t>
      </w:r>
      <w:r>
        <w:t xml:space="preserve"> </w:t>
      </w:r>
      <w:r>
        <w:rPr>
          <w:bCs/>
          <w:b/>
        </w:rPr>
        <w:t xml:space="preserve">eap</w:t>
      </w:r>
      <w:r>
        <w:t xml:space="preserve">, dwa</w:t>
      </w:r>
      <w:r>
        <w:t xml:space="preserve"> </w:t>
      </w:r>
      <w:r>
        <w:rPr>
          <w:bCs/>
          <w:b/>
        </w:rPr>
        <w:t xml:space="preserve">apr</w:t>
      </w:r>
      <w:r>
        <w:t xml:space="preserve"> </w:t>
      </w:r>
      <w:r>
        <w:t xml:space="preserve">— przynajmniej te trzy grupy muszą reprezentować odrębne egzemplarze. Pozostaje nam więc najwyżej pięć manuskryptów, które mogły nie reprezentować odrębnego egzemplarza. Odkładając na bok z góry przyjęte poglądy, jaką obiektywną podstawę mógłby mieć ktokolwiek, by twierdzić, że tych pięciu nie skopiowano według tej samej zasady co pozostałe, mianowicie w celu zachowania tekstu egzemplarza? Wydaje mi się sprawiedliwe rozumienie, że 52 zachowane manuskrypty z M. Lavras reprezentują tyle samo odrębnych egzemplarzy.</w:t>
      </w:r>
      <w:r>
        <w:rPr>
          <w:rStyle w:val="FootnoteReference"/>
        </w:rPr>
        <w:footnoteReference w:id="372"/>
      </w:r>
    </w:p>
    <w:bookmarkEnd w:id="373"/>
    <w:bookmarkEnd w:id="374"/>
    <w:bookmarkStart w:id="376" w:name="recenzja-f35-kr"/>
    <w:p>
      <w:pPr>
        <w:pStyle w:val="Heading3"/>
      </w:pPr>
      <w:r>
        <w:t xml:space="preserve">Recenzja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p>
      <w:pPr>
        <w:pStyle w:val="FirstParagraph"/>
      </w:pPr>
      <w:r>
        <w:t xml:space="preserve">Ponieważ</w:t>
      </w:r>
      <w:r>
        <w:t xml:space="preserve"> </w:t>
      </w:r>
      <w:r>
        <w:rPr>
          <w:bCs/>
          <w:b/>
        </w:rPr>
        <w:t xml:space="preserve">f</w:t>
      </w:r>
      <w:r>
        <w:rPr>
          <w:vertAlign w:val="superscript"/>
          <w:bCs/>
          <w:b/>
        </w:rPr>
        <w:t xml:space="preserve">35</w:t>
      </w:r>
      <w:r>
        <w:t xml:space="preserve"> </w:t>
      </w:r>
      <w:r>
        <w:t xml:space="preserve">jest jedyną znaczącą grupą o znacznej liczbie manuskryptów i profilu określonym empirycznie, możemy z pewnością ustalić jej tekst archetypalny — mamy najbardziej spójny ze wszystkich typów tekstu. Czy jest jednak „recenzją”? Von Soden twierdził, że tak, przypisując ją do XII wieku, nie wiem, czy wskazał źródło, ale jeśli to zrobił, mylił się. Minuskuł 35 wraz z innymi manuskryptami z XI wieku należy do tej grupy — ich egzemplarze pochodziły przypuszczalnie z X wieku lub były wcześniejsze. W innym miejscu wykazałem</w:t>
      </w:r>
      <w:r>
        <w:rPr>
          <w:rStyle w:val="FootnoteReference"/>
        </w:rPr>
        <w:footnoteReference w:id="375"/>
      </w:r>
      <w:r>
        <w:t xml:space="preserve">, że</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jest niezależna od</w:t>
      </w:r>
      <w:r>
        <w:t xml:space="preserve"> </w:t>
      </w:r>
      <w:r>
        <w:rPr>
          <w:bCs/>
          <w:b/>
        </w:rPr>
        <w:t xml:space="preserve">K</w:t>
      </w:r>
      <w:r>
        <w:rPr>
          <w:vertAlign w:val="superscript"/>
          <w:bCs/>
          <w:b/>
        </w:rPr>
        <w:t xml:space="preserve">x</w:t>
      </w:r>
      <w:r>
        <w:t xml:space="preserve"> </w:t>
      </w:r>
      <w:r>
        <w:t xml:space="preserve">w całym Nowym Testamencie — jeśli jest niezależna, nie mogła opierać się na</w:t>
      </w:r>
      <w:r>
        <w:t xml:space="preserve"> </w:t>
      </w:r>
      <w:r>
        <w:rPr>
          <w:bCs/>
          <w:b/>
        </w:rPr>
        <w:t xml:space="preserve">K</w:t>
      </w:r>
      <w:r>
        <w:rPr>
          <w:vertAlign w:val="superscript"/>
          <w:bCs/>
          <w:b/>
        </w:rPr>
        <w:t xml:space="preserve">x</w:t>
      </w:r>
      <w:r>
        <w:t xml:space="preserve">.</w:t>
      </w:r>
      <w:r>
        <w:t xml:space="preserve"> </w:t>
      </w:r>
      <w:r>
        <w:rPr>
          <w:bCs/>
          <w:b/>
        </w:rPr>
        <w:t xml:space="preserve">f</w:t>
      </w:r>
      <w:r>
        <w:rPr>
          <w:vertAlign w:val="superscript"/>
          <w:bCs/>
          <w:b/>
        </w:rPr>
        <w:t xml:space="preserve">35</w:t>
      </w:r>
      <w:r>
        <w:t xml:space="preserve"> </w:t>
      </w:r>
      <w:r>
        <w:t xml:space="preserve">wielokrotnie ma jawne wczesne poświadczenie przeciwko</w:t>
      </w:r>
      <w:r>
        <w:t xml:space="preserve"> </w:t>
      </w:r>
      <w:r>
        <w:rPr>
          <w:bCs/>
          <w:b/>
        </w:rPr>
        <w:t xml:space="preserve">K</w:t>
      </w:r>
      <w:r>
        <w:rPr>
          <w:vertAlign w:val="superscript"/>
          <w:bCs/>
          <w:b/>
        </w:rPr>
        <w:t xml:space="preserve">x</w:t>
      </w:r>
      <w:r>
        <w:t xml:space="preserve">, lecz nie ma wzorca zgodności, są przypadkowe. Jest poświadczona (przeciwko</w:t>
      </w:r>
      <w:r>
        <w:t xml:space="preserve"> </w:t>
      </w:r>
      <w:r>
        <w:rPr>
          <w:bCs/>
          <w:b/>
        </w:rPr>
        <w:t xml:space="preserve">K</w:t>
      </w:r>
      <w:r>
        <w:rPr>
          <w:vertAlign w:val="superscript"/>
          <w:bCs/>
          <w:b/>
        </w:rPr>
        <w:t xml:space="preserve">x</w:t>
      </w:r>
      <w:r>
        <w:t xml:space="preserve">) przez P</w:t>
      </w:r>
      <w:r>
        <w:rPr>
          <w:vertAlign w:val="superscript"/>
        </w:rPr>
        <w:t xml:space="preserve">45,46,47,66,75</w:t>
      </w:r>
      <w:r>
        <w:t xml:space="preserve">, ℵ, A, B, C, D, W, lat, syr, cop — czasem tylko przez jednego, czasem przez dwóch, trzech, czterech lub więcej spośród nich, lecz w nieustannie zmieniających się wzorcach. Jeśli nie ma wzorca, nie ma zależności,</w:t>
      </w:r>
      <w:r>
        <w:t xml:space="preserve"> </w:t>
      </w:r>
      <w:r>
        <w:rPr>
          <w:bCs/>
          <w:b/>
        </w:rPr>
        <w:t xml:space="preserve">f</w:t>
      </w:r>
      <w:r>
        <w:rPr>
          <w:vertAlign w:val="superscript"/>
          <w:bCs/>
          <w:b/>
        </w:rPr>
        <w:t xml:space="preserve">35</w:t>
      </w:r>
      <w:r>
        <w:t xml:space="preserve"> </w:t>
      </w:r>
      <w:r>
        <w:t xml:space="preserve">ma starożytne odczyty, ponieważ sama jest starożytna.</w:t>
      </w:r>
    </w:p>
    <w:p>
      <w:pPr>
        <w:pStyle w:val="BodyText"/>
      </w:pPr>
      <w:r>
        <w:t xml:space="preserve">Wracając do</w:t>
      </w:r>
      <w:r>
        <w:t xml:space="preserve"> </w:t>
      </w:r>
      <w:r>
        <w:rPr>
          <w:iCs/>
          <w:i/>
        </w:rPr>
        <w:t xml:space="preserve">TuT</w:t>
      </w:r>
      <w:r>
        <w:t xml:space="preserve"> </w:t>
      </w:r>
      <w:r>
        <w:t xml:space="preserve">i Listów Ogólnych, wymienię obecne miejsca przechowywania manuskryptów</w:t>
      </w:r>
      <w:r>
        <w:t xml:space="preserve"> </w:t>
      </w:r>
      <w:r>
        <w:rPr>
          <w:bCs/>
          <w:b/>
        </w:rPr>
        <w:t xml:space="preserve">f</w:t>
      </w:r>
      <w:r>
        <w:rPr>
          <w:vertAlign w:val="superscript"/>
          <w:bCs/>
          <w:b/>
        </w:rPr>
        <w:t xml:space="preserve">35</w:t>
      </w:r>
      <w:r>
        <w:t xml:space="preserve"> </w:t>
      </w:r>
      <w:r>
        <w:t xml:space="preserve">według stulecia:</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Stulecie</w:t>
            </w:r>
          </w:p>
        </w:tc>
        <w:tc>
          <w:tcPr/>
          <w:p>
            <w:pPr>
              <w:pStyle w:val="Compact"/>
              <w:jc w:val="left"/>
            </w:pPr>
            <w:r>
              <w:t xml:space="preserve">Miejsca</w:t>
            </w:r>
          </w:p>
        </w:tc>
      </w:tr>
      <w:tr>
        <w:tc>
          <w:tcPr/>
          <w:p>
            <w:pPr>
              <w:pStyle w:val="Compact"/>
              <w:jc w:val="center"/>
            </w:pPr>
            <w:r>
              <w:t xml:space="preserve">XI</w:t>
            </w:r>
          </w:p>
        </w:tc>
        <w:tc>
          <w:tcPr/>
          <w:p>
            <w:pPr>
              <w:pStyle w:val="Compact"/>
              <w:jc w:val="left"/>
            </w:pPr>
            <w:r>
              <w:t xml:space="preserve">Paryż, Trikala, Watykan</w:t>
            </w:r>
          </w:p>
        </w:tc>
      </w:tr>
      <w:tr>
        <w:tc>
          <w:tcPr/>
          <w:p>
            <w:pPr>
              <w:pStyle w:val="Compact"/>
              <w:jc w:val="center"/>
            </w:pPr>
            <w:r>
              <w:t xml:space="preserve">XII</w:t>
            </w:r>
          </w:p>
        </w:tc>
        <w:tc>
          <w:tcPr/>
          <w:p>
            <w:pPr>
              <w:pStyle w:val="Compact"/>
              <w:jc w:val="left"/>
            </w:pPr>
            <w:r>
              <w:t xml:space="preserve">Athos (Kutlumusiu, M. Lavras, Panteleimonos, Stavronikita, Vatopediu), Jerozolima</w:t>
            </w:r>
          </w:p>
        </w:tc>
      </w:tr>
      <w:tr>
        <w:tc>
          <w:tcPr/>
          <w:p>
            <w:pPr>
              <w:pStyle w:val="Compact"/>
              <w:jc w:val="center"/>
            </w:pPr>
            <w:r>
              <w:t xml:space="preserve">XIII</w:t>
            </w:r>
          </w:p>
        </w:tc>
        <w:tc>
          <w:tcPr/>
          <w:p>
            <w:pPr>
              <w:pStyle w:val="Compact"/>
              <w:jc w:val="left"/>
            </w:pPr>
            <w:r>
              <w:t xml:space="preserve">Ateny, Athos (Iviron, Konstamonitu, M. Lavras, Pantokratoros, Filotheu), Bolonia, Kalawrita, Lejda, Watykan</w:t>
            </w:r>
          </w:p>
        </w:tc>
      </w:tr>
      <w:tr>
        <w:tc>
          <w:tcPr/>
          <w:p>
            <w:pPr>
              <w:pStyle w:val="Compact"/>
              <w:jc w:val="center"/>
            </w:pPr>
            <w:r>
              <w:t xml:space="preserve">XIV</w:t>
            </w:r>
          </w:p>
        </w:tc>
        <w:tc>
          <w:tcPr/>
          <w:p>
            <w:pPr>
              <w:pStyle w:val="Compact"/>
              <w:jc w:val="left"/>
            </w:pPr>
            <w:r>
              <w:t xml:space="preserve">Ateny, Athos (Dionysiu, Esfigmenu, Iviron, Karakallu, Kavsokalyvion, M. Lavras, Vatopediu), Grottaferrata, Jerozolima, Karditsa, Londyn, Ochryda, Paryż, Patmos, Rzym, Synaj, Watykan</w:t>
            </w:r>
          </w:p>
        </w:tc>
      </w:tr>
      <w:tr>
        <w:tc>
          <w:tcPr/>
          <w:p>
            <w:pPr>
              <w:pStyle w:val="Compact"/>
              <w:jc w:val="center"/>
            </w:pPr>
            <w:r>
              <w:t xml:space="preserve">XV</w:t>
            </w:r>
          </w:p>
        </w:tc>
        <w:tc>
          <w:tcPr/>
          <w:p>
            <w:pPr>
              <w:pStyle w:val="Compact"/>
              <w:jc w:val="left"/>
            </w:pPr>
            <w:r>
              <w:t xml:space="preserve">Ateny, Athos (Iviron, M. Lavras), Bukareszt, Londyn, Meteory, Synaj, Sparta, Watykan, Wenecja, Żytawa</w:t>
            </w:r>
          </w:p>
        </w:tc>
      </w:tr>
      <w:tr>
        <w:tc>
          <w:tcPr/>
          <w:p>
            <w:pPr>
              <w:pStyle w:val="Compact"/>
              <w:jc w:val="center"/>
            </w:pPr>
            <w:r>
              <w:t xml:space="preserve">XVI</w:t>
            </w:r>
          </w:p>
        </w:tc>
        <w:tc>
          <w:tcPr/>
          <w:p>
            <w:pPr>
              <w:pStyle w:val="Compact"/>
              <w:jc w:val="left"/>
            </w:pPr>
            <w:r>
              <w:t xml:space="preserve">Ateny, Athos (Iviron, Kutlumusiu, M. Lavras), Lesbos, Synaj</w:t>
            </w:r>
          </w:p>
        </w:tc>
      </w:tr>
      <w:tr>
        <w:tc>
          <w:tcPr/>
          <w:p>
            <w:pPr>
              <w:pStyle w:val="Compact"/>
              <w:jc w:val="center"/>
            </w:pPr>
            <w:r>
              <w:t xml:space="preserve">XVII</w:t>
            </w:r>
          </w:p>
        </w:tc>
        <w:tc>
          <w:tcPr/>
          <w:p>
            <w:pPr>
              <w:pStyle w:val="Compact"/>
              <w:jc w:val="left"/>
            </w:pPr>
            <w:r>
              <w:t xml:space="preserve">Athos (Dionysiu, M. Lavras)</w:t>
            </w:r>
          </w:p>
        </w:tc>
      </w:tr>
    </w:tbl>
    <w:p>
      <w:pPr>
        <w:pStyle w:val="BodyText"/>
      </w:pPr>
      <w:r>
        <w:t xml:space="preserve">Manuskrypty w Watykanie, Grottaferracie, Jerozolimie, na Patmos, Synaju, Athos, w Trikali, Meteorach i na Lesbos przynajmniej są najprawdopodobniej oparte na linii przodków przechowywanych lokalnie, wszelki import egzemplarzy nastąpił prawdopodobnie we wczesnych wiekach. Jeśli manuskrypty</w:t>
      </w:r>
      <w:r>
        <w:t xml:space="preserve"> </w:t>
      </w:r>
      <w:r>
        <w:rPr>
          <w:bCs/>
          <w:b/>
        </w:rPr>
        <w:t xml:space="preserve">f</w:t>
      </w:r>
      <w:r>
        <w:rPr>
          <w:vertAlign w:val="superscript"/>
          <w:bCs/>
          <w:b/>
        </w:rPr>
        <w:t xml:space="preserve">35</w:t>
      </w:r>
      <w:r>
        <w:t xml:space="preserve"> </w:t>
      </w:r>
      <w:r>
        <w:t xml:space="preserve">znajdują się dziś w tych miejscach, przypuszczalnie dzieje się tak dlatego, że manuskrypty</w:t>
      </w:r>
      <w:r>
        <w:t xml:space="preserve"> </w:t>
      </w:r>
      <w:r>
        <w:rPr>
          <w:bCs/>
          <w:b/>
        </w:rPr>
        <w:t xml:space="preserve">f</w:t>
      </w:r>
      <w:r>
        <w:rPr>
          <w:vertAlign w:val="superscript"/>
          <w:bCs/>
          <w:b/>
        </w:rPr>
        <w:t xml:space="preserve">35</w:t>
      </w:r>
      <w:r>
        <w:t xml:space="preserve"> </w:t>
      </w:r>
      <w:r>
        <w:t xml:space="preserve">znajdowały się tam od początku.</w:t>
      </w:r>
    </w:p>
    <w:p>
      <w:pPr>
        <w:pStyle w:val="BodyText"/>
      </w:pPr>
      <w:r>
        <w:t xml:space="preserve">Odrzucam jako całkowicie bezpodstawny zarzut, że</w:t>
      </w:r>
      <w:r>
        <w:t xml:space="preserve"> </w:t>
      </w:r>
      <w:r>
        <w:rPr>
          <w:bCs/>
          <w:b/>
        </w:rPr>
        <w:t xml:space="preserve">f</w:t>
      </w:r>
      <w:r>
        <w:rPr>
          <w:vertAlign w:val="superscript"/>
          <w:bCs/>
          <w:b/>
        </w:rPr>
        <w:t xml:space="preserve">35</w:t>
      </w:r>
      <w:r>
        <w:t xml:space="preserve"> </w:t>
      </w:r>
      <w:r>
        <w:t xml:space="preserve">jest recenzją. Jeśli ktoś chce twierdzić, że nią jest, proszę, aby podał, kto jej dokonał, kiedy i gdzie, oraz przedstawił dowody na poparcie tego twierdzenia. Bez dowodów każde takie twierdzenie jest niepoważne i nieodpowiedzialne.</w:t>
      </w:r>
    </w:p>
    <w:bookmarkEnd w:id="376"/>
    <w:bookmarkEnd w:id="377"/>
    <w:bookmarkStart w:id="385" w:name="X654f453812fa20075156a4d644b9a1816602b98"/>
    <w:p>
      <w:pPr>
        <w:pStyle w:val="Heading2"/>
      </w:pPr>
      <w:r>
        <w:t xml:space="preserve">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w:t>
      </w:r>
    </w:p>
    <w:p>
      <w:pPr>
        <w:pStyle w:val="FirstParagraph"/>
      </w:pPr>
      <w:r>
        <w:t xml:space="preserve">Jeśli chcesz być kandydatem na najlepszego hydraulika w mieście, musisz być hydraulikiem, na najlepszego prawnika — musisz być prawnikiem, na najlepszego onkologa — musisz być onkologiem, i tak dalej. Podobnie, jeśli chcesz być kandydatem na archetyp Autografu, musisz być archetypem, rzeczywistym, najzupełniej prawdziwym, obiektywnie weryfikowalnym archetypem. Niniejsza część podejmuje następujące pytanie: czy w Listach Ogólnych istnieją jakieś obiektywnie rozpoznawalne archetypy?</w:t>
      </w:r>
    </w:p>
    <w:p>
      <w:pPr>
        <w:pStyle w:val="BodyText"/>
      </w:pPr>
      <w:r>
        <w:t xml:space="preserve">Zwracam uwagę na poniższe dowody zaczerpnięte z mojego aparatu krytycznego do tych ksiąg. Będę rozpatrywał księgi pojedynczo. Odczyt</w:t>
      </w:r>
      <w:r>
        <w:t xml:space="preserve"> </w:t>
      </w:r>
      <w:r>
        <w:rPr>
          <w:bCs/>
          <w:b/>
        </w:rPr>
        <w:t xml:space="preserve">f</w:t>
      </w:r>
      <w:r>
        <w:rPr>
          <w:vertAlign w:val="superscript"/>
          <w:bCs/>
          <w:b/>
        </w:rPr>
        <w:t xml:space="preserve">35</w:t>
      </w:r>
      <w:r>
        <w:t xml:space="preserve"> </w:t>
      </w:r>
      <w:r>
        <w:t xml:space="preserve">zawsze będzie pierwszy, a pełny wykaz określa archetyp tej rodziny.</w:t>
      </w:r>
      <w:r>
        <w:rPr>
          <w:rStyle w:val="FootnoteReference"/>
        </w:rPr>
        <w:footnoteReference w:id="378"/>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Jakuba</w:t>
            </w:r>
          </w:p>
        </w:tc>
        <w:tc>
          <w:tcPr/>
          <w:p>
            <w:pPr>
              <w:pStyle w:val="Compact"/>
            </w:pPr>
          </w:p>
        </w:tc>
      </w:tr>
      <w:tr>
        <w:tc>
          <w:tcPr/>
          <w:p>
            <w:pPr>
              <w:pStyle w:val="Compact"/>
              <w:jc w:val="center"/>
            </w:pPr>
            <w:r>
              <w:t xml:space="preserve">1,05</w:t>
            </w:r>
          </w:p>
        </w:tc>
        <w:tc>
          <w:tcPr/>
          <w:p>
            <w:pPr>
              <w:pStyle w:val="Compact"/>
              <w:jc w:val="left"/>
            </w:pPr>
            <w:r>
              <w:t xml:space="preserve">ουκ</w:t>
            </w:r>
            <w:r>
              <w:t xml:space="preserve"> </w:t>
            </w:r>
            <w:r>
              <w:rPr>
                <w:bCs/>
                <w:b/>
              </w:rPr>
              <w:t xml:space="preserve">f</w:t>
            </w:r>
            <w:r>
              <w:rPr>
                <w:vertAlign w:val="superscript"/>
                <w:bCs/>
                <w:b/>
              </w:rPr>
              <w:t xml:space="preserve">35</w:t>
            </w:r>
            <w:r>
              <w:t xml:space="preserve"> </w:t>
            </w:r>
            <w:r>
              <w:t xml:space="preserve">(70,3%) || μη ℵA,B,C (29,7%);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r>
              <w:rPr>
                <w:rStyle w:val="FootnoteReference"/>
              </w:rPr>
              <w:footnoteReference w:id="379"/>
            </w:r>
          </w:p>
        </w:tc>
      </w:tr>
      <w:tr>
        <w:tc>
          <w:tcPr/>
          <w:p>
            <w:pPr>
              <w:pStyle w:val="Compact"/>
              <w:jc w:val="center"/>
            </w:pPr>
            <w:r>
              <w:t xml:space="preserve">1,23</w:t>
            </w:r>
          </w:p>
        </w:tc>
        <w:tc>
          <w:tcPr/>
          <w:p>
            <w:pPr>
              <w:pStyle w:val="Compact"/>
              <w:jc w:val="left"/>
            </w:pPr>
            <w:r>
              <w:t xml:space="preserve">νομου</w:t>
            </w:r>
            <w:r>
              <w:t xml:space="preserve"> </w:t>
            </w:r>
            <w:r>
              <w:rPr>
                <w:bCs/>
                <w:b/>
              </w:rPr>
              <w:t xml:space="preserve">f</w:t>
            </w:r>
            <w:r>
              <w:rPr>
                <w:vertAlign w:val="superscript"/>
                <w:bCs/>
                <w:b/>
              </w:rPr>
              <w:t xml:space="preserve">35</w:t>
            </w:r>
            <w:r>
              <w:t xml:space="preserve"> </w:t>
            </w:r>
            <w:r>
              <w:t xml:space="preserve">(30%) || λογου ℵA,B,C (69%) || λογων (1%);</w:t>
            </w:r>
          </w:p>
        </w:tc>
        <w:tc>
          <w:tcPr/>
          <w:p>
            <w:pPr>
              <w:pStyle w:val="Compact"/>
            </w:pPr>
          </w:p>
        </w:tc>
      </w:tr>
      <w:tr>
        <w:tc>
          <w:tcPr/>
          <w:p>
            <w:pPr>
              <w:pStyle w:val="Compact"/>
              <w:jc w:val="center"/>
            </w:pPr>
            <w:r>
              <w:t xml:space="preserve">1,26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(35%) || αλλα ℵA,B,C,0173 (65%);</w:t>
            </w:r>
          </w:p>
        </w:tc>
        <w:tc>
          <w:tcPr/>
          <w:p>
            <w:pPr>
              <w:pStyle w:val="Compact"/>
            </w:pPr>
          </w:p>
        </w:tc>
      </w:tr>
      <w:tr>
        <w:tc>
          <w:tcPr/>
          <w:p>
            <w:pPr>
              <w:pStyle w:val="Compact"/>
              <w:jc w:val="center"/>
            </w:pPr>
            <w:r>
              <w:t xml:space="preserve">2,03</w:t>
            </w:r>
          </w:p>
        </w:tc>
        <w:tc>
          <w:tcPr/>
          <w:p>
            <w:pPr>
              <w:pStyle w:val="Compact"/>
              <w:jc w:val="left"/>
            </w:pPr>
            <w:r>
              <w:t xml:space="preserve">λαμπραν εσθητα</w:t>
            </w:r>
            <w:r>
              <w:t xml:space="preserve"> </w:t>
            </w:r>
            <w:r>
              <w:rPr>
                <w:bCs/>
                <w:b/>
              </w:rPr>
              <w:t xml:space="preserve">f</w:t>
            </w:r>
            <w:r>
              <w:rPr>
                <w:vertAlign w:val="superscript"/>
                <w:bCs/>
                <w:b/>
              </w:rPr>
              <w:t xml:space="preserve">35</w:t>
            </w:r>
            <w:r>
              <w:t xml:space="preserve"> </w:t>
            </w:r>
            <w:r>
              <w:t xml:space="preserve">(30%) || εσθητα την λαμπραν ℵA,B,C (70%);</w:t>
            </w:r>
          </w:p>
        </w:tc>
        <w:tc>
          <w:tcPr/>
          <w:p>
            <w:pPr>
              <w:pStyle w:val="Compact"/>
            </w:pPr>
          </w:p>
        </w:tc>
      </w:tr>
      <w:tr>
        <w:tc>
          <w:tcPr/>
          <w:p>
            <w:pPr>
              <w:pStyle w:val="Compact"/>
              <w:jc w:val="center"/>
            </w:pPr>
            <w:r>
              <w:t xml:space="preserve">2,04</w:t>
            </w:r>
          </w:p>
        </w:tc>
        <w:tc>
          <w:tcPr/>
          <w:p>
            <w:pPr>
              <w:pStyle w:val="Compact"/>
              <w:jc w:val="left"/>
            </w:pPr>
            <w:r>
              <w:t xml:space="preserve">ου</w:t>
            </w:r>
            <w:r>
              <w:t xml:space="preserve"> </w:t>
            </w:r>
            <w:r>
              <w:rPr>
                <w:bCs/>
                <w:b/>
              </w:rPr>
              <w:t xml:space="preserve">f</w:t>
            </w:r>
            <w:r>
              <w:rPr>
                <w:vertAlign w:val="superscript"/>
                <w:bCs/>
                <w:b/>
              </w:rPr>
              <w:t xml:space="preserve">35</w:t>
            </w:r>
            <w:r>
              <w:t xml:space="preserve"> </w:t>
            </w:r>
            <w:r>
              <w:t xml:space="preserve">ℵA,C (26,8%) || και ου (72,2%) || και (0,6%) || --- B (0,4%);</w:t>
            </w:r>
          </w:p>
        </w:tc>
        <w:tc>
          <w:tcPr/>
          <w:p>
            <w:pPr>
              <w:pStyle w:val="Compact"/>
            </w:pPr>
          </w:p>
        </w:tc>
      </w:tr>
      <w:tr>
        <w:tc>
          <w:tcPr/>
          <w:p>
            <w:pPr>
              <w:pStyle w:val="Compact"/>
              <w:jc w:val="center"/>
            </w:pPr>
            <w:r>
              <w:t xml:space="preserve">2,08</w:t>
            </w:r>
          </w:p>
        </w:tc>
        <w:tc>
          <w:tcPr/>
          <w:p>
            <w:pPr>
              <w:pStyle w:val="Compact"/>
              <w:jc w:val="left"/>
            </w:pPr>
            <w:r>
              <w:t xml:space="preserve">σεαυτον</w:t>
            </w:r>
            <w:r>
              <w:t xml:space="preserve"> </w:t>
            </w:r>
            <w:r>
              <w:rPr>
                <w:bCs/>
                <w:b/>
              </w:rPr>
              <w:t xml:space="preserve">f</w:t>
            </w:r>
            <w:r>
              <w:rPr>
                <w:vertAlign w:val="superscript"/>
                <w:bCs/>
                <w:b/>
              </w:rPr>
              <w:t xml:space="preserve">35</w:t>
            </w:r>
            <w:r>
              <w:t xml:space="preserve"> </w:t>
            </w:r>
            <w:r>
              <w:t xml:space="preserve">ℵA(B)C (50%) || εαυτον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2,13</w:t>
            </w:r>
          </w:p>
        </w:tc>
        <w:tc>
          <w:tcPr/>
          <w:p>
            <w:pPr>
              <w:pStyle w:val="Compact"/>
              <w:jc w:val="left"/>
            </w:pPr>
            <w:r>
              <w:t xml:space="preserve">ανηλεος</w:t>
            </w:r>
            <w:r>
              <w:t xml:space="preserve"> </w:t>
            </w:r>
            <w:r>
              <w:rPr>
                <w:bCs/>
                <w:b/>
              </w:rPr>
              <w:t xml:space="preserve">f</w:t>
            </w:r>
            <w:r>
              <w:rPr>
                <w:vertAlign w:val="superscript"/>
                <w:bCs/>
                <w:b/>
              </w:rPr>
              <w:t xml:space="preserve">35</w:t>
            </w:r>
            <w:r>
              <w:t xml:space="preserve"> </w:t>
            </w:r>
            <w:r>
              <w:t xml:space="preserve">(20%) || ανελεος ℵA,B,C (30%) || ανιλεως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λεγη τις</w:t>
            </w:r>
            <w:r>
              <w:t xml:space="preserve"> </w:t>
            </w:r>
            <w:r>
              <w:rPr>
                <w:bCs/>
                <w:b/>
              </w:rPr>
              <w:t xml:space="preserve">f</w:t>
            </w:r>
            <w:r>
              <w:rPr>
                <w:vertAlign w:val="superscript"/>
                <w:bCs/>
                <w:b/>
              </w:rPr>
              <w:t xml:space="preserve">35</w:t>
            </w:r>
            <w:r>
              <w:t xml:space="preserve"> </w:t>
            </w:r>
            <w:r>
              <w:t xml:space="preserve">ℵB (70%) || ~ 21 A,C (1%) || λεγει τις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εχει</w:t>
            </w:r>
            <w:r>
              <w:t xml:space="preserve"> </w:t>
            </w:r>
            <w:r>
              <w:rPr>
                <w:bCs/>
                <w:b/>
              </w:rPr>
              <w:t xml:space="preserve">f</w:t>
            </w:r>
            <w:r>
              <w:rPr>
                <w:vertAlign w:val="superscript"/>
                <w:bCs/>
                <w:b/>
              </w:rPr>
              <w:t xml:space="preserve">35</w:t>
            </w:r>
            <w:r>
              <w:t xml:space="preserve"> </w:t>
            </w:r>
            <w:r>
              <w:t xml:space="preserve">(46%) || εχη ℵA,B,C (47%) || εχειν (4,5%) || σχη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3,02</w:t>
            </w:r>
          </w:p>
        </w:tc>
        <w:tc>
          <w:tcPr/>
          <w:p>
            <w:pPr>
              <w:pStyle w:val="Compact"/>
              <w:jc w:val="left"/>
            </w:pPr>
            <w:r>
              <w:t xml:space="preserve">δυναμενος</w:t>
            </w:r>
            <w:r>
              <w:t xml:space="preserve"> </w:t>
            </w:r>
            <w:r>
              <w:rPr>
                <w:bCs/>
                <w:b/>
              </w:rPr>
              <w:t xml:space="preserve">f</w:t>
            </w:r>
            <w:r>
              <w:rPr>
                <w:vertAlign w:val="superscript"/>
                <w:bCs/>
                <w:b/>
              </w:rPr>
              <w:t xml:space="preserve">35</w:t>
            </w:r>
            <w:r>
              <w:t xml:space="preserve"> </w:t>
            </w:r>
            <w:r>
              <w:t xml:space="preserve">ℵ (23%) || δυνατος A,B (76,5%);</w:t>
            </w:r>
          </w:p>
        </w:tc>
        <w:tc>
          <w:tcPr/>
          <w:p>
            <w:pPr>
              <w:pStyle w:val="Compact"/>
            </w:pPr>
          </w:p>
        </w:tc>
      </w:tr>
      <w:tr>
        <w:tc>
          <w:tcPr/>
          <w:p>
            <w:pPr>
              <w:pStyle w:val="Compact"/>
              <w:jc w:val="center"/>
            </w:pPr>
            <w:r>
              <w:t xml:space="preserve">3,03</w:t>
            </w:r>
          </w:p>
        </w:tc>
        <w:tc>
          <w:tcPr/>
          <w:p>
            <w:pPr>
              <w:pStyle w:val="Compact"/>
              <w:jc w:val="left"/>
            </w:pPr>
            <w:r>
              <w:t xml:space="preserve">ιδε</w:t>
            </w:r>
            <w:r>
              <w:t xml:space="preserve"> </w:t>
            </w:r>
            <w:r>
              <w:rPr>
                <w:bCs/>
                <w:b/>
              </w:rPr>
              <w:t xml:space="preserve">f</w:t>
            </w:r>
            <w:r>
              <w:rPr>
                <w:vertAlign w:val="superscript"/>
                <w:bCs/>
                <w:b/>
              </w:rPr>
              <w:t xml:space="preserve">35</w:t>
            </w:r>
            <w:r>
              <w:t xml:space="preserve"> </w:t>
            </w:r>
            <w:r>
              <w:t xml:space="preserve">(60%) || ει δε (38,5%) || ιδου (0,5%);</w:t>
            </w:r>
            <w:r>
              <w:rPr>
                <w:rStyle w:val="FootnoteReference"/>
              </w:rPr>
              <w:footnoteReference w:id="380"/>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ανεμων σκληρων</w:t>
            </w:r>
            <w:r>
              <w:t xml:space="preserve"> </w:t>
            </w:r>
            <w:r>
              <w:rPr>
                <w:bCs/>
                <w:b/>
              </w:rPr>
              <w:t xml:space="preserve">f</w:t>
            </w:r>
            <w:r>
              <w:rPr>
                <w:vertAlign w:val="superscript"/>
                <w:bCs/>
                <w:b/>
              </w:rPr>
              <w:t xml:space="preserve">35</w:t>
            </w:r>
            <w:r>
              <w:t xml:space="preserve"> </w:t>
            </w:r>
            <w:r>
              <w:t xml:space="preserve">ℵB,C (44%) || ~ 21 A (56%);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ιθυνοντος</w:t>
            </w:r>
            <w:r>
              <w:t xml:space="preserve"> </w:t>
            </w:r>
            <w:r>
              <w:rPr>
                <w:bCs/>
                <w:b/>
              </w:rPr>
              <w:t xml:space="preserve">f</w:t>
            </w:r>
            <w:r>
              <w:rPr>
                <w:vertAlign w:val="superscript"/>
                <w:bCs/>
                <w:b/>
              </w:rPr>
              <w:t xml:space="preserve">35</w:t>
            </w:r>
            <w:r>
              <w:t xml:space="preserve"> </w:t>
            </w:r>
            <w:r>
              <w:t xml:space="preserve">(21%) || ευθυνοντος ℵA,B,C (79%);</w:t>
            </w:r>
          </w:p>
        </w:tc>
        <w:tc>
          <w:tcPr/>
          <w:p>
            <w:pPr>
              <w:pStyle w:val="Compact"/>
            </w:pPr>
          </w:p>
        </w:tc>
      </w:tr>
      <w:tr>
        <w:tc>
          <w:tcPr/>
          <w:p>
            <w:pPr>
              <w:pStyle w:val="Compact"/>
              <w:jc w:val="center"/>
            </w:pPr>
            <w:r>
              <w:t xml:space="preserve">3,18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A,B,C (56,6%) || δε της (42%) || δε ο ℵ (0,4%)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ουκ εχετε</w:t>
            </w:r>
            <w:r>
              <w:t xml:space="preserve"> </w:t>
            </w:r>
            <w:r>
              <w:rPr>
                <w:bCs/>
                <w:b/>
              </w:rPr>
              <w:t xml:space="preserve">f</w:t>
            </w:r>
            <w:r>
              <w:rPr>
                <w:vertAlign w:val="superscript"/>
                <w:bCs/>
                <w:b/>
              </w:rPr>
              <w:t xml:space="preserve">35</w:t>
            </w:r>
            <w:r>
              <w:t xml:space="preserve"> </w:t>
            </w:r>
            <w:r>
              <w:t xml:space="preserve">P</w:t>
            </w:r>
            <w:r>
              <w:rPr>
                <w:vertAlign w:val="superscript"/>
              </w:rPr>
              <w:t xml:space="preserve">100</w:t>
            </w:r>
            <w:r>
              <w:t xml:space="preserve">A,B (64%) || και 12 ℵ (35%) || 12 δε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4,04</w:t>
            </w:r>
          </w:p>
        </w:tc>
        <w:tc>
          <w:tcPr/>
          <w:p>
            <w:pPr>
              <w:pStyle w:val="Compact"/>
              <w:jc w:val="left"/>
            </w:pPr>
            <w:r>
              <w:t xml:space="preserve">ουν</w:t>
            </w:r>
            <w:r>
              <w:t xml:space="preserve"> </w:t>
            </w:r>
            <w:r>
              <w:rPr>
                <w:bCs/>
                <w:b/>
              </w:rPr>
              <w:t xml:space="preserve">f</w:t>
            </w:r>
            <w:r>
              <w:rPr>
                <w:vertAlign w:val="superscript"/>
                <w:bCs/>
                <w:b/>
              </w:rPr>
              <w:t xml:space="preserve">35</w:t>
            </w:r>
            <w:r>
              <w:t xml:space="preserve"> </w:t>
            </w:r>
            <w:r>
              <w:t xml:space="preserve">ℵA,B (58%) || --- (42%);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αντιστητε</w:t>
            </w:r>
            <w:r>
              <w:t xml:space="preserve"> </w:t>
            </w:r>
            <w:r>
              <w:rPr>
                <w:bCs/>
                <w:b/>
              </w:rPr>
              <w:t xml:space="preserve">f</w:t>
            </w:r>
            <w:r>
              <w:rPr>
                <w:vertAlign w:val="superscript"/>
                <w:bCs/>
                <w:b/>
              </w:rPr>
              <w:t xml:space="preserve">35</w:t>
            </w:r>
            <w:r>
              <w:t xml:space="preserve"> </w:t>
            </w:r>
            <w:r>
              <w:t xml:space="preserve">(47,5%) || 1 δε ℵA,B (50%) || 1 ουν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γαρ</w:t>
            </w:r>
            <w:r>
              <w:t xml:space="preserve"> </w:t>
            </w:r>
            <w:r>
              <w:rPr>
                <w:bCs/>
                <w:b/>
              </w:rPr>
              <w:t xml:space="preserve">f</w:t>
            </w:r>
            <w:r>
              <w:rPr>
                <w:vertAlign w:val="superscript"/>
                <w:bCs/>
                <w:b/>
              </w:rPr>
              <w:t xml:space="preserve">35</w:t>
            </w:r>
            <w:r>
              <w:t xml:space="preserve"> </w:t>
            </w:r>
            <w:r>
              <w:t xml:space="preserve">(26%) || --- ℵA,B (74%);</w:t>
            </w:r>
          </w:p>
        </w:tc>
        <w:tc>
          <w:tcPr/>
          <w:p>
            <w:pPr>
              <w:pStyle w:val="Compact"/>
            </w:pPr>
          </w:p>
        </w:tc>
      </w:tr>
      <w:tr>
        <w:tc>
          <w:tcPr/>
          <w:p>
            <w:pPr>
              <w:pStyle w:val="Compact"/>
              <w:jc w:val="center"/>
            </w:pPr>
            <w:r>
              <w:t xml:space="preserve">4,12</w:t>
            </w:r>
          </w:p>
        </w:tc>
        <w:tc>
          <w:tcPr/>
          <w:p>
            <w:pPr>
              <w:pStyle w:val="Compact"/>
              <w:jc w:val="left"/>
            </w:pPr>
            <w:r>
              <w:t xml:space="preserve">και κριτης</w:t>
            </w:r>
            <w:r>
              <w:t xml:space="preserve"> </w:t>
            </w:r>
            <w:r>
              <w:rPr>
                <w:bCs/>
                <w:b/>
              </w:rPr>
              <w:t xml:space="preserve">f</w:t>
            </w:r>
            <w:r>
              <w:rPr>
                <w:vertAlign w:val="superscript"/>
                <w:bCs/>
                <w:b/>
              </w:rPr>
              <w:t xml:space="preserve">35</w:t>
            </w:r>
            <w:r>
              <w:t xml:space="preserve"> </w:t>
            </w:r>
            <w:r>
              <w:t xml:space="preserve">ℵA,B (62%) || --- (38%);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(26%) || υμων (P</w:t>
            </w:r>
            <w:r>
              <w:rPr>
                <w:vertAlign w:val="superscript"/>
              </w:rPr>
              <w:t xml:space="preserve">100</w:t>
            </w:r>
            <w:r>
              <w:t xml:space="preserve">)ℵA(B) (74%)</w:t>
            </w:r>
          </w:p>
        </w:tc>
        <w:tc>
          <w:tcPr/>
          <w:p>
            <w:pPr>
              <w:pStyle w:val="Compact"/>
            </w:pPr>
          </w:p>
        </w:tc>
      </w:tr>
      <w:tr>
        <w:tc>
          <w:tcPr/>
          <w:p>
            <w:pPr>
              <w:pStyle w:val="Compact"/>
              <w:jc w:val="center"/>
            </w:pPr>
            <w:r>
              <w:t xml:space="preserve">4,14</w:t>
            </w:r>
          </w:p>
        </w:tc>
        <w:tc>
          <w:tcPr/>
          <w:p>
            <w:pPr>
              <w:pStyle w:val="Compact"/>
              <w:jc w:val="left"/>
            </w:pPr>
            <w:r>
              <w:t xml:space="preserve">εστιν</w:t>
            </w:r>
            <w:r>
              <w:t xml:space="preserve"> </w:t>
            </w:r>
            <w:r>
              <w:rPr>
                <w:bCs/>
                <w:b/>
              </w:rPr>
              <w:t xml:space="preserve">f</w:t>
            </w:r>
            <w:r>
              <w:rPr>
                <w:vertAlign w:val="superscript"/>
                <w:bCs/>
                <w:b/>
              </w:rPr>
              <w:t xml:space="preserve">35</w:t>
            </w:r>
            <w:r>
              <w:t xml:space="preserve"> </w:t>
            </w:r>
            <w:r>
              <w:t xml:space="preserve">(52%) || εσται (A) (41%) || εστε B (7%)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επειτα</w:t>
            </w:r>
            <w:r>
              <w:t xml:space="preserve"> </w:t>
            </w:r>
            <w:r>
              <w:rPr>
                <w:bCs/>
                <w:b/>
              </w:rPr>
              <w:t xml:space="preserve">f</w:t>
            </w:r>
            <w:r>
              <w:rPr>
                <w:vertAlign w:val="superscript"/>
                <w:bCs/>
                <w:b/>
              </w:rPr>
              <w:t xml:space="preserve">35</w:t>
            </w:r>
            <w:r>
              <w:t xml:space="preserve"> </w:t>
            </w:r>
            <w:r>
              <w:t xml:space="preserve">(29,5%) || 1 δε και (46%) || 1 δε (15%) || 1 και ℵA,B (9,5%);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ℵ (53%) || --- A,B,048 (45,5%) || ου (1,5%);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(A)B (35%) || αδελφοι μου (ℵ) (62%) || --- (3%);</w:t>
            </w:r>
          </w:p>
        </w:tc>
        <w:tc>
          <w:tcPr/>
          <w:p>
            <w:pPr>
              <w:pStyle w:val="Compact"/>
            </w:pPr>
          </w:p>
        </w:tc>
      </w:tr>
      <w:tr>
        <w:tc>
          <w:tcPr/>
          <w:p>
            <w:pPr>
              <w:pStyle w:val="Compact"/>
              <w:jc w:val="center"/>
            </w:pPr>
            <w:r>
              <w:t xml:space="preserve">5,10</w:t>
            </w:r>
          </w:p>
        </w:tc>
        <w:tc>
          <w:tcPr/>
          <w:p>
            <w:pPr>
              <w:pStyle w:val="Compact"/>
              <w:jc w:val="left"/>
            </w:pPr>
            <w:r>
              <w:t xml:space="preserve">εν τω</w:t>
            </w:r>
            <w:r>
              <w:t xml:space="preserve"> </w:t>
            </w:r>
            <w:r>
              <w:rPr>
                <w:bCs/>
                <w:b/>
              </w:rPr>
              <w:t xml:space="preserve">f</w:t>
            </w:r>
            <w:r>
              <w:rPr>
                <w:vertAlign w:val="superscript"/>
                <w:bCs/>
                <w:b/>
              </w:rPr>
              <w:t xml:space="preserve">35</w:t>
            </w:r>
            <w:r>
              <w:t xml:space="preserve"> </w:t>
            </w:r>
            <w:r>
              <w:t xml:space="preserve">B (40%) || τω A (58%) || εν ℵ (0,6%) || επι τω (1,4%);</w:t>
            </w:r>
          </w:p>
        </w:tc>
        <w:tc>
          <w:tcPr/>
          <w:p>
            <w:pPr>
              <w:pStyle w:val="Compact"/>
            </w:pPr>
          </w:p>
        </w:tc>
      </w:tr>
      <w:tr>
        <w:tc>
          <w:tcPr/>
          <w:p>
            <w:pPr>
              <w:pStyle w:val="Compact"/>
              <w:jc w:val="center"/>
            </w:pPr>
            <w:r>
              <w:t xml:space="preserve">5,11</w:t>
            </w:r>
          </w:p>
        </w:tc>
        <w:tc>
          <w:tcPr/>
          <w:p>
            <w:pPr>
              <w:pStyle w:val="Compact"/>
              <w:jc w:val="left"/>
            </w:pPr>
            <w:r>
              <w:t xml:space="preserve">ειδετε</w:t>
            </w:r>
            <w:r>
              <w:t xml:space="preserve"> </w:t>
            </w:r>
            <w:r>
              <w:rPr>
                <w:bCs/>
                <w:b/>
              </w:rPr>
              <w:t xml:space="preserve">f</w:t>
            </w:r>
            <w:r>
              <w:rPr>
                <w:vertAlign w:val="superscript"/>
                <w:bCs/>
                <w:b/>
              </w:rPr>
              <w:t xml:space="preserve">35</w:t>
            </w:r>
            <w:r>
              <w:t xml:space="preserve"> </w:t>
            </w:r>
            <w:r>
              <w:t xml:space="preserve">ℵB (53%) || ιδετε A (45%);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πολυσπλαγχνος</w:t>
            </w:r>
            <w:r>
              <w:t xml:space="preserve"> </w:t>
            </w:r>
            <w:r>
              <w:rPr>
                <w:bCs/>
                <w:b/>
              </w:rPr>
              <w:t xml:space="preserve">f</w:t>
            </w:r>
            <w:r>
              <w:rPr>
                <w:vertAlign w:val="superscript"/>
                <w:bCs/>
                <w:b/>
              </w:rPr>
              <w:t xml:space="preserve">35</w:t>
            </w:r>
            <w:r>
              <w:t xml:space="preserve"> </w:t>
            </w:r>
            <w:r>
              <w:t xml:space="preserve">ℵA,B (65%) || πολυευσπλαγχνος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5,19</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(72%) || αδελφοι μου ℵA,B,048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Jakuba określa powyższych 28 odczytów. Jest on wyraźny i jednoznaczny, mamy więc w Liście Jakuba co najmniej jeden obiektywnie określony archetyp. Dla kontrastu istnieje 14 +?4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w:t>
      </w:r>
      <w:r>
        <w:rPr>
          <w:rStyle w:val="FootnoteReference"/>
        </w:rPr>
        <w:footnoteReference w:id="381"/>
      </w:r>
      <w:r>
        <w:t xml:space="preserve"> </w:t>
      </w:r>
      <w:r>
        <w:t xml:space="preserve">(Nie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Jak zauważył Colwell w odniesieniu do Ewangelii Marka, nie istnieje obiektywnie definiowalny archetyp „aleksandryjski”,</w:t>
      </w:r>
      <w:r>
        <w:rPr>
          <w:rStyle w:val="FootnoteReference"/>
        </w:rPr>
        <w:footnoteReference w:id="382"/>
      </w:r>
      <w:r>
        <w:t xml:space="preserve"> </w:t>
      </w:r>
      <w:r>
        <w:t xml:space="preserve">to samo odnosi się do każdego archetypu „zachodniego”, chyba że pójdziemy za Alandami i uznamy za taki pojedynczy manuskrypt, ich „tekst D” (który obejmuje jednak tylko Ewangelie i Dzieje Apostolskie, nie byłoby więc „tekstu D” dla Listu do Rzymian — Objawienia Jana).</w:t>
      </w:r>
      <w:r>
        <w:rPr>
          <w:rStyle w:val="FootnoteReference"/>
        </w:rPr>
        <w:footnoteReference w:id="383"/>
      </w:r>
      <w:r>
        <w:t xml:space="preserve"> </w:t>
      </w:r>
      <w:r>
        <w:t xml:space="preserve">Przejdźmy do 1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Piotra</w:t>
            </w:r>
          </w:p>
        </w:tc>
        <w:tc>
          <w:tcPr/>
          <w:p>
            <w:pPr>
              <w:pStyle w:val="Compact"/>
            </w:pPr>
          </w:p>
        </w:tc>
      </w:tr>
      <w:tr>
        <w:tc>
          <w:tcPr/>
          <w:p>
            <w:pPr>
              <w:pStyle w:val="Compact"/>
              <w:jc w:val="center"/>
            </w:pPr>
            <w:r>
              <w:t xml:space="preserve">1,03</w:t>
            </w:r>
          </w:p>
        </w:tc>
        <w:tc>
          <w:tcPr/>
          <w:p>
            <w:pPr>
              <w:pStyle w:val="Compact"/>
              <w:jc w:val="left"/>
            </w:pPr>
            <w:r>
              <w:t xml:space="preserve">ελεος αυτου</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(38%) || ~ 21 ℵA,B,C (60%) || 1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1,07</w:t>
            </w:r>
          </w:p>
        </w:tc>
        <w:tc>
          <w:tcPr/>
          <w:p>
            <w:pPr>
              <w:pStyle w:val="Compact"/>
              <w:jc w:val="left"/>
            </w:pPr>
            <w:r>
              <w:t xml:space="preserve">δοξαν και τιμην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(35%) || ~ 321 (28%) || ~ 32 εις 1 (37%);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1,16</w:t>
            </w:r>
          </w:p>
        </w:tc>
        <w:tc>
          <w:tcPr/>
          <w:p>
            <w:pPr>
              <w:pStyle w:val="Compact"/>
              <w:jc w:val="left"/>
            </w:pPr>
            <w:r>
              <w:t xml:space="preserve">γινεσθε</w:t>
            </w:r>
            <w:r>
              <w:t xml:space="preserve"> </w:t>
            </w:r>
            <w:r>
              <w:rPr>
                <w:bCs/>
                <w:b/>
              </w:rPr>
              <w:t xml:space="preserve">f</w:t>
            </w:r>
            <w:r>
              <w:rPr>
                <w:vertAlign w:val="superscript"/>
                <w:bCs/>
                <w:b/>
              </w:rPr>
              <w:t xml:space="preserve">35</w:t>
            </w:r>
            <w:r>
              <w:t xml:space="preserve"> </w:t>
            </w:r>
            <w:r>
              <w:t xml:space="preserve">(52%) || γενεσθε (36%) || εσεσθε P</w:t>
            </w:r>
            <w:r>
              <w:rPr>
                <w:vertAlign w:val="superscript"/>
              </w:rPr>
              <w:t xml:space="preserve">72</w:t>
            </w:r>
            <w:r>
              <w:t xml:space="preserve"> </w:t>
            </w:r>
            <w:r>
              <w:t xml:space="preserve">ℵA,B,C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1,23</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(40%) || αλλα P</w:t>
            </w:r>
            <w:r>
              <w:rPr>
                <w:vertAlign w:val="superscript"/>
              </w:rPr>
              <w:t xml:space="preserve">72</w:t>
            </w:r>
            <w:r>
              <w:t xml:space="preserve"> </w:t>
            </w:r>
            <w:r>
              <w:t xml:space="preserve">ℵA,B (60%);</w:t>
            </w:r>
          </w:p>
        </w:tc>
        <w:tc>
          <w:tcPr/>
          <w:p>
            <w:pPr>
              <w:pStyle w:val="Compact"/>
            </w:pPr>
          </w:p>
        </w:tc>
      </w:tr>
      <w:tr>
        <w:tc>
          <w:tcPr/>
          <w:p>
            <w:pPr>
              <w:pStyle w:val="Compact"/>
              <w:jc w:val="center"/>
            </w:pPr>
            <w:r>
              <w:t xml:space="preserve">2,02</w:t>
            </w:r>
          </w:p>
        </w:tc>
        <w:tc>
          <w:tcPr/>
          <w:p>
            <w:pPr>
              <w:pStyle w:val="Compact"/>
              <w:jc w:val="left"/>
            </w:pPr>
            <w:r>
              <w:t xml:space="preserve">εις σωτηριαν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2,03</w:t>
            </w:r>
          </w:p>
        </w:tc>
        <w:tc>
          <w:tcPr/>
          <w:p>
            <w:pPr>
              <w:pStyle w:val="Compact"/>
              <w:jc w:val="left"/>
            </w:pPr>
            <w:r>
              <w:t xml:space="preserve">χρηστος</w:t>
            </w:r>
            <w:r>
              <w:t xml:space="preserve"> </w:t>
            </w:r>
            <w:r>
              <w:rPr>
                <w:bCs/>
                <w:b/>
              </w:rPr>
              <w:t xml:space="preserve">f</w:t>
            </w:r>
            <w:r>
              <w:rPr>
                <w:vertAlign w:val="superscript"/>
                <w:bCs/>
                <w:b/>
              </w:rPr>
              <w:t xml:space="preserve">35</w:t>
            </w:r>
            <w:r>
              <w:t xml:space="preserve"> </w:t>
            </w:r>
            <w:r>
              <w:t xml:space="preserve">ℵA,B,C (48%) || χριστος P</w:t>
            </w:r>
            <w:r>
              <w:rPr>
                <w:vertAlign w:val="superscript"/>
              </w:rPr>
              <w:t xml:space="preserve">72</w:t>
            </w:r>
            <w:r>
              <w:t xml:space="preserve"> </w:t>
            </w:r>
            <w:r>
              <w:t xml:space="preserve">(52%);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2,06</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C (35%) || εν τη (59%) || εν P</w:t>
            </w:r>
            <w:r>
              <w:rPr>
                <w:vertAlign w:val="superscript"/>
              </w:rPr>
              <w:t xml:space="preserve">72</w:t>
            </w:r>
            <w:r>
              <w:t xml:space="preserve"> </w:t>
            </w:r>
            <w:r>
              <w:t xml:space="preserve">ℵA,B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2,11</w:t>
            </w:r>
          </w:p>
        </w:tc>
        <w:tc>
          <w:tcPr/>
          <w:p>
            <w:pPr>
              <w:pStyle w:val="Compact"/>
              <w:jc w:val="left"/>
            </w:pPr>
            <w:r>
              <w:t xml:space="preserve">απεχεσθαι</w:t>
            </w:r>
            <w:r>
              <w:t xml:space="preserve"> </w:t>
            </w:r>
            <w:r>
              <w:rPr>
                <w:bCs/>
                <w:b/>
              </w:rPr>
              <w:t xml:space="preserve">f</w:t>
            </w:r>
            <w:r>
              <w:rPr>
                <w:vertAlign w:val="superscript"/>
                <w:bCs/>
                <w:b/>
              </w:rPr>
              <w:t xml:space="preserve">35</w:t>
            </w:r>
            <w:r>
              <w:t xml:space="preserve"> </w:t>
            </w:r>
            <w:r>
              <w:t xml:space="preserve">ℵB (65%) || απεχεσθε P</w:t>
            </w:r>
            <w:r>
              <w:rPr>
                <w:vertAlign w:val="superscript"/>
              </w:rPr>
              <w:t xml:space="preserve">72</w:t>
            </w:r>
            <w:r>
              <w:t xml:space="preserve">A,C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2,12</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(52%) || καταλαλωσιν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C (52%) || --- P</w:t>
            </w:r>
            <w:r>
              <w:rPr>
                <w:vertAlign w:val="superscript"/>
              </w:rPr>
              <w:t xml:space="preserve">72</w:t>
            </w:r>
            <w:r>
              <w:t xml:space="preserve"> </w:t>
            </w:r>
            <w:r>
              <w:t xml:space="preserve">ℵA,B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αγαπησατε</w:t>
            </w:r>
            <w:r>
              <w:t xml:space="preserve"> </w:t>
            </w:r>
            <w:r>
              <w:rPr>
                <w:bCs/>
                <w:b/>
              </w:rPr>
              <w:t xml:space="preserve">f</w:t>
            </w:r>
            <w:r>
              <w:rPr>
                <w:vertAlign w:val="superscript"/>
                <w:bCs/>
                <w:b/>
              </w:rPr>
              <w:t xml:space="preserve">35</w:t>
            </w:r>
            <w:r>
              <w:t xml:space="preserve"> </w:t>
            </w:r>
            <w:r>
              <w:t xml:space="preserve">(71%) || αγαπατε P</w:t>
            </w:r>
            <w:r>
              <w:rPr>
                <w:vertAlign w:val="superscript"/>
              </w:rPr>
              <w:t xml:space="preserve">72</w:t>
            </w:r>
            <w:r>
              <w:t xml:space="preserve"> </w:t>
            </w:r>
            <w:r>
              <w:t xml:space="preserve">ℵA,B,C (24%) || ---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2,20</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A (47%) || --- P</w:t>
            </w:r>
            <w:r>
              <w:rPr>
                <w:vertAlign w:val="superscript"/>
              </w:rPr>
              <w:t xml:space="preserve">72,81v</w:t>
            </w:r>
            <w:r>
              <w:t xml:space="preserve"> </w:t>
            </w:r>
            <w:r>
              <w:t xml:space="preserve">ℵB,C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2,21</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(23%) || --- ℵA,B,C (77%);</w:t>
            </w:r>
          </w:p>
        </w:tc>
        <w:tc>
          <w:tcPr/>
          <w:p>
            <w:pPr>
              <w:pStyle w:val="Compact"/>
            </w:pPr>
          </w:p>
        </w:tc>
      </w:tr>
      <w:tr>
        <w:tc>
          <w:tcPr/>
          <w:p>
            <w:pPr>
              <w:pStyle w:val="Compact"/>
              <w:jc w:val="center"/>
            </w:pPr>
            <w:r>
              <w:t xml:space="preserve">2,24</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ℵ (71%) || --- P</w:t>
            </w:r>
            <w:r>
              <w:rPr>
                <w:vertAlign w:val="superscript"/>
              </w:rPr>
              <w:t xml:space="preserve">72,81v</w:t>
            </w:r>
            <w:r>
              <w:t xml:space="preserve">A,B,C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2,25</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(50%) || υμων P</w:t>
            </w:r>
            <w:r>
              <w:rPr>
                <w:vertAlign w:val="superscript"/>
              </w:rPr>
              <w:t xml:space="preserve">72</w:t>
            </w:r>
            <w:r>
              <w:t xml:space="preserve"> </w:t>
            </w:r>
            <w:r>
              <w:t xml:space="preserve">ℵA,B,C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3,06</w:t>
            </w:r>
          </w:p>
        </w:tc>
        <w:tc>
          <w:tcPr/>
          <w:p>
            <w:pPr>
              <w:pStyle w:val="Compact"/>
              <w:jc w:val="left"/>
            </w:pPr>
            <w:r>
              <w:t xml:space="preserve">εγενηθητε</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 </w:t>
            </w:r>
            <w:r>
              <w:t xml:space="preserve">ℵA,B,C (63%) || εγεννηθητε P</w:t>
            </w:r>
            <w:r>
              <w:rPr>
                <w:vertAlign w:val="superscript"/>
              </w:rPr>
              <w:t xml:space="preserve">72</w:t>
            </w:r>
            <w:r>
              <w:t xml:space="preserve"> </w:t>
            </w:r>
            <w:r>
              <w:t xml:space="preserve">(35%) || εγεννηθη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χαριτος ζωης</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B,C (58%) || 1 ζωσης (35%) || ποικιλης 12 ℵA (7%) || 12 αιωνιου P</w:t>
            </w:r>
            <w:r>
              <w:rPr>
                <w:vertAlign w:val="superscript"/>
              </w:rPr>
              <w:t xml:space="preserve">72</w:t>
            </w:r>
            <w:r>
              <w:t xml:space="preserve">;</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εγκοπτεσθαι</w:t>
            </w:r>
            <w:r>
              <w:t xml:space="preserve"> </w:t>
            </w:r>
            <w:r>
              <w:rPr>
                <w:bCs/>
                <w:b/>
              </w:rPr>
              <w:t xml:space="preserve">f</w:t>
            </w:r>
            <w:r>
              <w:rPr>
                <w:vertAlign w:val="superscript"/>
                <w:bCs/>
                <w:b/>
              </w:rPr>
              <w:t xml:space="preserve">35</w:t>
            </w:r>
            <w:r>
              <w:t xml:space="preserve"> </w:t>
            </w:r>
            <w:r>
              <w:t xml:space="preserve">P</w:t>
            </w:r>
            <w:r>
              <w:rPr>
                <w:vertAlign w:val="superscript"/>
              </w:rPr>
              <w:t xml:space="preserve">81</w:t>
            </w:r>
            <w:r>
              <w:t xml:space="preserve">(ℵ)A,B (70%) || εκκοπτεσθαι P</w:t>
            </w:r>
            <w:r>
              <w:rPr>
                <w:vertAlign w:val="superscript"/>
              </w:rPr>
              <w:t xml:space="preserve">72</w:t>
            </w:r>
            <w:r>
              <w:t xml:space="preserve">C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3,10</w:t>
            </w:r>
          </w:p>
        </w:tc>
        <w:tc>
          <w:tcPr/>
          <w:p>
            <w:pPr>
              <w:pStyle w:val="Compact"/>
              <w:jc w:val="left"/>
            </w:pPr>
            <w:r>
              <w:t xml:space="preserve">ημερας ιδειν</w:t>
            </w:r>
            <w:r>
              <w:t xml:space="preserve"> </w:t>
            </w:r>
            <w:r>
              <w:rPr>
                <w:bCs/>
                <w:b/>
              </w:rPr>
              <w:t xml:space="preserve">f</w:t>
            </w:r>
            <w:r>
              <w:rPr>
                <w:vertAlign w:val="superscript"/>
                <w:bCs/>
                <w:b/>
              </w:rPr>
              <w:t xml:space="preserve">35</w:t>
            </w:r>
            <w:r>
              <w:t xml:space="preserve"> </w:t>
            </w:r>
            <w:r>
              <w:t xml:space="preserve">C (26%) || ~ 21 P</w:t>
            </w:r>
            <w:r>
              <w:rPr>
                <w:vertAlign w:val="superscript"/>
              </w:rPr>
              <w:t xml:space="preserve">72,81v</w:t>
            </w:r>
            <w:r>
              <w:t xml:space="preserve"> </w:t>
            </w:r>
            <w:r>
              <w:t xml:space="preserve">ℵA,B (74%);</w:t>
            </w:r>
          </w:p>
        </w:tc>
        <w:tc>
          <w:tcPr/>
          <w:p>
            <w:pPr>
              <w:pStyle w:val="Compact"/>
            </w:pPr>
          </w:p>
        </w:tc>
      </w:tr>
      <w:tr>
        <w:tc>
          <w:tcPr/>
          <w:p>
            <w:pPr>
              <w:pStyle w:val="Compact"/>
              <w:jc w:val="center"/>
            </w:pPr>
            <w:r>
              <w:t xml:space="preserve">3,16</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ℵA,C (44,4%) || καταλαλωσιν (50%) || καταλαλεισθε P</w:t>
            </w:r>
            <w:r>
              <w:rPr>
                <w:vertAlign w:val="superscript"/>
              </w:rPr>
              <w:t xml:space="preserve">72</w:t>
            </w:r>
            <w:r>
              <w:t xml:space="preserve">B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τη αγαθη εν χριστω αναστροφη</w:t>
            </w:r>
            <w:r>
              <w:t xml:space="preserve"> </w:t>
            </w:r>
            <w:r>
              <w:rPr>
                <w:bCs/>
                <w:b/>
              </w:rPr>
              <w:t xml:space="preserve">f</w:t>
            </w:r>
            <w:r>
              <w:rPr>
                <w:vertAlign w:val="superscript"/>
                <w:bCs/>
                <w:b/>
              </w:rPr>
              <w:t xml:space="preserve">35</w:t>
            </w:r>
            <w:r>
              <w:t xml:space="preserve"> </w:t>
            </w:r>
            <w:r>
              <w:t xml:space="preserve">(20%) || την αγαθην 34 αναστροφην (ℵ)A,B (50%) || την 34 αγαθην αναστροφην P</w:t>
            </w:r>
            <w:r>
              <w:rPr>
                <w:vertAlign w:val="superscript"/>
              </w:rPr>
              <w:t xml:space="preserve">72</w:t>
            </w:r>
            <w:r>
              <w:t xml:space="preserve"> </w:t>
            </w:r>
            <w:r>
              <w:t xml:space="preserve">(24%) || την 34 αγνην αναστροφην C (1%) || την καλην 34 αναστροφην (4%)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A,C (64%) || υμας P</w:t>
            </w:r>
            <w:r>
              <w:rPr>
                <w:vertAlign w:val="superscript"/>
              </w:rPr>
              <w:t xml:space="preserve">72</w:t>
            </w:r>
            <w:r>
              <w:t xml:space="preserve">B (36%)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(22%) || --- P</w:t>
            </w:r>
            <w:r>
              <w:rPr>
                <w:vertAlign w:val="superscript"/>
              </w:rPr>
              <w:t xml:space="preserve">72</w:t>
            </w:r>
            <w:r>
              <w:t xml:space="preserve"> </w:t>
            </w:r>
            <w:r>
              <w:t xml:space="preserve">ℵA,B,C (78%);</w:t>
            </w:r>
          </w:p>
        </w:tc>
        <w:tc>
          <w:tcPr/>
          <w:p>
            <w:pPr>
              <w:pStyle w:val="Compact"/>
            </w:pPr>
          </w:p>
        </w:tc>
      </w:tr>
      <w:tr>
        <w:tc>
          <w:tcPr/>
          <w:p>
            <w:pPr>
              <w:pStyle w:val="Compact"/>
              <w:jc w:val="center"/>
            </w:pPr>
            <w:r>
              <w:t xml:space="preserve">4,03</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(41,7%) || ημιν C (47,1%) || --- P</w:t>
            </w:r>
            <w:r>
              <w:rPr>
                <w:vertAlign w:val="superscript"/>
              </w:rPr>
              <w:t xml:space="preserve">72</w:t>
            </w:r>
            <w:r>
              <w:t xml:space="preserve">A,B (11,2%);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χρονος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(26%) || χρονος του βιου (74%);</w:t>
            </w:r>
          </w:p>
        </w:tc>
        <w:tc>
          <w:tcPr/>
          <w:p>
            <w:pPr>
              <w:pStyle w:val="Compact"/>
            </w:pPr>
          </w:p>
        </w:tc>
      </w:tr>
      <w:tr>
        <w:tc>
          <w:tcPr/>
          <w:p>
            <w:pPr>
              <w:pStyle w:val="Compact"/>
              <w:jc w:val="center"/>
            </w:pPr>
            <w:r>
              <w:t xml:space="preserve">4,03</w:t>
            </w:r>
          </w:p>
        </w:tc>
        <w:tc>
          <w:tcPr/>
          <w:p>
            <w:pPr>
              <w:pStyle w:val="Compact"/>
              <w:jc w:val="left"/>
            </w:pPr>
            <w:r>
              <w:t xml:space="preserve">ειδωλολατριαις</w:t>
            </w:r>
            <w:r>
              <w:t xml:space="preserve"> </w:t>
            </w:r>
            <w:r>
              <w:rPr>
                <w:bCs/>
                <w:b/>
              </w:rPr>
              <w:t xml:space="preserve">f</w:t>
            </w:r>
            <w:r>
              <w:rPr>
                <w:vertAlign w:val="superscript"/>
                <w:bCs/>
                <w:b/>
              </w:rPr>
              <w:t xml:space="preserve">35</w:t>
            </w:r>
            <w:r>
              <w:t xml:space="preserve"> </w:t>
            </w:r>
            <w:r>
              <w:t xml:space="preserve">ℵA,C (70%) || ειδωλολατρειαις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τας</w:t>
            </w:r>
            <w:r>
              <w:t xml:space="preserve"> </w:t>
            </w:r>
            <w:r>
              <w:rPr>
                <w:bCs/>
                <w:b/>
              </w:rPr>
              <w:t xml:space="preserve">f</w:t>
            </w:r>
            <w:r>
              <w:rPr>
                <w:vertAlign w:val="superscript"/>
                <w:bCs/>
                <w:b/>
              </w:rPr>
              <w:t xml:space="preserve">35</w:t>
            </w:r>
            <w:r>
              <w:t xml:space="preserve"> </w:t>
            </w:r>
            <w:r>
              <w:t xml:space="preserve">(70%) || --- P</w:t>
            </w:r>
            <w:r>
              <w:rPr>
                <w:vertAlign w:val="superscript"/>
              </w:rPr>
              <w:t xml:space="preserve">72</w:t>
            </w:r>
            <w:r>
              <w:t xml:space="preserve"> </w:t>
            </w:r>
            <w:r>
              <w:t xml:space="preserve">ℵA,B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(49%) || --- P</w:t>
            </w:r>
            <w:r>
              <w:rPr>
                <w:vertAlign w:val="superscript"/>
              </w:rPr>
              <w:t xml:space="preserve">72</w:t>
            </w:r>
            <w:r>
              <w:t xml:space="preserve"> </w:t>
            </w:r>
            <w:r>
              <w:t xml:space="preserve">ℵA,B (51%);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καλυπτει</w:t>
            </w:r>
            <w:r>
              <w:t xml:space="preserve"> </w:t>
            </w:r>
            <w:r>
              <w:rPr>
                <w:bCs/>
                <w:b/>
              </w:rPr>
              <w:t xml:space="preserve">f</w:t>
            </w:r>
            <w:r>
              <w:rPr>
                <w:vertAlign w:val="superscript"/>
                <w:bCs/>
                <w:b/>
              </w:rPr>
              <w:t xml:space="preserve">35</w:t>
            </w:r>
            <w:r>
              <w:t xml:space="preserve"> </w:t>
            </w:r>
            <w:r>
              <w:t xml:space="preserve">A,B (60%) || καλυψει P</w:t>
            </w:r>
            <w:r>
              <w:rPr>
                <w:vertAlign w:val="superscript"/>
              </w:rPr>
              <w:t xml:space="preserve">72</w:t>
            </w:r>
            <w:r>
              <w:t xml:space="preserve"> </w:t>
            </w:r>
            <w:r>
              <w:t xml:space="preserve">ℵ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(69%) || ης P</w:t>
            </w:r>
            <w:r>
              <w:rPr>
                <w:vertAlign w:val="superscript"/>
              </w:rPr>
              <w:t xml:space="preserve">72</w:t>
            </w:r>
            <w:r>
              <w:t xml:space="preserve"> </w:t>
            </w:r>
            <w:r>
              <w:t xml:space="preserve">ℵA,B (28%) || --- (3%);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δοξαζηται Θεος</w:t>
            </w:r>
            <w:r>
              <w:t xml:space="preserve"> </w:t>
            </w:r>
            <w:r>
              <w:rPr>
                <w:bCs/>
                <w:b/>
              </w:rPr>
              <w:t xml:space="preserve">f</w:t>
            </w:r>
            <w:r>
              <w:rPr>
                <w:vertAlign w:val="superscript"/>
                <w:bCs/>
                <w:b/>
              </w:rPr>
              <w:t xml:space="preserve">35</w:t>
            </w:r>
            <w:r>
              <w:t xml:space="preserve"> </w:t>
            </w:r>
            <w:r>
              <w:t xml:space="preserve">(20%) || 1 ο 2 P</w:t>
            </w:r>
            <w:r>
              <w:rPr>
                <w:vertAlign w:val="superscript"/>
              </w:rPr>
              <w:t xml:space="preserve">72</w:t>
            </w:r>
            <w:r>
              <w:t xml:space="preserve"> </w:t>
            </w:r>
            <w:r>
              <w:t xml:space="preserve">ℵA,B (73%) || ~ο 21 (6%);</w:t>
            </w:r>
          </w:p>
        </w:tc>
        <w:tc>
          <w:tcPr/>
          <w:p>
            <w:pPr>
              <w:pStyle w:val="Compact"/>
            </w:pPr>
          </w:p>
        </w:tc>
      </w:tr>
      <w:tr>
        <w:tc>
          <w:tcPr/>
          <w:p>
            <w:pPr>
              <w:pStyle w:val="Compact"/>
              <w:jc w:val="center"/>
            </w:pPr>
            <w:r>
              <w:t xml:space="preserve">4,11</w:t>
            </w:r>
          </w:p>
        </w:tc>
        <w:tc>
          <w:tcPr/>
          <w:p>
            <w:pPr>
              <w:pStyle w:val="Compact"/>
              <w:jc w:val="left"/>
            </w:pPr>
            <w:r>
              <w:t xml:space="preserve">αιωνας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(27%) || αιωνας των αιωνων ℵA,B (73%);</w:t>
            </w:r>
          </w:p>
        </w:tc>
        <w:tc>
          <w:tcPr/>
          <w:p>
            <w:pPr>
              <w:pStyle w:val="Compact"/>
            </w:pPr>
          </w:p>
        </w:tc>
      </w:tr>
      <w:tr>
        <w:tc>
          <w:tcPr/>
          <w:p>
            <w:pPr>
              <w:pStyle w:val="Compact"/>
              <w:jc w:val="center"/>
            </w:pPr>
            <w:r>
              <w:t xml:space="preserve">4,14</w:t>
            </w:r>
          </w:p>
        </w:tc>
        <w:tc>
          <w:tcPr/>
          <w:p>
            <w:pPr>
              <w:pStyle w:val="Compact"/>
              <w:jc w:val="left"/>
            </w:pPr>
            <w:r>
              <w:t xml:space="preserve">αναπεπαυται</w:t>
            </w:r>
            <w:r>
              <w:t xml:space="preserve"> </w:t>
            </w:r>
            <w:r>
              <w:rPr>
                <w:bCs/>
                <w:b/>
              </w:rPr>
              <w:t xml:space="preserve">f</w:t>
            </w:r>
            <w:r>
              <w:rPr>
                <w:vertAlign w:val="superscript"/>
                <w:bCs/>
                <w:b/>
              </w:rPr>
              <w:t xml:space="preserve">35</w:t>
            </w:r>
            <w:r>
              <w:t xml:space="preserve"> </w:t>
            </w:r>
            <w:r>
              <w:t xml:space="preserve">(39%) || επαναπαυεται A (6%) || επαναπεπαυται P</w:t>
            </w:r>
            <w:r>
              <w:rPr>
                <w:vertAlign w:val="superscript"/>
              </w:rPr>
              <w:t xml:space="preserve">72</w:t>
            </w:r>
            <w:r>
              <w:t xml:space="preserve"> </w:t>
            </w:r>
            <w:r>
              <w:t xml:space="preserve">(2%) || αναπαυεται ℵB (52%) || αναπεμπεται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5,03</w:t>
            </w:r>
          </w:p>
        </w:tc>
        <w:tc>
          <w:tcPr/>
          <w:p>
            <w:pPr>
              <w:pStyle w:val="Compact"/>
              <w:jc w:val="left"/>
            </w:pPr>
            <w:r>
              <w:t xml:space="preserve">μηδε</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(49%) || μηδ ℵA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υπερ</w:t>
            </w:r>
            <w:r>
              <w:t xml:space="preserve"> </w:t>
            </w:r>
            <w:r>
              <w:rPr>
                <w:bCs/>
                <w:b/>
              </w:rPr>
              <w:t xml:space="preserve">f</w:t>
            </w:r>
            <w:r>
              <w:rPr>
                <w:vertAlign w:val="superscript"/>
                <w:bCs/>
                <w:b/>
              </w:rPr>
              <w:t xml:space="preserve">35</w:t>
            </w:r>
            <w:r>
              <w:t xml:space="preserve"> </w:t>
            </w:r>
            <w:r>
              <w:t xml:space="preserve">(35%) || περι P</w:t>
            </w:r>
            <w:r>
              <w:rPr>
                <w:vertAlign w:val="superscript"/>
              </w:rPr>
              <w:t xml:space="preserve">72</w:t>
            </w:r>
            <w:r>
              <w:t xml:space="preserve"> </w:t>
            </w:r>
            <w:r>
              <w:t xml:space="preserve">ℵA,B (65%);</w:t>
            </w:r>
          </w:p>
        </w:tc>
        <w:tc>
          <w:tcPr/>
          <w:p>
            <w:pPr>
              <w:pStyle w:val="Compact"/>
            </w:pPr>
          </w:p>
        </w:tc>
      </w:tr>
      <w:tr>
        <w:tc>
          <w:tcPr/>
          <w:p>
            <w:pPr>
              <w:pStyle w:val="Compact"/>
              <w:jc w:val="center"/>
            </w:pPr>
            <w:r>
              <w:t xml:space="preserve">5,08</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(50%) || --- ℵA,B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5,08</w:t>
            </w:r>
          </w:p>
        </w:tc>
        <w:tc>
          <w:tcPr/>
          <w:p>
            <w:pPr>
              <w:pStyle w:val="Compact"/>
              <w:jc w:val="left"/>
            </w:pPr>
            <w:r>
              <w:t xml:space="preserve">περιερχεται</w:t>
            </w:r>
            <w:r>
              <w:t xml:space="preserve"> </w:t>
            </w:r>
            <w:r>
              <w:rPr>
                <w:bCs/>
                <w:b/>
              </w:rPr>
              <w:t xml:space="preserve">f</w:t>
            </w:r>
            <w:r>
              <w:rPr>
                <w:vertAlign w:val="superscript"/>
                <w:bCs/>
                <w:b/>
              </w:rPr>
              <w:t xml:space="preserve">35</w:t>
            </w:r>
            <w:r>
              <w:t xml:space="preserve"> </w:t>
            </w:r>
            <w:r>
              <w:t xml:space="preserve">(24%) || περιπατει P</w:t>
            </w:r>
            <w:r>
              <w:rPr>
                <w:vertAlign w:val="superscript"/>
              </w:rPr>
              <w:t xml:space="preserve">72</w:t>
            </w:r>
            <w:r>
              <w:t xml:space="preserve"> </w:t>
            </w:r>
            <w:r>
              <w:t xml:space="preserve">ℵA,B (76%);</w:t>
            </w:r>
          </w:p>
        </w:tc>
        <w:tc>
          <w:tcPr/>
          <w:p>
            <w:pPr>
              <w:pStyle w:val="Compact"/>
            </w:pPr>
          </w:p>
        </w:tc>
      </w:tr>
      <w:tr>
        <w:tc>
          <w:tcPr/>
          <w:p>
            <w:pPr>
              <w:pStyle w:val="Compact"/>
              <w:jc w:val="center"/>
            </w:pPr>
            <w:r>
              <w:t xml:space="preserve">5,08</w:t>
            </w:r>
          </w:p>
        </w:tc>
        <w:tc>
          <w:tcPr/>
          <w:p>
            <w:pPr>
              <w:pStyle w:val="Compact"/>
              <w:jc w:val="left"/>
            </w:pPr>
            <w:r>
              <w:t xml:space="preserve">καταπιειν</w:t>
            </w:r>
            <w:r>
              <w:t xml:space="preserve"> </w:t>
            </w:r>
            <w:r>
              <w:rPr>
                <w:bCs/>
                <w:b/>
              </w:rPr>
              <w:t xml:space="preserve">f</w:t>
            </w:r>
            <w:r>
              <w:rPr>
                <w:vertAlign w:val="superscript"/>
                <w:bCs/>
                <w:b/>
              </w:rPr>
              <w:t xml:space="preserve">35</w:t>
            </w:r>
            <w:r>
              <w:t xml:space="preserve"> </w:t>
            </w:r>
            <w:r>
              <w:t xml:space="preserve">(ℵ)B (53%) || καταπιει (25%) || καταπιη P</w:t>
            </w:r>
            <w:r>
              <w:rPr>
                <w:vertAlign w:val="superscript"/>
              </w:rPr>
              <w:t xml:space="preserve">72</w:t>
            </w:r>
            <w:r>
              <w:t xml:space="preserve">A (22%);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στηριξαι</w:t>
            </w:r>
            <w:r>
              <w:t xml:space="preserve"> </w:t>
            </w:r>
            <w:r>
              <w:rPr>
                <w:bCs/>
                <w:b/>
              </w:rPr>
              <w:t xml:space="preserve">f</w:t>
            </w:r>
            <w:r>
              <w:rPr>
                <w:vertAlign w:val="superscript"/>
                <w:bCs/>
                <w:b/>
              </w:rPr>
              <w:t xml:space="preserve">35</w:t>
            </w:r>
            <w:r>
              <w:t xml:space="preserve"> </w:t>
            </w:r>
            <w:r>
              <w:t xml:space="preserve">(33%) || στηριξει P</w:t>
            </w:r>
            <w:r>
              <w:rPr>
                <w:vertAlign w:val="superscript"/>
              </w:rPr>
              <w:t xml:space="preserve">72</w:t>
            </w:r>
            <w:r>
              <w:t xml:space="preserve"> </w:t>
            </w:r>
            <w:r>
              <w:t xml:space="preserve">ℵA,B (66%) || στηριξοι (1%);</w:t>
            </w:r>
          </w:p>
        </w:tc>
        <w:tc>
          <w:tcPr/>
          <w:p>
            <w:pPr>
              <w:pStyle w:val="Compact"/>
            </w:pPr>
          </w:p>
        </w:tc>
      </w:tr>
      <w:tr>
        <w:tc>
          <w:tcPr/>
          <w:p>
            <w:pPr>
              <w:pStyle w:val="Compact"/>
              <w:jc w:val="center"/>
            </w:pPr>
            <w:r>
              <w:t xml:space="preserve">5,10</w:t>
            </w:r>
          </w:p>
        </w:tc>
        <w:tc>
          <w:tcPr/>
          <w:p>
            <w:pPr>
              <w:pStyle w:val="Compact"/>
              <w:jc w:val="left"/>
            </w:pPr>
            <w:r>
              <w:t xml:space="preserve">σθενωσαι</w:t>
            </w:r>
            <w:r>
              <w:t xml:space="preserve"> </w:t>
            </w:r>
            <w:r>
              <w:rPr>
                <w:bCs/>
                <w:b/>
              </w:rPr>
              <w:t xml:space="preserve">f</w:t>
            </w:r>
            <w:r>
              <w:rPr>
                <w:vertAlign w:val="superscript"/>
                <w:bCs/>
                <w:b/>
              </w:rPr>
              <w:t xml:space="preserve">35</w:t>
            </w:r>
            <w:r>
              <w:t xml:space="preserve"> </w:t>
            </w:r>
            <w:r>
              <w:t xml:space="preserve">(30%) || σθενωσει ℵA,B (66%) || σθενωσοι (1%) || --- P</w:t>
            </w:r>
            <w:r>
              <w:rPr>
                <w:vertAlign w:val="superscript"/>
              </w:rPr>
              <w:t xml:space="preserve">72</w:t>
            </w:r>
            <w:r>
              <w:t xml:space="preserve"> </w:t>
            </w:r>
            <w:r>
              <w:t xml:space="preserve">(3%);</w:t>
            </w:r>
          </w:p>
        </w:tc>
        <w:tc>
          <w:tcPr/>
          <w:p>
            <w:pPr>
              <w:pStyle w:val="Compact"/>
            </w:pPr>
          </w:p>
        </w:tc>
      </w:tr>
      <w:tr>
        <w:tc>
          <w:tcPr/>
          <w:p>
            <w:pPr>
              <w:pStyle w:val="Compact"/>
              <w:jc w:val="center"/>
            </w:pPr>
            <w:r>
              <w:t xml:space="preserve">5,10</w:t>
            </w:r>
          </w:p>
        </w:tc>
        <w:tc>
          <w:tcPr/>
          <w:p>
            <w:pPr>
              <w:pStyle w:val="Compact"/>
              <w:jc w:val="left"/>
            </w:pPr>
            <w:r>
              <w:t xml:space="preserve">θεμελιωσαι</w:t>
            </w:r>
            <w:r>
              <w:t xml:space="preserve"> </w:t>
            </w:r>
            <w:r>
              <w:rPr>
                <w:bCs/>
                <w:b/>
              </w:rPr>
              <w:t xml:space="preserve">f</w:t>
            </w:r>
            <w:r>
              <w:rPr>
                <w:vertAlign w:val="superscript"/>
                <w:bCs/>
                <w:b/>
              </w:rPr>
              <w:t xml:space="preserve">35</w:t>
            </w:r>
            <w:r>
              <w:t xml:space="preserve"> </w:t>
            </w:r>
            <w:r>
              <w:t xml:space="preserve">(30%) || θεμελιωσει P</w:t>
            </w:r>
            <w:r>
              <w:rPr>
                <w:vertAlign w:val="superscript"/>
              </w:rPr>
              <w:t xml:space="preserve">72</w:t>
            </w:r>
            <w:r>
              <w:t xml:space="preserve"> </w:t>
            </w:r>
            <w:r>
              <w:t xml:space="preserve">ℵ (66%) || θεμελιωσοι (1%) || --- A,B (3%);</w:t>
            </w:r>
          </w:p>
        </w:tc>
        <w:tc>
          <w:tcPr/>
          <w:p>
            <w:pPr>
              <w:pStyle w:val="Compact"/>
            </w:pPr>
          </w:p>
        </w:tc>
      </w:tr>
      <w:tr>
        <w:tc>
          <w:tcPr/>
          <w:p>
            <w:pPr>
              <w:pStyle w:val="Compact"/>
              <w:jc w:val="center"/>
            </w:pPr>
            <w:r>
              <w:t xml:space="preserve">5,11</w:t>
            </w:r>
          </w:p>
        </w:tc>
        <w:tc>
          <w:tcPr/>
          <w:p>
            <w:pPr>
              <w:pStyle w:val="Compact"/>
              <w:jc w:val="left"/>
            </w:pPr>
            <w:r>
              <w:t xml:space="preserve">η δοξα και το κρατος</w:t>
            </w:r>
            <w:r>
              <w:t xml:space="preserve"> </w:t>
            </w:r>
            <w:r>
              <w:rPr>
                <w:bCs/>
                <w:b/>
              </w:rPr>
              <w:t xml:space="preserve">f</w:t>
            </w:r>
            <w:r>
              <w:rPr>
                <w:vertAlign w:val="superscript"/>
                <w:bCs/>
                <w:b/>
              </w:rPr>
              <w:t xml:space="preserve">35</w:t>
            </w:r>
            <w:r>
              <w:t xml:space="preserve"> </w:t>
            </w:r>
            <w:r>
              <w:t xml:space="preserve">ℵ (59,6%) || 125 (31,3%) || ~ 45312 (7%) || 4 (-το P</w:t>
            </w:r>
            <w:r>
              <w:rPr>
                <w:vertAlign w:val="superscript"/>
              </w:rPr>
              <w:t xml:space="preserve">72</w:t>
            </w:r>
            <w:r>
              <w:t xml:space="preserve">) 5 P</w:t>
            </w:r>
            <w:r>
              <w:rPr>
                <w:vertAlign w:val="superscript"/>
              </w:rPr>
              <w:t xml:space="preserve">72</w:t>
            </w:r>
            <w:r>
              <w:t xml:space="preserve">A,B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Piotra określają powyższe 42 odczyty. Jest on wyraźny i jednoznaczny, mamy więc w 1 Liście Piotra co najmniej jeden obiektywnie określony archetyp. Dla kontrastu istnieją 24 +?6 zestawy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Piotra</w:t>
            </w:r>
          </w:p>
        </w:tc>
        <w:tc>
          <w:tcPr/>
          <w:p>
            <w:pPr>
              <w:pStyle w:val="Compact"/>
            </w:pPr>
          </w:p>
        </w:tc>
      </w:tr>
      <w:tr>
        <w:tc>
          <w:tcPr/>
          <w:p>
            <w:pPr>
              <w:pStyle w:val="Compact"/>
              <w:jc w:val="center"/>
            </w:pPr>
            <w:r>
              <w:t xml:space="preserve">1,02</w:t>
            </w:r>
          </w:p>
        </w:tc>
        <w:tc>
          <w:tcPr/>
          <w:p>
            <w:pPr>
              <w:pStyle w:val="Compact"/>
              <w:jc w:val="left"/>
            </w:pPr>
            <w:r>
              <w:t xml:space="preserve">ιησου του κυριου ημων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)B,C (68%) (234 1,4%) || 1 χριστου 234 ℵA (15%) || χριστου 1234 (8%) || σωτηρος 1 χριστου 234 (1,2%) || ~ 2341 χριστου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1,05</w:t>
            </w:r>
          </w:p>
        </w:tc>
        <w:tc>
          <w:tcPr/>
          <w:p>
            <w:pPr>
              <w:pStyle w:val="Compact"/>
              <w:jc w:val="left"/>
            </w:pPr>
            <w:r>
              <w:t xml:space="preserve">δε τουτο</w:t>
            </w:r>
            <w:r>
              <w:t xml:space="preserve"> </w:t>
            </w:r>
            <w:r>
              <w:rPr>
                <w:bCs/>
                <w:b/>
              </w:rPr>
              <w:t xml:space="preserve">f</w:t>
            </w:r>
            <w:r>
              <w:rPr>
                <w:vertAlign w:val="superscript"/>
                <w:bCs/>
                <w:b/>
              </w:rPr>
              <w:t xml:space="preserve">35</w:t>
            </w:r>
            <w:r>
              <w:t xml:space="preserve"> </w:t>
            </w:r>
            <w:r>
              <w:t xml:space="preserve">ℵ (66%) || ~ 21 P</w:t>
            </w:r>
            <w:r>
              <w:rPr>
                <w:vertAlign w:val="superscript"/>
              </w:rPr>
              <w:t xml:space="preserve">72</w:t>
            </w:r>
            <w:r>
              <w:t xml:space="preserve">B,C (32%) || 1 A (1%) || 2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2,02</w:t>
            </w:r>
          </w:p>
        </w:tc>
        <w:tc>
          <w:tcPr/>
          <w:p>
            <w:pPr>
              <w:pStyle w:val="Compact"/>
              <w:jc w:val="left"/>
            </w:pPr>
            <w:r>
              <w:t xml:space="preserve">ας</w:t>
            </w:r>
            <w:r>
              <w:t xml:space="preserve"> </w:t>
            </w:r>
            <w:r>
              <w:rPr>
                <w:bCs/>
                <w:b/>
              </w:rPr>
              <w:t xml:space="preserve">f</w:t>
            </w:r>
            <w:r>
              <w:rPr>
                <w:vertAlign w:val="superscript"/>
                <w:bCs/>
                <w:b/>
              </w:rPr>
              <w:t xml:space="preserve">35</w:t>
            </w:r>
            <w:r>
              <w:t xml:space="preserve"> </w:t>
            </w:r>
            <w:r>
              <w:t xml:space="preserve">(20%) || ους P</w:t>
            </w:r>
            <w:r>
              <w:rPr>
                <w:vertAlign w:val="superscript"/>
              </w:rPr>
              <w:t xml:space="preserve">72</w:t>
            </w:r>
            <w:r>
              <w:t xml:space="preserve"> </w:t>
            </w:r>
            <w:r>
              <w:t xml:space="preserve">ℵA,B,C (80%);</w:t>
            </w:r>
          </w:p>
        </w:tc>
        <w:tc>
          <w:tcPr/>
          <w:p>
            <w:pPr>
              <w:pStyle w:val="Compact"/>
            </w:pPr>
          </w:p>
        </w:tc>
      </w:tr>
      <w:tr>
        <w:tc>
          <w:tcPr/>
          <w:p>
            <w:pPr>
              <w:pStyle w:val="Compact"/>
              <w:jc w:val="center"/>
            </w:pPr>
            <w:r>
              <w:t xml:space="preserve">2,09</w:t>
            </w:r>
          </w:p>
        </w:tc>
        <w:tc>
          <w:tcPr/>
          <w:p>
            <w:pPr>
              <w:pStyle w:val="Compact"/>
              <w:jc w:val="left"/>
            </w:pPr>
            <w:r>
              <w:t xml:space="preserve">πειρασμων</w:t>
            </w:r>
            <w:r>
              <w:t xml:space="preserve"> </w:t>
            </w:r>
            <w:r>
              <w:rPr>
                <w:bCs/>
                <w:b/>
              </w:rPr>
              <w:t xml:space="preserve">f</w:t>
            </w:r>
            <w:r>
              <w:rPr>
                <w:vertAlign w:val="superscript"/>
                <w:bCs/>
                <w:b/>
              </w:rPr>
              <w:t xml:space="preserve">35</w:t>
            </w:r>
            <w:r>
              <w:t xml:space="preserve"> </w:t>
            </w:r>
            <w:r>
              <w:t xml:space="preserve">ℵ (33%) || πειρασμου (P</w:t>
            </w:r>
            <w:r>
              <w:rPr>
                <w:vertAlign w:val="superscript"/>
              </w:rPr>
              <w:t xml:space="preserve">72</w:t>
            </w:r>
            <w:r>
              <w:t xml:space="preserve">)A,B,C (67%);</w:t>
            </w:r>
          </w:p>
        </w:tc>
        <w:tc>
          <w:tcPr/>
          <w:p>
            <w:pPr>
              <w:pStyle w:val="Compact"/>
            </w:pPr>
          </w:p>
        </w:tc>
      </w:tr>
      <w:tr>
        <w:tc>
          <w:tcPr/>
          <w:p>
            <w:pPr>
              <w:pStyle w:val="Compact"/>
              <w:jc w:val="center"/>
            </w:pPr>
            <w:r>
              <w:t xml:space="preserve">2,12</w:t>
            </w:r>
          </w:p>
        </w:tc>
        <w:tc>
          <w:tcPr/>
          <w:p>
            <w:pPr>
              <w:pStyle w:val="Compact"/>
              <w:jc w:val="left"/>
            </w:pPr>
            <w:r>
              <w:t xml:space="preserve">γεγενημενα φυσικα</w:t>
            </w:r>
            <w:r>
              <w:t xml:space="preserve"> </w:t>
            </w:r>
            <w:r>
              <w:rPr>
                <w:bCs/>
                <w:b/>
              </w:rPr>
              <w:t xml:space="preserve">f</w:t>
            </w:r>
            <w:r>
              <w:rPr>
                <w:vertAlign w:val="superscript"/>
                <w:bCs/>
                <w:b/>
              </w:rPr>
              <w:t xml:space="preserve">35</w:t>
            </w:r>
            <w:r>
              <w:t xml:space="preserve"> </w:t>
            </w:r>
            <w:r>
              <w:t xml:space="preserve">ℵ (26%) || ~ 21 (54%) || γεγεννημενα 2 A,B,C (3%) || ~ 2 γεγεννημενα (12%) || 1 (4,2%) || 2 P</w:t>
            </w:r>
            <w:r>
              <w:rPr>
                <w:vertAlign w:val="superscript"/>
              </w:rPr>
              <w:t xml:space="preserve">72</w:t>
            </w:r>
            <w:r>
              <w:t xml:space="preserve"> </w:t>
            </w:r>
            <w:r>
              <w:t xml:space="preserve">(0,4%);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εις αιωνας</w:t>
            </w:r>
            <w:r>
              <w:t xml:space="preserve"> </w:t>
            </w:r>
            <w:r>
              <w:rPr>
                <w:bCs/>
                <w:b/>
              </w:rPr>
              <w:t xml:space="preserve">f</w:t>
            </w:r>
            <w:r>
              <w:rPr>
                <w:vertAlign w:val="superscript"/>
                <w:bCs/>
                <w:b/>
              </w:rPr>
              <w:t xml:space="preserve">35</w:t>
            </w:r>
            <w:r>
              <w:t xml:space="preserve"> </w:t>
            </w:r>
            <w:r>
              <w:t xml:space="preserve">(25,1%) || 1 αιωνα A,C (70,3%) || 1 τον αιωνα (2,4%) || --- P</w:t>
            </w:r>
            <w:r>
              <w:rPr>
                <w:vertAlign w:val="superscript"/>
              </w:rPr>
              <w:t xml:space="preserve">72</w:t>
            </w:r>
            <w:r>
              <w:t xml:space="preserve"> </w:t>
            </w:r>
            <w:r>
              <w:t xml:space="preserve">ℵB (2,2%);</w:t>
            </w:r>
          </w:p>
        </w:tc>
        <w:tc>
          <w:tcPr/>
          <w:p>
            <w:pPr>
              <w:pStyle w:val="Compact"/>
            </w:pPr>
          </w:p>
        </w:tc>
      </w:tr>
      <w:tr>
        <w:tc>
          <w:tcPr/>
          <w:p>
            <w:pPr>
              <w:pStyle w:val="Compact"/>
              <w:jc w:val="center"/>
            </w:pPr>
            <w:r>
              <w:t xml:space="preserve">2,18</w:t>
            </w:r>
          </w:p>
        </w:tc>
        <w:tc>
          <w:tcPr/>
          <w:p>
            <w:pPr>
              <w:pStyle w:val="Compact"/>
              <w:jc w:val="left"/>
            </w:pPr>
            <w:r>
              <w:t xml:space="preserve">ασελγειας</w:t>
            </w:r>
            <w:r>
              <w:t xml:space="preserve"> </w:t>
            </w:r>
            <w:r>
              <w:rPr>
                <w:bCs/>
                <w:b/>
              </w:rPr>
              <w:t xml:space="preserve">f</w:t>
            </w:r>
            <w:r>
              <w:rPr>
                <w:vertAlign w:val="superscript"/>
                <w:bCs/>
                <w:b/>
              </w:rPr>
              <w:t xml:space="preserve">35</w:t>
            </w:r>
            <w:r>
              <w:t xml:space="preserve"> </w:t>
            </w:r>
            <w:r>
              <w:t xml:space="preserve">(40%) || ασελγειαις P</w:t>
            </w:r>
            <w:r>
              <w:rPr>
                <w:vertAlign w:val="superscript"/>
              </w:rPr>
              <w:t xml:space="preserve">72</w:t>
            </w:r>
            <w:r>
              <w:t xml:space="preserve"> </w:t>
            </w:r>
            <w:r>
              <w:t xml:space="preserve">ℵA,B,C (60%);</w:t>
            </w:r>
          </w:p>
        </w:tc>
        <w:tc>
          <w:tcPr/>
          <w:p>
            <w:pPr>
              <w:pStyle w:val="Compact"/>
            </w:pPr>
          </w:p>
        </w:tc>
      </w:tr>
      <w:tr>
        <w:tc>
          <w:tcPr/>
          <w:p>
            <w:pPr>
              <w:pStyle w:val="Compact"/>
              <w:jc w:val="center"/>
            </w:pPr>
            <w:r>
              <w:t xml:space="preserve">3,02</w:t>
            </w:r>
          </w:p>
        </w:tc>
        <w:tc>
          <w:tcPr/>
          <w:p>
            <w:pPr>
              <w:pStyle w:val="Compact"/>
              <w:jc w:val="left"/>
            </w:pPr>
            <w:r>
              <w:t xml:space="preserve">υμων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(70%) || ημων (28,8%) || ---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3,05</w:t>
            </w:r>
          </w:p>
        </w:tc>
        <w:tc>
          <w:tcPr/>
          <w:p>
            <w:pPr>
              <w:pStyle w:val="Compact"/>
              <w:jc w:val="left"/>
            </w:pPr>
            <w:r>
              <w:t xml:space="preserve">συνεστωτα</w:t>
            </w:r>
            <w:r>
              <w:t xml:space="preserve"> </w:t>
            </w:r>
            <w:r>
              <w:rPr>
                <w:bCs/>
                <w:b/>
              </w:rPr>
              <w:t xml:space="preserve">f</w:t>
            </w:r>
            <w:r>
              <w:rPr>
                <w:vertAlign w:val="superscript"/>
                <w:bCs/>
                <w:b/>
              </w:rPr>
              <w:t xml:space="preserve">35</w:t>
            </w:r>
            <w:r>
              <w:t xml:space="preserve"> </w:t>
            </w:r>
            <w:r>
              <w:t xml:space="preserve">ℵ (23%) || συνεστωσα P</w:t>
            </w:r>
            <w:r>
              <w:rPr>
                <w:vertAlign w:val="superscript"/>
              </w:rPr>
              <w:t xml:space="preserve">72</w:t>
            </w:r>
            <w:r>
              <w:t xml:space="preserve">A,C(048) (76%);</w:t>
            </w:r>
          </w:p>
        </w:tc>
        <w:tc>
          <w:tcPr/>
          <w:p>
            <w:pPr>
              <w:pStyle w:val="Compact"/>
            </w:pPr>
          </w:p>
        </w:tc>
      </w:tr>
      <w:tr>
        <w:tc>
          <w:tcPr/>
          <w:p>
            <w:pPr>
              <w:pStyle w:val="Compact"/>
              <w:jc w:val="center"/>
            </w:pPr>
            <w:r>
              <w:t xml:space="preserve">3,10</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ℵ,048 (67%) || η οι P</w:t>
            </w:r>
            <w:r>
              <w:rPr>
                <w:vertAlign w:val="superscript"/>
              </w:rPr>
              <w:t xml:space="preserve">72</w:t>
            </w:r>
            <w:r>
              <w:t xml:space="preserve">A,B,C (33%);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3,15</w:t>
            </w:r>
          </w:p>
        </w:tc>
        <w:tc>
          <w:tcPr/>
          <w:p>
            <w:pPr>
              <w:pStyle w:val="Compact"/>
              <w:jc w:val="left"/>
            </w:pPr>
            <w:r>
              <w:t xml:space="preserve">αυτω δοθεισαν</w:t>
            </w:r>
            <w:r>
              <w:t xml:space="preserve"> </w:t>
            </w:r>
            <w:r>
              <w:rPr>
                <w:bCs/>
                <w:b/>
              </w:rPr>
              <w:t xml:space="preserve">f</w:t>
            </w:r>
            <w:r>
              <w:rPr>
                <w:vertAlign w:val="superscript"/>
                <w:bCs/>
                <w:b/>
              </w:rPr>
              <w:t xml:space="preserve">35</w:t>
            </w:r>
            <w:r>
              <w:t xml:space="preserve"> </w:t>
            </w:r>
            <w:r>
              <w:t xml:space="preserve">(60%) || ~ 21 P</w:t>
            </w:r>
            <w:r>
              <w:rPr>
                <w:vertAlign w:val="superscript"/>
              </w:rPr>
              <w:t xml:space="preserve">72</w:t>
            </w:r>
            <w:r>
              <w:t xml:space="preserve">(ℵ)A,B,C,048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εισιν</w:t>
            </w:r>
            <w:r>
              <w:t xml:space="preserve"> </w:t>
            </w:r>
            <w:r>
              <w:rPr>
                <w:bCs/>
                <w:b/>
              </w:rPr>
              <w:t xml:space="preserve">f</w:t>
            </w:r>
            <w:r>
              <w:rPr>
                <w:vertAlign w:val="superscript"/>
                <w:bCs/>
                <w:b/>
              </w:rPr>
              <w:t xml:space="preserve">35</w:t>
            </w:r>
            <w:r>
              <w:t xml:space="preserve"> </w:t>
            </w:r>
            <w:r>
              <w:t xml:space="preserve">A (33%) || εστιν P</w:t>
            </w:r>
            <w:r>
              <w:rPr>
                <w:vertAlign w:val="superscript"/>
              </w:rPr>
              <w:t xml:space="preserve">72</w:t>
            </w:r>
            <w:r>
              <w:t xml:space="preserve"> </w:t>
            </w:r>
            <w:r>
              <w:t xml:space="preserve">ℵB,C (67%);</w:t>
            </w:r>
          </w:p>
        </w:tc>
        <w:tc>
          <w:tcPr/>
          <w:p>
            <w:pPr>
              <w:pStyle w:val="Compact"/>
            </w:pPr>
          </w:p>
        </w:tc>
      </w:tr>
      <w:tr>
        <w:tc>
          <w:tcPr/>
          <w:p>
            <w:pPr>
              <w:pStyle w:val="Compact"/>
              <w:jc w:val="center"/>
            </w:pPr>
            <w:r>
              <w:t xml:space="preserve">3,18</w:t>
            </w:r>
          </w:p>
        </w:tc>
        <w:tc>
          <w:tcPr/>
          <w:p>
            <w:pPr>
              <w:pStyle w:val="Compact"/>
              <w:jc w:val="left"/>
            </w:pPr>
            <w:r>
              <w:t xml:space="preserve">αυξανητε</w:t>
            </w:r>
            <w:r>
              <w:t xml:space="preserve"> </w:t>
            </w:r>
            <w:r>
              <w:rPr>
                <w:bCs/>
                <w:b/>
              </w:rPr>
              <w:t xml:space="preserve">f</w:t>
            </w:r>
            <w:r>
              <w:rPr>
                <w:vertAlign w:val="superscript"/>
                <w:bCs/>
                <w:b/>
              </w:rPr>
              <w:t xml:space="preserve">35</w:t>
            </w:r>
            <w:r>
              <w:t xml:space="preserve"> </w:t>
            </w:r>
            <w:r>
              <w:t xml:space="preserve">(27%) || αυξανετε ℵA,B (60%) || αυξανεσθε P</w:t>
            </w:r>
            <w:r>
              <w:rPr>
                <w:vertAlign w:val="superscript"/>
              </w:rPr>
              <w:t xml:space="preserve">72</w:t>
            </w:r>
            <w:r>
              <w:t xml:space="preserve">C (5%) || αυξανησθε (3%) || αυξανοιτε (5%).</w:t>
            </w:r>
          </w:p>
        </w:tc>
        <w:tc>
          <w:tcPr/>
          <w:p>
            <w:pPr>
              <w:pStyle w:val="Compact"/>
            </w:pP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Liście Piotra określa powyższych 13 odczytów. Jest on wyraźny i jednoznaczny, mamy więc w 2 Liście Piotra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4 +?2 zestawy wariantów, w których</w:t>
      </w:r>
      <w:r>
        <w:t xml:space="preserve"> </w:t>
      </w:r>
      <w:r>
        <w:rPr>
          <w:bCs/>
          <w:b/>
        </w:rPr>
        <w:t xml:space="preserve">K</w:t>
      </w:r>
      <w:r>
        <w:rPr>
          <w:vertAlign w:val="superscript"/>
          <w:bCs/>
          <w:b/>
        </w:rPr>
        <w:t xml:space="preserve">x</w:t>
      </w:r>
      <w:r>
        <w:t xml:space="preserve"> </w:t>
      </w:r>
      <w:r>
        <w:t xml:space="preserve">jest poważnie podzielony, są na tyle nieliczne, że postulowanie archetypu może być możliwe. (Nie uwzględniłem pewnej liczby mniejszych podziałów — 25%, 20%, 15% — które mogłyby skomplikować każdą taką próbę. Inne uwagi znajdują się wyżej, przy Liście Jakuba). Przejdźmy do 1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Jana</w:t>
            </w:r>
          </w:p>
        </w:tc>
        <w:tc>
          <w:tcPr/>
          <w:p>
            <w:pPr>
              <w:pStyle w:val="Compact"/>
            </w:pPr>
          </w:p>
        </w:tc>
      </w:tr>
      <w:tr>
        <w:tc>
          <w:tcPr/>
          <w:p>
            <w:pPr>
              <w:pStyle w:val="Compact"/>
              <w:jc w:val="center"/>
            </w:pPr>
            <w:r>
              <w:t xml:space="preserve">1,04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ℵB (59%) || υμων A,C (41%);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1,06</w:t>
            </w:r>
          </w:p>
        </w:tc>
        <w:tc>
          <w:tcPr/>
          <w:p>
            <w:pPr>
              <w:pStyle w:val="Compact"/>
              <w:jc w:val="left"/>
            </w:pPr>
            <w:r>
              <w:t xml:space="preserve">περιπατουμεν</w:t>
            </w:r>
            <w:r>
              <w:t xml:space="preserve"> </w:t>
            </w:r>
            <w:r>
              <w:rPr>
                <w:bCs/>
                <w:b/>
              </w:rPr>
              <w:t xml:space="preserve">f</w:t>
            </w:r>
            <w:r>
              <w:rPr>
                <w:vertAlign w:val="superscript"/>
                <w:bCs/>
                <w:b/>
              </w:rPr>
              <w:t xml:space="preserve">35</w:t>
            </w:r>
            <w:r>
              <w:t xml:space="preserve"> </w:t>
            </w:r>
            <w:r>
              <w:t xml:space="preserve">(29%) || περιπατωμεν</w:t>
            </w:r>
            <w:r>
              <w:t xml:space="preserve"> </w:t>
            </w:r>
            <w:r>
              <w:rPr>
                <w:bCs/>
                <w:b/>
              </w:rPr>
              <w:t xml:space="preserve">f</w:t>
            </w:r>
            <w:r>
              <w:rPr>
                <w:vertAlign w:val="superscript"/>
                <w:bCs/>
                <w:b/>
              </w:rPr>
              <w:t xml:space="preserve">35pt</w:t>
            </w:r>
            <w:r>
              <w:t xml:space="preserve"> </w:t>
            </w:r>
            <w:r>
              <w:t xml:space="preserve">ℵA,B,C (71%);</w:t>
            </w:r>
          </w:p>
        </w:tc>
        <w:tc>
          <w:tcPr/>
          <w:p>
            <w:pPr>
              <w:pStyle w:val="Compact"/>
            </w:pPr>
          </w:p>
        </w:tc>
      </w:tr>
      <w:tr>
        <w:tc>
          <w:tcPr/>
          <w:p>
            <w:pPr>
              <w:pStyle w:val="Compact"/>
              <w:jc w:val="center"/>
            </w:pPr>
            <w:r>
              <w:t xml:space="preserve">2,16</w:t>
            </w:r>
          </w:p>
        </w:tc>
        <w:tc>
          <w:tcPr/>
          <w:p>
            <w:pPr>
              <w:pStyle w:val="Compact"/>
              <w:jc w:val="left"/>
            </w:pPr>
            <w:r>
              <w:t xml:space="preserve">αλαζονεια</w:t>
            </w:r>
            <w:r>
              <w:t xml:space="preserve"> </w:t>
            </w:r>
            <w:r>
              <w:rPr>
                <w:bCs/>
                <w:b/>
              </w:rPr>
              <w:t xml:space="preserve">f</w:t>
            </w:r>
            <w:r>
              <w:rPr>
                <w:vertAlign w:val="superscript"/>
                <w:bCs/>
                <w:b/>
              </w:rPr>
              <w:t xml:space="preserve">35</w:t>
            </w:r>
            <w:r>
              <w:t xml:space="preserve"> </w:t>
            </w:r>
            <w:r>
              <w:t xml:space="preserve">C (72%) || αλαζονια ℵA,B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2,24</w:t>
            </w:r>
          </w:p>
        </w:tc>
        <w:tc>
          <w:tcPr/>
          <w:p>
            <w:pPr>
              <w:pStyle w:val="Compact"/>
              <w:jc w:val="left"/>
            </w:pPr>
            <w:r>
              <w:t xml:space="preserve">πατρι και εν τω υιω</w:t>
            </w:r>
            <w:r>
              <w:t xml:space="preserve"> </w:t>
            </w:r>
            <w:r>
              <w:rPr>
                <w:bCs/>
                <w:b/>
              </w:rPr>
              <w:t xml:space="preserve">f</w:t>
            </w:r>
            <w:r>
              <w:rPr>
                <w:vertAlign w:val="superscript"/>
                <w:bCs/>
                <w:b/>
              </w:rPr>
              <w:t xml:space="preserve">35</w:t>
            </w:r>
            <w:r>
              <w:t xml:space="preserve"> </w:t>
            </w:r>
            <w:r>
              <w:t xml:space="preserve">ℵ (35%) || ~ 52341 A(B)C (65%);</w:t>
            </w:r>
          </w:p>
        </w:tc>
        <w:tc>
          <w:tcPr/>
          <w:p>
            <w:pPr>
              <w:pStyle w:val="Compact"/>
            </w:pPr>
          </w:p>
        </w:tc>
      </w:tr>
      <w:tr>
        <w:tc>
          <w:tcPr/>
          <w:p>
            <w:pPr>
              <w:pStyle w:val="Compact"/>
              <w:jc w:val="center"/>
            </w:pPr>
            <w:r>
              <w:t xml:space="preserve">2,27</w:t>
            </w:r>
          </w:p>
        </w:tc>
        <w:tc>
          <w:tcPr/>
          <w:p>
            <w:pPr>
              <w:pStyle w:val="Compact"/>
              <w:jc w:val="left"/>
            </w:pPr>
            <w:r>
              <w:t xml:space="preserve">διδασκη</w:t>
            </w:r>
            <w:r>
              <w:t xml:space="preserve"> </w:t>
            </w:r>
            <w:r>
              <w:rPr>
                <w:bCs/>
                <w:b/>
              </w:rPr>
              <w:t xml:space="preserve">f</w:t>
            </w:r>
            <w:r>
              <w:rPr>
                <w:vertAlign w:val="superscript"/>
                <w:bCs/>
                <w:b/>
              </w:rPr>
              <w:t xml:space="preserve">35</w:t>
            </w:r>
            <w:r>
              <w:t xml:space="preserve"> </w:t>
            </w:r>
            <w:r>
              <w:t xml:space="preserve">ℵA,B (71%) || διδασκει C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2,29</w:t>
            </w:r>
          </w:p>
        </w:tc>
        <w:tc>
          <w:tcPr/>
          <w:p>
            <w:pPr>
              <w:pStyle w:val="Compact"/>
              <w:jc w:val="left"/>
            </w:pPr>
            <w:r>
              <w:t xml:space="preserve">ειδητε</w:t>
            </w:r>
            <w:r>
              <w:t xml:space="preserve"> </w:t>
            </w:r>
            <w:r>
              <w:rPr>
                <w:bCs/>
                <w:b/>
              </w:rPr>
              <w:t xml:space="preserve">f</w:t>
            </w:r>
            <w:r>
              <w:rPr>
                <w:vertAlign w:val="superscript"/>
                <w:bCs/>
                <w:b/>
              </w:rPr>
              <w:t xml:space="preserve">35</w:t>
            </w:r>
            <w:r>
              <w:t xml:space="preserve"> </w:t>
            </w:r>
            <w:r>
              <w:t xml:space="preserve">ℵB,C (37%) || ιδητε A (59%) || οιδατε (4%);</w:t>
            </w:r>
          </w:p>
        </w:tc>
        <w:tc>
          <w:tcPr/>
          <w:p>
            <w:pPr>
              <w:pStyle w:val="Compact"/>
            </w:pPr>
          </w:p>
        </w:tc>
      </w:tr>
      <w:tr>
        <w:tc>
          <w:tcPr/>
          <w:p>
            <w:pPr>
              <w:pStyle w:val="Compact"/>
              <w:jc w:val="center"/>
            </w:pPr>
            <w:r>
              <w:t xml:space="preserve">2,29</w:t>
            </w:r>
          </w:p>
        </w:tc>
        <w:tc>
          <w:tcPr/>
          <w:p>
            <w:pPr>
              <w:pStyle w:val="Compact"/>
              <w:jc w:val="left"/>
            </w:pPr>
            <w:r>
              <w:t xml:space="preserve">γεγεννηται</w:t>
            </w:r>
            <w:r>
              <w:t xml:space="preserve"> </w:t>
            </w:r>
            <w:r>
              <w:rPr>
                <w:bCs/>
                <w:b/>
              </w:rPr>
              <w:t xml:space="preserve">f</w:t>
            </w:r>
            <w:r>
              <w:rPr>
                <w:vertAlign w:val="superscript"/>
                <w:bCs/>
                <w:b/>
              </w:rPr>
              <w:t xml:space="preserve">35</w:t>
            </w:r>
            <w:r>
              <w:t xml:space="preserve"> </w:t>
            </w:r>
            <w:r>
              <w:t xml:space="preserve">ℵA,B,C (70%) || γεγενηται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3,01</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A,B (36%) || υμας ℵC (63,5%) || --- (0,5%);</w:t>
            </w:r>
          </w:p>
        </w:tc>
        <w:tc>
          <w:tcPr/>
          <w:p>
            <w:pPr>
              <w:pStyle w:val="Compact"/>
            </w:pPr>
          </w:p>
        </w:tc>
      </w:tr>
      <w:tr>
        <w:tc>
          <w:tcPr/>
          <w:p>
            <w:pPr>
              <w:pStyle w:val="Compact"/>
              <w:jc w:val="center"/>
            </w:pPr>
            <w:r>
              <w:t xml:space="preserve">3,06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(20%) || --- ℵA,B,C (80%);</w:t>
            </w:r>
          </w:p>
        </w:tc>
        <w:tc>
          <w:tcPr/>
          <w:p>
            <w:pPr>
              <w:pStyle w:val="Compact"/>
            </w:pPr>
          </w:p>
        </w:tc>
      </w:tr>
      <w:tr>
        <w:tc>
          <w:tcPr/>
          <w:p>
            <w:pPr>
              <w:pStyle w:val="Compact"/>
              <w:jc w:val="center"/>
            </w:pPr>
            <w:r>
              <w:t xml:space="preserve">3,15</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ℵA,C (70%) || αυτω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3,17</w:t>
            </w:r>
          </w:p>
        </w:tc>
        <w:tc>
          <w:tcPr/>
          <w:p>
            <w:pPr>
              <w:pStyle w:val="Compact"/>
              <w:jc w:val="left"/>
            </w:pPr>
            <w:r>
              <w:t xml:space="preserve">θεωρη</w:t>
            </w:r>
            <w:r>
              <w:t xml:space="preserve"> </w:t>
            </w:r>
            <w:r>
              <w:rPr>
                <w:bCs/>
                <w:b/>
              </w:rPr>
              <w:t xml:space="preserve">f</w:t>
            </w:r>
            <w:r>
              <w:rPr>
                <w:vertAlign w:val="superscript"/>
                <w:bCs/>
                <w:b/>
              </w:rPr>
              <w:t xml:space="preserve">35</w:t>
            </w:r>
            <w:r>
              <w:t xml:space="preserve"> </w:t>
            </w:r>
            <w:r>
              <w:t xml:space="preserve">ℵA,B,C (47%) || θεωρει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3,19</w:t>
            </w:r>
          </w:p>
        </w:tc>
        <w:tc>
          <w:tcPr/>
          <w:p>
            <w:pPr>
              <w:pStyle w:val="Compact"/>
              <w:jc w:val="left"/>
            </w:pPr>
            <w:r>
              <w:t xml:space="preserve">πεισωμεν</w:t>
            </w:r>
            <w:r>
              <w:t xml:space="preserve"> </w:t>
            </w:r>
            <w:r>
              <w:rPr>
                <w:bCs/>
                <w:b/>
              </w:rPr>
              <w:t xml:space="preserve">f</w:t>
            </w:r>
            <w:r>
              <w:rPr>
                <w:vertAlign w:val="superscript"/>
                <w:bCs/>
                <w:b/>
              </w:rPr>
              <w:t xml:space="preserve">35</w:t>
            </w:r>
            <w:r>
              <w:t xml:space="preserve"> </w:t>
            </w:r>
            <w:r>
              <w:t xml:space="preserve">(43%) || πεισομεν ℵA,B,C (56%);</w:t>
            </w:r>
          </w:p>
        </w:tc>
        <w:tc>
          <w:tcPr/>
          <w:p>
            <w:pPr>
              <w:pStyle w:val="Compact"/>
            </w:pPr>
          </w:p>
        </w:tc>
      </w:tr>
      <w:tr>
        <w:tc>
          <w:tcPr/>
          <w:p>
            <w:pPr>
              <w:pStyle w:val="Compact"/>
              <w:jc w:val="center"/>
            </w:pPr>
            <w:r>
              <w:t xml:space="preserve">3,21</w:t>
            </w:r>
          </w:p>
        </w:tc>
        <w:tc>
          <w:tcPr/>
          <w:p>
            <w:pPr>
              <w:pStyle w:val="Compact"/>
              <w:jc w:val="left"/>
            </w:pPr>
            <w:r>
              <w:t xml:space="preserve">καταγινωσκη</w:t>
            </w:r>
            <w:r>
              <w:t xml:space="preserve"> </w:t>
            </w:r>
            <w:r>
              <w:rPr>
                <w:bCs/>
                <w:b/>
              </w:rPr>
              <w:t xml:space="preserve">f</w:t>
            </w:r>
            <w:r>
              <w:rPr>
                <w:vertAlign w:val="superscript"/>
                <w:bCs/>
                <w:b/>
              </w:rPr>
              <w:t xml:space="preserve">35</w:t>
            </w:r>
            <w:r>
              <w:t xml:space="preserve"> </w:t>
            </w:r>
            <w:r>
              <w:t xml:space="preserve">ℵB,C (71%) || καταγινωσκει A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3,23</w:t>
            </w:r>
          </w:p>
        </w:tc>
        <w:tc>
          <w:tcPr/>
          <w:p>
            <w:pPr>
              <w:pStyle w:val="Compact"/>
              <w:jc w:val="left"/>
            </w:pPr>
            <w:r>
              <w:t xml:space="preserve">πιστευσωμεν</w:t>
            </w:r>
            <w:r>
              <w:t xml:space="preserve"> </w:t>
            </w:r>
            <w:r>
              <w:rPr>
                <w:bCs/>
                <w:b/>
              </w:rPr>
              <w:t xml:space="preserve">f</w:t>
            </w:r>
            <w:r>
              <w:rPr>
                <w:vertAlign w:val="superscript"/>
                <w:bCs/>
                <w:b/>
              </w:rPr>
              <w:t xml:space="preserve">35</w:t>
            </w:r>
            <w:r>
              <w:t xml:space="preserve"> </w:t>
            </w:r>
            <w:r>
              <w:t xml:space="preserve">B (66,9%) || πιστευωμεν ℵA,C (26,5%) || πιστευομεν (5,4%) || πιστευσομεν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3,24</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(30%) || και εν A,B,C</w:t>
            </w:r>
            <w:r>
              <w:rPr>
                <w:vertAlign w:val="superscript"/>
              </w:rPr>
              <w:t xml:space="preserve">v</w:t>
            </w:r>
            <w:r>
              <w:t xml:space="preserve"> </w:t>
            </w:r>
            <w:r>
              <w:t xml:space="preserve">(70%);</w:t>
            </w:r>
          </w:p>
        </w:tc>
        <w:tc>
          <w:tcPr/>
          <w:p>
            <w:pPr>
              <w:pStyle w:val="Compact"/>
            </w:pPr>
          </w:p>
        </w:tc>
      </w:tr>
      <w:tr>
        <w:tc>
          <w:tcPr/>
          <w:p>
            <w:pPr>
              <w:pStyle w:val="Compact"/>
              <w:jc w:val="center"/>
            </w:pPr>
            <w:r>
              <w:t xml:space="preserve">4,02</w:t>
            </w:r>
          </w:p>
        </w:tc>
        <w:tc>
          <w:tcPr/>
          <w:p>
            <w:pPr>
              <w:pStyle w:val="Compact"/>
              <w:jc w:val="left"/>
            </w:pPr>
            <w:r>
              <w:t xml:space="preserve">γινωσκεται</w:t>
            </w:r>
            <w:r>
              <w:t xml:space="preserve"> </w:t>
            </w:r>
            <w:r>
              <w:rPr>
                <w:bCs/>
                <w:b/>
              </w:rPr>
              <w:t xml:space="preserve">f</w:t>
            </w:r>
            <w:r>
              <w:rPr>
                <w:vertAlign w:val="superscript"/>
                <w:bCs/>
                <w:b/>
              </w:rPr>
              <w:t xml:space="preserve">35</w:t>
            </w:r>
            <w:r>
              <w:t xml:space="preserve"> </w:t>
            </w:r>
            <w:r>
              <w:t xml:space="preserve">(67%) || γινωσκετε A,B,C (25%) || γινωσκομεν ℵ (8%);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ομολογει</w:t>
            </w:r>
            <w:r>
              <w:t xml:space="preserve"> </w:t>
            </w:r>
            <w:r>
              <w:rPr>
                <w:bCs/>
                <w:b/>
              </w:rPr>
              <w:t xml:space="preserve">f</w:t>
            </w:r>
            <w:r>
              <w:rPr>
                <w:vertAlign w:val="superscript"/>
                <w:bCs/>
                <w:b/>
              </w:rPr>
              <w:t xml:space="preserve">35</w:t>
            </w:r>
            <w:r>
              <w:t xml:space="preserve"> </w:t>
            </w:r>
            <w:r>
              <w:t xml:space="preserve">ℵ (73,5%) || ομολογει τον A,B (24,2%);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εκ</w:t>
            </w:r>
            <w:r>
              <w:t xml:space="preserve"> </w:t>
            </w:r>
            <w:r>
              <w:rPr>
                <w:bCs/>
                <w:b/>
              </w:rPr>
              <w:t xml:space="preserve">f</w:t>
            </w:r>
            <w:r>
              <w:rPr>
                <w:vertAlign w:val="superscript"/>
                <w:bCs/>
                <w:b/>
              </w:rPr>
              <w:t xml:space="preserve">35</w:t>
            </w:r>
            <w:r>
              <w:t xml:space="preserve"> </w:t>
            </w:r>
            <w:r>
              <w:t xml:space="preserve">ℵA,B (70%) || ---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4,16</w:t>
            </w:r>
          </w:p>
        </w:tc>
        <w:tc>
          <w:tcPr/>
          <w:p>
            <w:pPr>
              <w:pStyle w:val="Compact"/>
              <w:jc w:val="left"/>
            </w:pPr>
            <w:r>
              <w:t xml:space="preserve">αυτω</w:t>
            </w:r>
            <w:r>
              <w:t xml:space="preserve"> </w:t>
            </w:r>
            <w:r>
              <w:rPr>
                <w:bCs/>
                <w:b/>
              </w:rPr>
              <w:t xml:space="preserve">f</w:t>
            </w:r>
            <w:r>
              <w:rPr>
                <w:vertAlign w:val="superscript"/>
                <w:bCs/>
                <w:b/>
              </w:rPr>
              <w:t xml:space="preserve">35</w:t>
            </w:r>
            <w:r>
              <w:t xml:space="preserve"> </w:t>
            </w:r>
            <w:r>
              <w:t xml:space="preserve">A (37%) || αυτω μενει ℵB (63%);</w:t>
            </w:r>
          </w:p>
        </w:tc>
        <w:tc>
          <w:tcPr/>
          <w:p>
            <w:pPr>
              <w:pStyle w:val="Compact"/>
            </w:pPr>
          </w:p>
        </w:tc>
      </w:tr>
      <w:tr>
        <w:tc>
          <w:tcPr/>
          <w:p>
            <w:pPr>
              <w:pStyle w:val="Compact"/>
              <w:jc w:val="center"/>
            </w:pPr>
            <w:r>
              <w:t xml:space="preserve">5,04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ℵ,A,B (56,4%) || υμων (43,2%) || --- (0,4%);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(70%) || και εν (A)B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 (48%) || αυτω A,B (52%);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ο θεος ημιν</w:t>
            </w:r>
            <w:r>
              <w:t xml:space="preserve"> </w:t>
            </w:r>
            <w:r>
              <w:rPr>
                <w:bCs/>
                <w:b/>
              </w:rPr>
              <w:t xml:space="preserve">f</w:t>
            </w:r>
            <w:r>
              <w:rPr>
                <w:vertAlign w:val="superscript"/>
                <w:bCs/>
                <w:b/>
              </w:rPr>
              <w:t xml:space="preserve">35</w:t>
            </w:r>
            <w:r>
              <w:t xml:space="preserve"> </w:t>
            </w:r>
            <w:r>
              <w:t xml:space="preserve">B (24%) || ~ 312 ℵA (76%);</w:t>
            </w:r>
          </w:p>
        </w:tc>
        <w:tc>
          <w:tcPr/>
          <w:p>
            <w:pPr>
              <w:pStyle w:val="Compact"/>
            </w:pPr>
          </w:p>
        </w:tc>
      </w:tr>
      <w:tr>
        <w:tc>
          <w:tcPr/>
          <w:p>
            <w:pPr>
              <w:pStyle w:val="Compact"/>
              <w:jc w:val="center"/>
            </w:pPr>
            <w:r>
              <w:t xml:space="preserve">5,20</w:t>
            </w:r>
          </w:p>
        </w:tc>
        <w:tc>
          <w:tcPr/>
          <w:p>
            <w:pPr>
              <w:pStyle w:val="Compact"/>
              <w:jc w:val="left"/>
            </w:pPr>
            <w:r>
              <w:t xml:space="preserve">γινωσκωμεν</w:t>
            </w:r>
            <w:r>
              <w:t xml:space="preserve"> </w:t>
            </w:r>
            <w:r>
              <w:rPr>
                <w:bCs/>
                <w:b/>
              </w:rPr>
              <w:t xml:space="preserve">f</w:t>
            </w:r>
            <w:r>
              <w:rPr>
                <w:vertAlign w:val="superscript"/>
                <w:bCs/>
                <w:b/>
              </w:rPr>
              <w:t xml:space="preserve">35</w:t>
            </w:r>
            <w:r>
              <w:t xml:space="preserve"> </w:t>
            </w:r>
            <w:r>
              <w:t xml:space="preserve">(66%) || γινωσκομεν ℵA,B (34%);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5,20</w:t>
            </w:r>
          </w:p>
        </w:tc>
        <w:tc>
          <w:tcPr/>
          <w:p>
            <w:pPr>
              <w:pStyle w:val="Compact"/>
              <w:jc w:val="left"/>
            </w:pPr>
            <w:r>
              <w:t xml:space="preserve">η ζωη η</w:t>
            </w:r>
            <w:r>
              <w:t xml:space="preserve"> </w:t>
            </w:r>
            <w:r>
              <w:rPr>
                <w:bCs/>
                <w:b/>
              </w:rPr>
              <w:t xml:space="preserve">f</w:t>
            </w:r>
            <w:r>
              <w:rPr>
                <w:vertAlign w:val="superscript"/>
                <w:bCs/>
                <w:b/>
              </w:rPr>
              <w:t xml:space="preserve">35</w:t>
            </w:r>
            <w:r>
              <w:t xml:space="preserve"> </w:t>
            </w:r>
            <w:r>
              <w:t xml:space="preserve">(60%) || 2 ℵA,B (26%) || 12 (6%) || 23 (4%) || --- (4%).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Jana określa powyższych 26 odczytów. Jest on wyraźny i jednoznaczny, mamy więc w 1 Liście Jana co najmniej jeden obiektywnie określony archetyp. Dla kontrastu istnieje 11 +?6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i 3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Jana</w:t>
            </w:r>
          </w:p>
        </w:tc>
        <w:tc>
          <w:tcPr/>
          <w:p>
            <w:pPr>
              <w:pStyle w:val="Compact"/>
            </w:pPr>
          </w:p>
        </w:tc>
      </w:tr>
      <w:tr>
        <w:tc>
          <w:tcPr/>
          <w:p>
            <w:pPr>
              <w:pStyle w:val="Compact"/>
              <w:jc w:val="center"/>
            </w:pPr>
            <w:r>
              <w:t xml:space="preserve">02</w:t>
            </w:r>
          </w:p>
        </w:tc>
        <w:tc>
          <w:tcPr/>
          <w:p>
            <w:pPr>
              <w:pStyle w:val="Compact"/>
              <w:jc w:val="left"/>
            </w:pPr>
            <w:r>
              <w:t xml:space="preserve">εσται μεθ υμων</w:t>
            </w:r>
            <w:r>
              <w:t xml:space="preserve"> </w:t>
            </w:r>
            <w:r>
              <w:rPr>
                <w:bCs/>
                <w:b/>
              </w:rPr>
              <w:t xml:space="preserve">f</w:t>
            </w:r>
            <w:r>
              <w:rPr>
                <w:vertAlign w:val="superscript"/>
                <w:bCs/>
                <w:b/>
              </w:rPr>
              <w:t xml:space="preserve">35</w:t>
            </w:r>
            <w:r>
              <w:t xml:space="preserve"> </w:t>
            </w:r>
            <w:r>
              <w:t xml:space="preserve">(58%) || εσται μεθ ημων ℵB,0232 (40%) || --- A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05</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A (35%) || αλλα ℵB (65%);</w:t>
            </w:r>
          </w:p>
        </w:tc>
        <w:tc>
          <w:tcPr/>
          <w:p>
            <w:pPr>
              <w:pStyle w:val="Compact"/>
            </w:pPr>
          </w:p>
        </w:tc>
      </w:tr>
      <w:tr>
        <w:tc>
          <w:tcPr/>
          <w:p>
            <w:pPr>
              <w:pStyle w:val="Compact"/>
              <w:jc w:val="center"/>
            </w:pPr>
            <w:r>
              <w:t xml:space="preserve">05</w:t>
            </w:r>
          </w:p>
        </w:tc>
        <w:tc>
          <w:tcPr/>
          <w:p>
            <w:pPr>
              <w:pStyle w:val="Compact"/>
              <w:jc w:val="left"/>
            </w:pPr>
            <w:r>
              <w:t xml:space="preserve">εχομεν</w:t>
            </w:r>
            <w:r>
              <w:t xml:space="preserve"> </w:t>
            </w:r>
            <w:r>
              <w:rPr>
                <w:bCs/>
                <w:b/>
              </w:rPr>
              <w:t xml:space="preserve">f</w:t>
            </w:r>
            <w:r>
              <w:rPr>
                <w:vertAlign w:val="superscript"/>
                <w:bCs/>
                <w:b/>
              </w:rPr>
              <w:t xml:space="preserve">35</w:t>
            </w:r>
            <w:r>
              <w:t xml:space="preserve"> </w:t>
            </w:r>
            <w:r>
              <w:t xml:space="preserve">(30%) || ειχομεν ℵA,B (70%);</w:t>
            </w:r>
          </w:p>
        </w:tc>
        <w:tc>
          <w:tcPr/>
          <w:p>
            <w:pPr>
              <w:pStyle w:val="Compact"/>
            </w:pPr>
          </w:p>
        </w:tc>
      </w:tr>
      <w:tr>
        <w:tc>
          <w:tcPr/>
          <w:p>
            <w:pPr>
              <w:pStyle w:val="Compact"/>
              <w:jc w:val="center"/>
            </w:pPr>
            <w:r>
              <w:t xml:space="preserve">09</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(20%) || --- ℵA,B (80%);</w:t>
            </w:r>
          </w:p>
        </w:tc>
        <w:tc>
          <w:tcPr/>
          <w:p>
            <w:pPr>
              <w:pStyle w:val="Compact"/>
            </w:pPr>
          </w:p>
        </w:tc>
      </w:tr>
      <w:tr>
        <w:tc>
          <w:tcPr/>
          <w:p>
            <w:pPr>
              <w:pStyle w:val="Compact"/>
              <w:jc w:val="center"/>
            </w:pPr>
            <w:r>
              <w:t xml:space="preserve">12</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(30%) || αλλα ℵA,B (70%).</w:t>
            </w:r>
          </w:p>
        </w:tc>
        <w:tc>
          <w:tcPr/>
          <w:p>
            <w:pPr>
              <w:pStyle w:val="Compact"/>
            </w:pPr>
          </w:p>
        </w:tc>
      </w:tr>
    </w:tbl>
    <w:p/>
    <w:tbl>
      <w:tblPr>
        <w:tblStyle w:val="Table"/>
        <w:tblW w:type="pct" w:w="5000"/>
        <w:tblLook w:firstRow="1" w:lastRow="0" w:firstColumn="0" w:lastColumn="0" w:noHBand="0" w:noVBand="0" w:val="0020"/>
        <w:jc w:val="start"/>
      </w:tblPr>
      <w:tblGrid>
        <w:gridCol w:w="4950"/>
        <w:gridCol w:w="2970"/>
      </w:tblGrid>
      <w:tr>
        <w:trPr>
          <w:tblHeader w:val="true"/>
        </w:trPr>
        <w:tc>
          <w:tcPr/>
          <w:p>
            <w:pPr>
              <w:pStyle w:val="Compact"/>
              <w:jc w:val="center"/>
            </w:pPr>
            <w:r>
              <w:t xml:space="preserve">Miejsce</w:t>
            </w:r>
          </w:p>
        </w:tc>
        <w:tc>
          <w:tcPr/>
          <w:p>
            <w:pPr>
              <w:pStyle w:val="Compact"/>
              <w:jc w:val="left"/>
            </w:pPr>
            <w:r>
              <w:t xml:space="preserve">Odczyty</w:t>
            </w:r>
          </w:p>
        </w:tc>
      </w:tr>
      <w:tr>
        <w:tc>
          <w:tcPr/>
          <w:p>
            <w:pPr>
              <w:pStyle w:val="Compact"/>
            </w:pPr>
          </w:p>
        </w:tc>
        <w:tc>
          <w:tcPr/>
          <w:p>
            <w:pPr>
              <w:pStyle w:val="Compact"/>
              <w:jc w:val="left"/>
            </w:pPr>
            <w:r>
              <w:rPr>
                <w:bCs/>
                <w:b/>
              </w:rPr>
              <w:t xml:space="preserve">3 List Jana</w:t>
            </w:r>
          </w:p>
        </w:tc>
      </w:tr>
      <w:tr>
        <w:tc>
          <w:tcPr/>
          <w:p>
            <w:pPr>
              <w:pStyle w:val="Compact"/>
              <w:jc w:val="center"/>
            </w:pPr>
            <w:r>
              <w:t xml:space="preserve">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(25%) || --- ℵA,B,C (75%);</w:t>
            </w:r>
          </w:p>
        </w:tc>
      </w:tr>
      <w:tr>
        <w:tc>
          <w:tcPr/>
          <w:p>
            <w:pPr>
              <w:pStyle w:val="Compact"/>
              <w:jc w:val="center"/>
            </w:pPr>
            <w:r>
              <w:t xml:space="preserve">12</w:t>
            </w:r>
          </w:p>
        </w:tc>
        <w:tc>
          <w:tcPr/>
          <w:p>
            <w:pPr>
              <w:pStyle w:val="Compact"/>
              <w:jc w:val="left"/>
            </w:pPr>
            <w:r>
              <w:t xml:space="preserve">οιδαμεν</w:t>
            </w:r>
            <w:r>
              <w:t xml:space="preserve"> </w:t>
            </w:r>
            <w:r>
              <w:rPr>
                <w:bCs/>
                <w:b/>
              </w:rPr>
              <w:t xml:space="preserve">f</w:t>
            </w:r>
            <w:r>
              <w:rPr>
                <w:vertAlign w:val="superscript"/>
                <w:bCs/>
                <w:b/>
              </w:rPr>
              <w:t xml:space="preserve">35</w:t>
            </w:r>
            <w:r>
              <w:t xml:space="preserve"> </w:t>
            </w:r>
            <w:r>
              <w:t xml:space="preserve">(23%) || οιδατε (61,5%) || οιδας ℵA,B,C,048 (15,1%) || οιδα (0,4%).</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i 3 Liście Jana określa powyższych 7 odczytów. Jest on wyraźny i jednoznaczny, mamy więc w tych księgach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 Przejdźmy do Listu Judy.</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Judy</w:t>
            </w:r>
          </w:p>
        </w:tc>
        <w:tc>
          <w:tcPr/>
          <w:p>
            <w:pPr>
              <w:pStyle w:val="Compact"/>
            </w:pPr>
          </w:p>
        </w:tc>
      </w:tr>
      <w:tr>
        <w:tc>
          <w:tcPr/>
          <w:p>
            <w:pPr>
              <w:pStyle w:val="Compact"/>
              <w:jc w:val="center"/>
            </w:pPr>
            <w:r>
              <w:t xml:space="preserve">06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(30%) || αλλα P</w:t>
            </w:r>
            <w:r>
              <w:rPr>
                <w:vertAlign w:val="superscript"/>
              </w:rPr>
              <w:t xml:space="preserve">72</w:t>
            </w:r>
            <w:r>
              <w:t xml:space="preserve"> </w:t>
            </w:r>
            <w:r>
              <w:t xml:space="preserve">ℵA,B (70%);</w:t>
            </w:r>
          </w:p>
        </w:tc>
        <w:tc>
          <w:tcPr/>
          <w:p>
            <w:pPr>
              <w:pStyle w:val="Compact"/>
            </w:pPr>
          </w:p>
        </w:tc>
      </w:tr>
      <w:tr>
        <w:tc>
          <w:tcPr/>
          <w:p>
            <w:pPr>
              <w:pStyle w:val="Compact"/>
              <w:jc w:val="center"/>
            </w:pPr>
            <w:r>
              <w:t xml:space="preserve">16</w:t>
            </w:r>
          </w:p>
        </w:tc>
        <w:tc>
          <w:tcPr/>
          <w:p>
            <w:pPr>
              <w:pStyle w:val="Compact"/>
              <w:jc w:val="left"/>
            </w:pPr>
            <w:r>
              <w:t xml:space="preserve">εαυτων</w:t>
            </w:r>
            <w:r>
              <w:t xml:space="preserve"> </w:t>
            </w:r>
            <w:r>
              <w:rPr>
                <w:bCs/>
                <w:b/>
              </w:rPr>
              <w:t xml:space="preserve">f</w:t>
            </w:r>
            <w:r>
              <w:rPr>
                <w:vertAlign w:val="superscript"/>
                <w:bCs/>
                <w:b/>
              </w:rPr>
              <w:t xml:space="preserve">35</w:t>
            </w:r>
            <w:r>
              <w:t xml:space="preserve"> </w:t>
            </w:r>
            <w:r>
              <w:t xml:space="preserve">C (35%) || αυτων ℵA,B (65%);</w:t>
            </w:r>
          </w:p>
        </w:tc>
        <w:tc>
          <w:tcPr/>
          <w:p>
            <w:pPr>
              <w:pStyle w:val="Compact"/>
            </w:pPr>
          </w:p>
        </w:tc>
      </w:tr>
      <w:tr>
        <w:tc>
          <w:tcPr/>
          <w:p>
            <w:pPr>
              <w:pStyle w:val="Compact"/>
              <w:jc w:val="center"/>
            </w:pPr>
            <w:r>
              <w:t xml:space="preserve">24</w:t>
            </w:r>
          </w:p>
        </w:tc>
        <w:tc>
          <w:tcPr/>
          <w:p>
            <w:pPr>
              <w:pStyle w:val="Compact"/>
              <w:jc w:val="left"/>
            </w:pPr>
            <w:r>
              <w:t xml:space="preserve">αυτους</w:t>
            </w:r>
            <w:r>
              <w:t xml:space="preserve"> </w:t>
            </w:r>
            <w:r>
              <w:rPr>
                <w:bCs/>
                <w:b/>
              </w:rPr>
              <w:t xml:space="preserve">f</w:t>
            </w:r>
            <w:r>
              <w:rPr>
                <w:vertAlign w:val="superscript"/>
                <w:bCs/>
                <w:b/>
              </w:rPr>
              <w:t xml:space="preserve">35</w:t>
            </w:r>
            <w:r>
              <w:t xml:space="preserve"> </w:t>
            </w:r>
            <w:r>
              <w:t xml:space="preserve">(68,8%) || υμας ℵB,C (29,2%) || ημας A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Judy określają powyższe 3 odczyty. Jest on wyraźny i jednoznaczny, mamy więc w tej księdze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w:t>
      </w:r>
    </w:p>
    <w:bookmarkStart w:id="384" w:name="wniosek-1"/>
    <w:p>
      <w:pPr>
        <w:pStyle w:val="Heading3"/>
      </w:pPr>
      <w:r>
        <w:t xml:space="preserve">Wniosek</w:t>
      </w:r>
    </w:p>
    <w:p>
      <w:pPr>
        <w:pStyle w:val="FirstParagraph"/>
      </w:pPr>
      <w:r>
        <w:t xml:space="preserve">Gdy potraktujemy siedem listów jako blok lub grupę, przedstawione dowody dostarczają odpowiedzi na pytanie początkowe: w Listach Ogólnych istnieje tylko jeden obiektywnie rozpoznawalny archetyp — właśnie</w:t>
      </w:r>
      <w:r>
        <w:t xml:space="preserve"> </w:t>
      </w:r>
      <w:r>
        <w:rPr>
          <w:bCs/>
          <w:b/>
        </w:rPr>
        <w:t xml:space="preserve">f</w:t>
      </w:r>
      <w:r>
        <w:rPr>
          <w:vertAlign w:val="superscript"/>
          <w:bCs/>
          <w:b/>
        </w:rPr>
        <w:t xml:space="preserve">35</w:t>
      </w:r>
      <w:r>
        <w:t xml:space="preserve">. Jego charakterystyczny profil określa 119 odczytów wymienionych powyżej. Dla kontrastu istnieją 54 +?18 zestawy wariantów, w których</w:t>
      </w:r>
      <w:r>
        <w:t xml:space="preserve"> </w:t>
      </w:r>
      <w:r>
        <w:rPr>
          <w:bCs/>
          <w:b/>
        </w:rPr>
        <w:t xml:space="preserve">K</w:t>
      </w:r>
      <w:r>
        <w:rPr>
          <w:vertAlign w:val="superscript"/>
          <w:bCs/>
          <w:b/>
        </w:rPr>
        <w:t xml:space="preserve">x</w:t>
      </w:r>
      <w:r>
        <w:t xml:space="preserve"> </w:t>
      </w:r>
      <w:r>
        <w:t xml:space="preserve">jest poważnie podzielony, co czyni istnienie jednego archetypu</w:t>
      </w:r>
      <w:r>
        <w:t xml:space="preserve"> </w:t>
      </w:r>
      <w:r>
        <w:rPr>
          <w:bCs/>
          <w:b/>
        </w:rPr>
        <w:t xml:space="preserve">K</w:t>
      </w:r>
      <w:r>
        <w:rPr>
          <w:vertAlign w:val="superscript"/>
          <w:bCs/>
          <w:b/>
        </w:rPr>
        <w:t xml:space="preserve">x</w:t>
      </w:r>
      <w:r>
        <w:t xml:space="preserve"> </w:t>
      </w:r>
      <w:r>
        <w:t xml:space="preserve">dla tych ksiąg wysoce wątpliwym. (Nie uwzględniłem pewnej liczby mniejszych podziałów — 28 około 25%, 53 około 20%, 57 około 15% — które mogłyby skomplikować każdą próbę ustalenia archetypu</w:t>
      </w:r>
      <w:r>
        <w:t xml:space="preserve"> </w:t>
      </w:r>
      <w:r>
        <w:rPr>
          <w:bCs/>
          <w:b/>
        </w:rPr>
        <w:t xml:space="preserve">K</w:t>
      </w:r>
      <w:r>
        <w:rPr>
          <w:vertAlign w:val="superscript"/>
          <w:bCs/>
          <w:b/>
        </w:rPr>
        <w:t xml:space="preserve">x</w:t>
      </w:r>
      <w:r>
        <w:t xml:space="preserve">, zwłaszcza jeśli skład stron tych podziałów nie jest stały ani przewidywalny). Nie znam żadnych innych możliwych kandydatów. Przy obecnym stanie naszej niewiedzy w Listach Ogólnych istnieje tylko jeden kwalifikujący się kandydat na archetyp Autografu:</w:t>
      </w:r>
      <w:r>
        <w:t xml:space="preserve"> </w:t>
      </w:r>
      <w:r>
        <w:rPr>
          <w:bCs/>
          <w:b/>
        </w:rPr>
        <w:t xml:space="preserve">f</w:t>
      </w:r>
      <w:r>
        <w:rPr>
          <w:vertAlign w:val="superscript"/>
          <w:bCs/>
          <w:b/>
        </w:rPr>
        <w:t xml:space="preserve">35</w:t>
      </w:r>
      <w:r>
        <w:t xml:space="preserve">. (Jeśli w twoim mieście jest tylko jeden kandydat na burmistrza, kto zostaje wybrany?)</w:t>
      </w:r>
    </w:p>
    <w:bookmarkEnd w:id="384"/>
    <w:bookmarkEnd w:id="385"/>
    <w:bookmarkStart w:id="439" w:name="X1fed85a2d30dbb7540fb502ea753a90e442032e"/>
    <w:p>
      <w:pPr>
        <w:pStyle w:val="Heading2"/>
      </w:pPr>
      <w:r>
        <w:rPr>
          <w:iCs/>
          <w:i/>
          <w:bCs/>
          <w:b/>
        </w:rPr>
        <w:t xml:space="preserve">Concordia discors</w:t>
      </w:r>
      <w:r>
        <w:t xml:space="preserve"> </w:t>
      </w:r>
      <w:r>
        <w:t xml:space="preserve">i odczyty mniejszościowe</w:t>
      </w:r>
      <w:r>
        <w:t xml:space="preserve"> </w:t>
      </w:r>
      <w:r>
        <w:rPr>
          <w:bCs/>
          <w:b/>
        </w:rPr>
        <w:t xml:space="preserve">f</w:t>
      </w:r>
      <w:r>
        <w:rPr>
          <w:vertAlign w:val="superscript"/>
          <w:bCs/>
          <w:b/>
        </w:rPr>
        <w:t xml:space="preserve">35</w:t>
      </w:r>
      <w:r>
        <w:t xml:space="preserve"> </w:t>
      </w:r>
      <w:r>
        <w:t xml:space="preserve">w Listach Ogólnych</w:t>
      </w:r>
    </w:p>
    <w:p>
      <w:pPr>
        <w:pStyle w:val="FirstParagraph"/>
      </w:pPr>
      <w:r>
        <w:t xml:space="preserve">Ponad sto lat temu i w całej swojej twórczości John William Burgon wielokrotnie zwracał uwagę na</w:t>
      </w:r>
      <w:r>
        <w:t xml:space="preserve"> </w:t>
      </w:r>
      <w:r>
        <w:rPr>
          <w:iCs/>
          <w:i/>
        </w:rPr>
        <w:t xml:space="preserve">concordia discors</w:t>
      </w:r>
      <w:r>
        <w:t xml:space="preserve">, panujące zamieszanie i niezgodność, jakie wczesne uncjały (ℵABCD — każdy z nich osobiście skolacjonował) wykazują między sobą. Ewangelia Łukasza 11,2-4 dostarcza jednego przykładu.</w:t>
      </w:r>
    </w:p>
    <w:p>
      <w:pPr>
        <w:pStyle w:val="BlockText"/>
      </w:pPr>
      <w:r>
        <w:t xml:space="preserve">„Pięć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w:t>
      </w:r>
      <w:r>
        <w:rPr>
          <w:rStyle w:val="FootnoteReference"/>
        </w:rPr>
        <w:footnoteReference w:id="386"/>
      </w:r>
    </w:p>
    <w:bookmarkStart w:id="404" w:name="list-jakuba"/>
    <w:p>
      <w:pPr>
        <w:pStyle w:val="Heading3"/>
      </w:pPr>
      <w:r>
        <w:t xml:space="preserve">List Jakuba</w:t>
      </w:r>
    </w:p>
    <w:bookmarkStart w:id="388" w:name="concordia-discors"/>
    <w:p>
      <w:pPr>
        <w:pStyle w:val="Heading4"/>
      </w:pPr>
      <w:r>
        <w:rPr>
          <w:iCs/>
          <w:i/>
        </w:rPr>
        <w:t xml:space="preserve">Concordia discors</w:t>
      </w:r>
    </w:p>
    <w:p>
      <w:pPr>
        <w:pStyle w:val="FirstParagraph"/>
      </w:pPr>
      <w:r>
        <w:t xml:space="preserve">Cztery z tych uncjałów zachowały się w Liście Jakuba (ℵABC), do których dodaję P</w:t>
      </w:r>
      <w:r>
        <w:rPr>
          <w:vertAlign w:val="superscript"/>
        </w:rPr>
        <w:t xml:space="preserve">20,100</w:t>
      </w:r>
      <w:r>
        <w:t xml:space="preserve"> </w:t>
      </w:r>
      <w:r>
        <w:t xml:space="preserve">i 048,</w:t>
      </w:r>
      <w:r>
        <w:rPr>
          <w:rStyle w:val="FootnoteReference"/>
        </w:rPr>
        <w:footnoteReference w:id="387"/>
      </w:r>
      <w:r>
        <w:t xml:space="preserve"> </w:t>
      </w:r>
      <w:r>
        <w:t xml:space="preserve">a to, co Burgon nazywa ich „ekscentryczną skłonnością”, jest wyraźnie widoczne. Ich ekscentryczność, oglądana z perspektywy normalnego przekazu, wystarczy, by rozgrzać serce nawet najbardziej zatwardziałego ikonoklasty. Jednak właśnie ta ekscentryczność dowodzi ich niezależności, co będzie szczególnie istotne w dalszym ciągu. Przedstawiam w tabeli ich zachowanie w 120 istotnych zestawach wariantów (z wyłączeniem 5 z</w:t>
      </w:r>
      <w:r>
        <w:t xml:space="preserve"> </w:t>
      </w:r>
      <w:r>
        <w:rPr>
          <w:iCs/>
          <w:i/>
        </w:rPr>
        <w:t xml:space="preserve">rell</w:t>
      </w:r>
      <w:r>
        <w:t xml:space="preserve">) uwzględnionych w aparacie krytycznym mojego wydania greckiego Tekstu Listu Jakuba.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53</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20</w:t>
            </w:r>
          </w:p>
        </w:tc>
        <w:tc>
          <w:tcPr/>
          <w:p>
            <w:pPr>
              <w:pStyle w:val="Compact"/>
              <w:jc w:val="right"/>
            </w:pPr>
            <w:r>
              <w:t xml:space="preserve">1</w:t>
            </w:r>
          </w:p>
        </w:tc>
        <w:tc>
          <w:tcPr/>
          <w:p>
            <w:pPr>
              <w:pStyle w:val="Compact"/>
            </w:pPr>
          </w:p>
        </w:tc>
      </w:tr>
      <w:tr>
        <w:tc>
          <w:tcPr/>
          <w:p>
            <w:pPr>
              <w:pStyle w:val="Compact"/>
              <w:jc w:val="left"/>
            </w:pPr>
            <w:r>
              <w:t xml:space="preserve">z udziałem P</w:t>
            </w:r>
            <w:r>
              <w:rPr>
                <w:vertAlign w:val="superscript"/>
              </w:rPr>
              <w:t xml:space="preserve">100</w:t>
            </w:r>
          </w:p>
        </w:tc>
        <w:tc>
          <w:tcPr/>
          <w:p>
            <w:pPr>
              <w:pStyle w:val="Compact"/>
              <w:jc w:val="right"/>
            </w:pPr>
            <w:r>
              <w:t xml:space="preserve">7</w:t>
            </w:r>
          </w:p>
        </w:tc>
        <w:tc>
          <w:tcPr/>
          <w:p>
            <w:pPr>
              <w:pStyle w:val="Compact"/>
            </w:pP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37</w:t>
            </w:r>
          </w:p>
        </w:tc>
        <w:tc>
          <w:tcPr/>
          <w:p>
            <w:pPr>
              <w:pStyle w:val="Compact"/>
            </w:pPr>
          </w:p>
        </w:tc>
      </w:tr>
      <w:tr>
        <w:tc>
          <w:tcPr/>
          <w:p>
            <w:pPr>
              <w:pStyle w:val="Compact"/>
              <w:jc w:val="left"/>
            </w:pPr>
            <w:r>
              <w:t xml:space="preserve">z udziałem B</w:t>
            </w:r>
          </w:p>
        </w:tc>
        <w:tc>
          <w:tcPr/>
          <w:p>
            <w:pPr>
              <w:pStyle w:val="Compact"/>
              <w:jc w:val="right"/>
            </w:pPr>
            <w:r>
              <w:t xml:space="preserve">17</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1</w:t>
            </w:r>
          </w:p>
        </w:tc>
        <w:tc>
          <w:tcPr/>
          <w:p>
            <w:pPr>
              <w:pStyle w:val="Compact"/>
            </w:pPr>
          </w:p>
        </w:tc>
      </w:tr>
    </w:tbl>
    <w:p>
      <w:pPr>
        <w:pStyle w:val="BodyText"/>
      </w:pPr>
      <w:r>
        <w:t xml:space="preserve">W 114 istotnych zestawach wariantów (120 minus 6)</w:t>
      </w:r>
      <w:r>
        <w:t xml:space="preserve"> </w:t>
      </w:r>
      <w:r>
        <w:rPr>
          <w:bCs/>
          <w:b/>
        </w:rPr>
        <w:t xml:space="preserve">f</w:t>
      </w:r>
      <w:r>
        <w:rPr>
          <w:vertAlign w:val="superscript"/>
          <w:bCs/>
          <w:b/>
        </w:rPr>
        <w:t xml:space="preserve">35</w:t>
      </w:r>
      <w:r>
        <w:t xml:space="preserve"> </w:t>
      </w:r>
      <w:r>
        <w:t xml:space="preserve">ma jawne poświadczenie tych wczesnych uncjałów w 52%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388"/>
    <w:bookmarkStart w:id="403" w:name="odczyty-mniejszościowe-f35"/>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aparat mojego greckiego Tekstu Listu Jakuba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389" w:name="ανηλεος-213-20"/>
    <w:p>
      <w:pPr>
        <w:pStyle w:val="Heading5"/>
      </w:pPr>
      <w:r>
        <w:rPr>
          <w:iCs/>
          <w:i/>
        </w:rPr>
        <w:t xml:space="preserve">ανηλεος</w:t>
      </w:r>
      <w:r>
        <w:t xml:space="preserve"> </w:t>
      </w:r>
      <w:r>
        <w:t xml:space="preserve">2,13 (20%)</w:t>
      </w:r>
    </w:p>
    <w:p>
      <w:pPr>
        <w:pStyle w:val="FirstParagraph"/>
      </w:pPr>
      <w:r>
        <w:t xml:space="preserve">Jedyne manuskrypty</w:t>
      </w:r>
      <w:r>
        <w:t xml:space="preserve"> </w:t>
      </w:r>
      <w:r>
        <w:rPr>
          <w:bCs/>
          <w:b/>
        </w:rPr>
        <w:t xml:space="preserve">f</w:t>
      </w:r>
      <w:r>
        <w:rPr>
          <w:vertAlign w:val="superscript"/>
          <w:bCs/>
          <w:b/>
        </w:rPr>
        <w:t xml:space="preserve">35</w:t>
      </w:r>
      <w:r>
        <w:t xml:space="preserve"> </w:t>
      </w:r>
      <w:r>
        <w:t xml:space="preserve">uwzględnione w</w:t>
      </w:r>
      <w:r>
        <w:t xml:space="preserve"> </w:t>
      </w:r>
      <w:r>
        <w:rPr>
          <w:iCs/>
          <w:i/>
        </w:rPr>
        <w:t xml:space="preserve">ECM</w:t>
      </w:r>
      <w:r>
        <w:t xml:space="preserve">, 18 i 35, fałszywie przypisano do innego wariantu, tak że odczytu tego nawet nie wymieniono w</w:t>
      </w:r>
      <w:r>
        <w:t xml:space="preserve"> </w:t>
      </w:r>
      <w:r>
        <w:rPr>
          <w:iCs/>
          <w:i/>
        </w:rPr>
        <w:t xml:space="preserve">ECM</w:t>
      </w:r>
      <w:r>
        <w:t xml:space="preserve">, nie wymienił go też von Soden. Bez najmniejszej wątpliwości jest to odczyt</w:t>
      </w:r>
      <w:r>
        <w:t xml:space="preserve"> </w:t>
      </w:r>
      <w:r>
        <w:rPr>
          <w:bCs/>
          <w:b/>
        </w:rPr>
        <w:t xml:space="preserve">f</w:t>
      </w:r>
      <w:r>
        <w:rPr>
          <w:vertAlign w:val="superscript"/>
          <w:bCs/>
          <w:b/>
        </w:rPr>
        <w:t xml:space="preserve">35</w:t>
      </w:r>
      <w:r>
        <w:t xml:space="preserve">, lecz dopiero w miarę kolacjonowania kolejnych manuskryptów dowiemy się, czy przetrwał w innych liniach przekazu. Trudno uwierzyć, by ktoś wprowadził formę attycką w średniowieczu, dlatego</w:t>
      </w:r>
      <w:r>
        <w:t xml:space="preserve"> </w:t>
      </w:r>
      <w:r>
        <w:rPr>
          <w:bCs/>
          <w:b/>
        </w:rPr>
        <w:t xml:space="preserve">f</w:t>
      </w:r>
      <w:r>
        <w:rPr>
          <w:vertAlign w:val="superscript"/>
          <w:bCs/>
          <w:b/>
        </w:rPr>
        <w:t xml:space="preserve">35</w:t>
      </w:r>
      <w:r>
        <w:t xml:space="preserve"> </w:t>
      </w:r>
      <w:r>
        <w:t xml:space="preserve">jest wczesna, a moim zdaniem ten odczyt jest najprawdopodobniej oryginalny.</w:t>
      </w:r>
    </w:p>
    <w:bookmarkEnd w:id="389"/>
    <w:bookmarkStart w:id="391" w:name="ιθυνοντος-34-21"/>
    <w:p>
      <w:pPr>
        <w:pStyle w:val="Heading5"/>
      </w:pPr>
      <w:r>
        <w:rPr>
          <w:iCs/>
          <w:i/>
        </w:rPr>
        <w:t xml:space="preserve">ιθυνοντος</w:t>
      </w:r>
      <w:r>
        <w:t xml:space="preserve"> </w:t>
      </w:r>
      <w:r>
        <w:t xml:space="preserve">3,4 (21%)</w:t>
      </w:r>
    </w:p>
    <w:p>
      <w:pPr>
        <w:pStyle w:val="FirstParagraph"/>
      </w:pPr>
      <w:r>
        <w:t xml:space="preserve">Wszystkie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w:t>
      </w:r>
      <w:r>
        <w:rPr>
          <w:rStyle w:val="FootnoteReference"/>
        </w:rPr>
        <w:footnoteReference w:id="390"/>
      </w:r>
      <w:r>
        <w:t xml:space="preserve"> </w:t>
      </w:r>
      <w:r>
        <w:t xml:space="preserve">ma odrębny profil, niektóre radykalnie odrębny. Jednak trzy z nich (1270, 1297, 1598) są w oczywisty sposób spokrewnione i przypuszczalnie miały niezbyt odległego wspólnego przodka. Mamy zatem sześć niezależnych linii przekazu (poza</w:t>
      </w:r>
      <w:r>
        <w:t xml:space="preserve"> </w:t>
      </w:r>
      <w:r>
        <w:rPr>
          <w:bCs/>
          <w:b/>
        </w:rPr>
        <w:t xml:space="preserve">f</w:t>
      </w:r>
      <w:r>
        <w:rPr>
          <w:vertAlign w:val="superscript"/>
          <w:bCs/>
          <w:b/>
        </w:rPr>
        <w:t xml:space="preserve">35</w:t>
      </w:r>
      <w:r>
        <w:t xml:space="preserve">), które prawdopodobnie sięgają wczesnych wieków. Chwileczkę, rękopis kursywny 1595, choć dość odmienny od tych trzech, prawdopodobnie połączyłby się z nimi w V wieku, pozostaje więc pięć linii. Ponadto wraz ze wzrostem odległości w czasie coraz mniej prawdopodobne staje się wprowadzenie starożytnej klasycznej pisowni. Odczyt ten jest z pewnością starożytny, a moim zdaniem najprawdopodobniej oryginalny.</w:t>
      </w:r>
    </w:p>
    <w:bookmarkEnd w:id="391"/>
    <w:bookmarkStart w:id="394" w:name="δυναμενος-32-ℵ-23"/>
    <w:p>
      <w:pPr>
        <w:pStyle w:val="Heading5"/>
      </w:pPr>
      <w:r>
        <w:rPr>
          <w:iCs/>
          <w:i/>
        </w:rPr>
        <w:t xml:space="preserve">δυναμενος</w:t>
      </w:r>
      <w:r>
        <w:t xml:space="preserve"> </w:t>
      </w:r>
      <w:r>
        <w:t xml:space="preserve">3,2 ℵ (23%)</w:t>
      </w:r>
    </w:p>
    <w:p>
      <w:pPr>
        <w:pStyle w:val="FirstParagraph"/>
      </w:pPr>
      <w:r>
        <w:t xml:space="preserve">Ku mojemu zdziwieniu między ośmioma manuskryptami spoza</w:t>
      </w:r>
      <w:r>
        <w:t xml:space="preserve"> </w:t>
      </w:r>
      <w:r>
        <w:rPr>
          <w:bCs/>
          <w:b/>
        </w:rPr>
        <w:t xml:space="preserve">f</w:t>
      </w:r>
      <w:r>
        <w:rPr>
          <w:vertAlign w:val="superscript"/>
          <w:bCs/>
          <w:b/>
        </w:rPr>
        <w:t xml:space="preserve">35</w:t>
      </w:r>
      <w:r>
        <w:t xml:space="preserve">, które</w:t>
      </w:r>
      <w:r>
        <w:t xml:space="preserve"> </w:t>
      </w:r>
      <w:r>
        <w:rPr>
          <w:iCs/>
          <w:i/>
        </w:rPr>
        <w:t xml:space="preserve">ECM</w:t>
      </w:r>
      <w:r>
        <w:t xml:space="preserve"> </w:t>
      </w:r>
      <w:r>
        <w:t xml:space="preserve">wymienia dla ιθυνοντος, a 23 manuskryptami spoza</w:t>
      </w:r>
      <w:r>
        <w:t xml:space="preserve"> </w:t>
      </w:r>
      <w:r>
        <w:rPr>
          <w:bCs/>
          <w:b/>
        </w:rPr>
        <w:t xml:space="preserve">f</w:t>
      </w:r>
      <w:r>
        <w:rPr>
          <w:vertAlign w:val="superscript"/>
          <w:bCs/>
          <w:b/>
        </w:rPr>
        <w:t xml:space="preserve">35</w:t>
      </w:r>
      <w:r>
        <w:t xml:space="preserve"> </w:t>
      </w:r>
      <w:r>
        <w:t xml:space="preserve">wymienionymi dla δυναμενος nie ma</w:t>
      </w:r>
      <w:r>
        <w:t xml:space="preserve"> </w:t>
      </w:r>
      <w:r>
        <w:rPr>
          <w:u w:val="single"/>
          <w:bCs/>
          <w:b/>
        </w:rPr>
        <w:t xml:space="preserve">absolutnie żadnego</w:t>
      </w:r>
      <w:r>
        <w:t xml:space="preserve"> </w:t>
      </w:r>
      <w:r>
        <w:t xml:space="preserve">pokrywania się. Ku mojemu dalszemu zdziwieniu wśród tych 23 nie ma ani jednego manuskryptu bizantyjskiego.</w:t>
      </w:r>
      <w:r>
        <w:rPr>
          <w:rStyle w:val="FootnoteReference"/>
        </w:rPr>
        <w:footnoteReference w:id="392"/>
      </w:r>
      <w:r>
        <w:t xml:space="preserve"> </w:t>
      </w:r>
      <w:r>
        <w:rPr>
          <w:bCs/>
          <w:b/>
        </w:rPr>
        <w:t xml:space="preserve">f</w:t>
      </w:r>
      <w:r>
        <w:rPr>
          <w:vertAlign w:val="superscript"/>
          <w:bCs/>
          <w:b/>
        </w:rPr>
        <w:t xml:space="preserve">35</w:t>
      </w:r>
      <w:r>
        <w:t xml:space="preserve"> </w:t>
      </w:r>
      <w:r>
        <w:t xml:space="preserve">jest więc tutaj całkowicie niezależna od</w:t>
      </w:r>
      <w:r>
        <w:t xml:space="preserve"> </w:t>
      </w:r>
      <w:r>
        <w:rPr>
          <w:bCs/>
          <w:b/>
        </w:rPr>
        <w:t xml:space="preserve">K</w:t>
      </w:r>
      <w:r>
        <w:rPr>
          <w:vertAlign w:val="superscript"/>
          <w:bCs/>
          <w:b/>
        </w:rPr>
        <w:t xml:space="preserve">x</w:t>
      </w:r>
      <w:r>
        <w:t xml:space="preserve">, a mimo to dołącza do niej ℵ, wiemy zatem już, że odczyt jest wczesny. Przeanalizujmy jednak rękopisy kursywne.</w:t>
      </w:r>
    </w:p>
    <w:p>
      <w:pPr>
        <w:pStyle w:val="BodyText"/>
      </w:pPr>
      <w:r>
        <w:t xml:space="preserve">Ponieważ żadne dwa nie mają identycznego profilu, 23 są przypuszczalnie niezależne w swoim pokoleniu. Istnieje jednak kilka par mających przypuszczalnie niezbyt odległego wspólnego przodka — do tej kategorii zaliczam 206-429, 254-1524 i 630-2200. Pierwsze dwie pary są jednak same ze sobą spokrewnione i mają wspólnego praprzodka. Do przodka 630-2200 dołącza 2138, a do ich praprzodka 2495. Manuskrypty 621 i 2412 spotykają się kilka pokoleń wcześniej. Wyobrażam sobie zatem, że w V wieku mamy szesnaście niezależnych linii przekazu (poza</w:t>
      </w:r>
      <w:r>
        <w:t xml:space="preserve"> </w:t>
      </w:r>
      <w:r>
        <w:rPr>
          <w:bCs/>
          <w:b/>
        </w:rPr>
        <w:t xml:space="preserve">f</w:t>
      </w:r>
      <w:r>
        <w:rPr>
          <w:vertAlign w:val="superscript"/>
          <w:bCs/>
          <w:b/>
        </w:rPr>
        <w:t xml:space="preserve">35</w:t>
      </w:r>
      <w:r>
        <w:t xml:space="preserve">). Gdy cofniemy się do III wieku, nadal powinniśmy mieć co najmniej sześć niezależnych linii ręczących za δυναμενος (podobnie jak za ιθυνοντος), lecz w każdym przypadku są to</w:t>
      </w:r>
      <w:r>
        <w:t xml:space="preserve"> </w:t>
      </w:r>
      <w:r>
        <w:rPr>
          <w:bCs/>
          <w:b/>
        </w:rPr>
        <w:t xml:space="preserve">całkowicie odmienne</w:t>
      </w:r>
      <w:r>
        <w:t xml:space="preserve"> </w:t>
      </w:r>
      <w:r>
        <w:t xml:space="preserve">linie!!! Oznacza to, że</w:t>
      </w:r>
      <w:r>
        <w:t xml:space="preserve"> </w:t>
      </w:r>
      <w:r>
        <w:rPr>
          <w:bCs/>
          <w:b/>
        </w:rPr>
        <w:t xml:space="preserve">f</w:t>
      </w:r>
      <w:r>
        <w:rPr>
          <w:vertAlign w:val="superscript"/>
          <w:bCs/>
          <w:b/>
        </w:rPr>
        <w:t xml:space="preserve">35</w:t>
      </w:r>
      <w:r>
        <w:t xml:space="preserve"> </w:t>
      </w:r>
      <w:r>
        <w:t xml:space="preserve">jest niezależna od wszystkich jedenastu linii (z pewnością — przy ιθυνοντος</w:t>
      </w:r>
      <w:r>
        <w:t xml:space="preserve"> </w:t>
      </w:r>
      <w:r>
        <w:rPr>
          <w:bCs/>
          <w:b/>
        </w:rPr>
        <w:t xml:space="preserve">f</w:t>
      </w:r>
      <w:r>
        <w:rPr>
          <w:vertAlign w:val="superscript"/>
          <w:bCs/>
          <w:b/>
        </w:rPr>
        <w:t xml:space="preserve">35</w:t>
      </w:r>
      <w:r>
        <w:t xml:space="preserve"> </w:t>
      </w:r>
      <w:r>
        <w:t xml:space="preserve">jest niezależna od sześciu wspierających δυναμενος, a przy δυναμενος jest niezależna od pięciu wspierających ιθυνοντος, jest zatem niezależna od wszystkich jedenastu).</w:t>
      </w:r>
    </w:p>
    <w:p>
      <w:pPr>
        <w:pStyle w:val="BodyText"/>
      </w:pPr>
      <w:r>
        <w:t xml:space="preserve">Odczyt ten jest z pewnością starożytny, niczego w ogóle nie zawdzięcza</w:t>
      </w:r>
      <w:r>
        <w:t xml:space="preserve"> </w:t>
      </w:r>
      <w:r>
        <w:rPr>
          <w:bCs/>
          <w:b/>
        </w:rPr>
        <w:t xml:space="preserve">K</w:t>
      </w:r>
      <w:r>
        <w:rPr>
          <w:vertAlign w:val="superscript"/>
          <w:bCs/>
          <w:b/>
        </w:rPr>
        <w:t xml:space="preserve">x</w:t>
      </w:r>
      <w:r>
        <w:t xml:space="preserve"> </w:t>
      </w:r>
      <w:r>
        <w:t xml:space="preserve">(masie bizantyjskiej), a moim zdaniem jest najprawdopodobniej oryginalny.</w:t>
      </w:r>
      <w:r>
        <w:rPr>
          <w:rStyle w:val="FootnoteReference"/>
        </w:rPr>
        <w:footnoteReference w:id="393"/>
      </w:r>
    </w:p>
    <w:bookmarkEnd w:id="394"/>
    <w:bookmarkStart w:id="395" w:name="ημων-414-26"/>
    <w:p>
      <w:pPr>
        <w:pStyle w:val="Heading5"/>
      </w:pPr>
      <w:r>
        <w:rPr>
          <w:iCs/>
          <w:i/>
        </w:rPr>
        <w:t xml:space="preserve">ημων</w:t>
      </w:r>
      <w:r>
        <w:t xml:space="preserve"> </w:t>
      </w:r>
      <w:r>
        <w:t xml:space="preserve">4,14 (26%)</w:t>
      </w:r>
    </w:p>
    <w:p>
      <w:pPr>
        <w:pStyle w:val="FirstParagraph"/>
      </w:pPr>
      <w:r>
        <w:t xml:space="preserve">Wariant ten dzieli 206-429, 254-1524 i 630-2200 z δυναμενος, a reprezentują one tylko dwie linie przekazu, dzieli także niezależne 1490 i 1831. Pozostaje 10 dalszych manuskryptów spoza</w:t>
      </w:r>
      <w:r>
        <w:t xml:space="preserve"> </w:t>
      </w:r>
      <w:r>
        <w:rPr>
          <w:bCs/>
          <w:b/>
        </w:rPr>
        <w:t xml:space="preserve">f</w:t>
      </w:r>
      <w:r>
        <w:rPr>
          <w:vertAlign w:val="superscript"/>
          <w:bCs/>
          <w:b/>
        </w:rPr>
        <w:t xml:space="preserve">35</w:t>
      </w:r>
      <w:r>
        <w:t xml:space="preserve"> </w:t>
      </w:r>
      <w:r>
        <w:t xml:space="preserve">wymienionych dla tego wariantu, z których sześć jest bizantyjskich (lecz wszystkie są dość odmienne). Spośród tych dziesięciu tylko dwa połączyłyby się przed V wiekiem, co pozostawia nam, jak sobie wyobrażam, trzynaście niezależnych linii przekazu (poza</w:t>
      </w:r>
      <w:r>
        <w:t xml:space="preserve"> </w:t>
      </w:r>
      <w:r>
        <w:rPr>
          <w:bCs/>
          <w:b/>
        </w:rPr>
        <w:t xml:space="preserve">f</w:t>
      </w:r>
      <w:r>
        <w:rPr>
          <w:vertAlign w:val="superscript"/>
          <w:bCs/>
          <w:b/>
        </w:rPr>
        <w:t xml:space="preserve">35</w:t>
      </w:r>
      <w:r>
        <w:t xml:space="preserve">) sięgających V wieku. Gdy cofniemy się do III wieku, nadal powinniśmy mieć co najmniej sześć niezależnych linii przekazu dla ημων. Sześć manuskryptów bizantyjskich w oczywisty sposób nie reprezentuje</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5"/>
    <w:bookmarkStart w:id="396" w:name="γαρ-411-26"/>
    <w:p>
      <w:pPr>
        <w:pStyle w:val="Heading5"/>
      </w:pPr>
      <w:r>
        <w:rPr>
          <w:iCs/>
          <w:i/>
        </w:rPr>
        <w:t xml:space="preserve">γαρ</w:t>
      </w:r>
      <w:r>
        <w:t xml:space="preserve"> </w:t>
      </w:r>
      <w:r>
        <w:t xml:space="preserve">4,11 (26%)</w:t>
      </w:r>
    </w:p>
    <w:p>
      <w:pPr>
        <w:pStyle w:val="FirstParagraph"/>
      </w:pPr>
      <w:r>
        <w:t xml:space="preserve">Wykaz manuskryptów jest tutaj podobny do wykazu dla δυναμενος, dzieli z nim 13 spośród 16 niezależnych linii i zyskuje siedem nowych (jedna jest wspólna z ιθυνοντος), co daje 20 (poza</w:t>
      </w:r>
      <w:r>
        <w:t xml:space="preserve"> </w:t>
      </w:r>
      <w:r>
        <w:rPr>
          <w:bCs/>
          <w:b/>
        </w:rPr>
        <w:t xml:space="preserve">f</w:t>
      </w:r>
      <w:r>
        <w:rPr>
          <w:vertAlign w:val="superscript"/>
          <w:bCs/>
          <w:b/>
        </w:rPr>
        <w:t xml:space="preserve">35</w:t>
      </w:r>
      <w:r>
        <w:t xml:space="preserve">). Odczyt ten jest więc również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6"/>
    <w:bookmarkStart w:id="397" w:name="ου-24-ℵ-ac-268"/>
    <w:p>
      <w:pPr>
        <w:pStyle w:val="Heading5"/>
      </w:pPr>
      <w:r>
        <w:rPr>
          <w:iCs/>
          <w:i/>
        </w:rPr>
        <w:t xml:space="preserve">ου</w:t>
      </w:r>
      <w:r>
        <w:t xml:space="preserve"> </w:t>
      </w:r>
      <w:r>
        <w:t xml:space="preserve">2,4 ℵ A,C (26,8%)</w:t>
      </w:r>
    </w:p>
    <w:p>
      <w:pPr>
        <w:pStyle w:val="FirstParagraph"/>
      </w:pPr>
      <w:r>
        <w:t xml:space="preserve">Ponieważ odczyt ten jest również wspierany przez ℵ A,C, nie ma wątpliwości co do jego wieku. Wykaz manuskryptów odtwarza tutaj wszystkie poza siedmioma manuskryptami z wykazu dla γαρ, lecz zawiera około dwudziestu dalszych manuskryptów. Ponieważ jest to jeden z zestawów uwzględnionych w</w:t>
      </w:r>
      <w:r>
        <w:t xml:space="preserve"> </w:t>
      </w:r>
      <w:r>
        <w:rPr>
          <w:iCs/>
          <w:i/>
        </w:rPr>
        <w:t xml:space="preserve">TuT</w:t>
      </w:r>
      <w:r>
        <w:t xml:space="preserve">, odsetek jest dokładny.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7"/>
    <w:bookmarkStart w:id="398" w:name="επειτα-414-295"/>
    <w:p>
      <w:pPr>
        <w:pStyle w:val="Heading5"/>
      </w:pPr>
      <w:r>
        <w:rPr>
          <w:iCs/>
          <w:i/>
        </w:rPr>
        <w:t xml:space="preserve">επειτα</w:t>
      </w:r>
      <w:r>
        <w:t xml:space="preserve"> </w:t>
      </w:r>
      <w:r>
        <w:t xml:space="preserve">4,14 (29,5%)</w:t>
      </w:r>
    </w:p>
    <w:p>
      <w:pPr>
        <w:pStyle w:val="FirstParagraph"/>
      </w:pPr>
      <w:r>
        <w:t xml:space="preserve">Wykaz manuskryptów jest tutaj dość podobny do wykazu dla γαρ, lecz jest ich mniej. Mimo to istnieje około 15 niezależnych linii przekazu.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8"/>
    <w:bookmarkStart w:id="399" w:name="νομου-123-30"/>
    <w:p>
      <w:pPr>
        <w:pStyle w:val="Heading5"/>
      </w:pPr>
      <w:r>
        <w:rPr>
          <w:iCs/>
          <w:i/>
        </w:rPr>
        <w:t xml:space="preserve">νομου</w:t>
      </w:r>
      <w:r>
        <w:t xml:space="preserve"> </w:t>
      </w:r>
      <w:r>
        <w:t xml:space="preserve">1,23 (30%)</w:t>
      </w:r>
    </w:p>
    <w:p>
      <w:pPr>
        <w:pStyle w:val="FirstParagraph"/>
      </w:pPr>
      <w:r>
        <w:t xml:space="preserve">Wykaz jest tutaj nieco inny. Jedna niezależna linia jest wspólna z ιθυνοντος, trzy z δυναμενος, dwie z ημων i dwie z γαρ, co daje już osiem niezależnych linii. Dochodzi tu jednak sześć nowych linii niezależnego przekazu, których nie ma żaden z pozostałych odczytów. Jak sobie zatem wyobrażam, w V wieku mamy 14 niezależnych linii (poza</w:t>
      </w:r>
      <w:r>
        <w:t xml:space="preserve"> </w:t>
      </w:r>
      <w:r>
        <w:rPr>
          <w:bCs/>
          <w:b/>
        </w:rPr>
        <w:t xml:space="preserve">f</w:t>
      </w:r>
      <w:r>
        <w:rPr>
          <w:vertAlign w:val="superscript"/>
          <w:bCs/>
          <w:b/>
        </w:rPr>
        <w:t xml:space="preserve">35</w:t>
      </w:r>
      <w:r>
        <w:t xml:space="preserve">). Gdy cofniemy się do III wieku, ponownie nadal powinniśmy mieć co najmniej sześć niezależnych linii przekazu dla νομου, niekoniecznie doskonale pokrywających się z którąkolwiek z pozostałych grup. Istnieje kilka manuskryptów bizantyjskich, które w oczywisty sposób nie reprezentują</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9"/>
    <w:bookmarkStart w:id="400" w:name="λαμπραν-εσθητα-23-30"/>
    <w:p>
      <w:pPr>
        <w:pStyle w:val="Heading5"/>
      </w:pPr>
      <w:r>
        <w:rPr>
          <w:iCs/>
          <w:i/>
        </w:rPr>
        <w:t xml:space="preserve">λαμπραν εσθητα</w:t>
      </w:r>
      <w:r>
        <w:t xml:space="preserve"> </w:t>
      </w:r>
      <w:r>
        <w:t xml:space="preserve">2,3 (30%)</w:t>
      </w:r>
    </w:p>
    <w:p>
      <w:pPr>
        <w:pStyle w:val="FirstParagraph"/>
      </w:pPr>
      <w:r>
        <w:t xml:space="preserve">Wykaz manuskryptów jest tutaj dość podobny do wykazu dla γαρ itd., dzieli jedną linię z ιθυνοντος, której nie ma żaden z pozostałych odczytów. Dodaje trzy nowe niezależne linie, dowody są tu zatem bardzo podobne do pozostałych.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p>
      <w:pPr>
        <w:pStyle w:val="BodyText"/>
      </w:pPr>
      <w:r>
        <w:t xml:space="preserve">Oczywiście obraz, który dotąd widzieliśmy, będzie prawdziwy dla wszystkich innych odczytów mniejszościowych, gdy przejdziemy do 35%, 40% itd.</w:t>
      </w:r>
    </w:p>
    <w:bookmarkEnd w:id="400"/>
    <w:bookmarkStart w:id="402" w:name="wniosek-2"/>
    <w:p>
      <w:pPr>
        <w:pStyle w:val="Heading5"/>
      </w:pPr>
      <w:r>
        <w:rPr>
          <w:iCs/>
          <w:i/>
        </w:rPr>
        <w:t xml:space="preserve">Wniosek</w:t>
      </w:r>
    </w:p>
    <w:p>
      <w:pPr>
        <w:pStyle w:val="FirstParagraph"/>
      </w:pPr>
      <w:r>
        <w:rPr>
          <w:bCs/>
          <w:b/>
        </w:rPr>
        <w:t xml:space="preserve">f</w:t>
      </w:r>
      <w:r>
        <w:rPr>
          <w:vertAlign w:val="superscript"/>
          <w:bCs/>
          <w:b/>
        </w:rPr>
        <w:t xml:space="preserve">35</w:t>
      </w:r>
      <w:r>
        <w:t xml:space="preserve"> </w:t>
      </w:r>
      <w:r>
        <w:t xml:space="preserve">jest starożytna i niczego nie zawdzięcza</w:t>
      </w:r>
      <w:r>
        <w:t xml:space="preserve"> </w:t>
      </w:r>
      <w:r>
        <w:rPr>
          <w:bCs/>
          <w:b/>
        </w:rPr>
        <w:t xml:space="preserve">K</w:t>
      </w:r>
      <w:r>
        <w:rPr>
          <w:vertAlign w:val="superscript"/>
          <w:bCs/>
          <w:b/>
        </w:rPr>
        <w:t xml:space="preserve">x</w:t>
      </w:r>
      <w:r>
        <w:t xml:space="preserve">. Q.E.D. Cóż, oczywiście niezupełnie. Nie żyłem w V ani w III wieku, nie mogę więc dowieść, że przedstawiony przeze mnie obraz czasowy jest poprawny. Jednak po dodaniu dowodów przedstawionych tutaj do tych przedstawionych w części „Kiedy mamy do czynienia z «recenzją»?” z czystym sumieniem twierdzę, że większość wspomnianych niezależnych linii — ιθυνοντος 5, δυναμενος 16, ημων 9, γαρ 6, νομου 6, λαμπραν εσθητα 3, co równa się</w:t>
      </w:r>
      <w:r>
        <w:t xml:space="preserve"> </w:t>
      </w:r>
      <w:r>
        <w:rPr>
          <w:u w:val="single"/>
          <w:bCs/>
          <w:b/>
        </w:rPr>
        <w:t xml:space="preserve">45</w:t>
      </w:r>
      <w:r>
        <w:t xml:space="preserve"> </w:t>
      </w:r>
      <w:r>
        <w:t xml:space="preserve">— prawdopodobnie sięga co najmniej V wieku. Jest wysoce nieprawdopodobne, by w III wieku 45 linii zredukowało się do mniej niż 15. (A wszystkie te 15 wspierają</w:t>
      </w:r>
      <w:r>
        <w:t xml:space="preserve"> </w:t>
      </w:r>
      <w:r>
        <w:rPr>
          <w:bCs/>
          <w:b/>
        </w:rPr>
        <w:t xml:space="preserve">f</w:t>
      </w:r>
      <w:r>
        <w:rPr>
          <w:vertAlign w:val="superscript"/>
          <w:bCs/>
          <w:b/>
        </w:rPr>
        <w:t xml:space="preserve">35</w:t>
      </w:r>
      <w:r>
        <w:t xml:space="preserve"> </w:t>
      </w:r>
      <w:r>
        <w:t xml:space="preserve">przeciwko</w:t>
      </w:r>
      <w:r>
        <w:t xml:space="preserve"> </w:t>
      </w:r>
      <w:r>
        <w:rPr>
          <w:bCs/>
          <w:b/>
        </w:rPr>
        <w:t xml:space="preserve">K</w:t>
      </w:r>
      <w:r>
        <w:rPr>
          <w:vertAlign w:val="superscript"/>
          <w:bCs/>
          <w:b/>
        </w:rPr>
        <w:t xml:space="preserve">x</w:t>
      </w:r>
      <w:r>
        <w:t xml:space="preserve">, w takim czy innym miejscu — na tej samej zasadzie w innych miejscach idą z</w:t>
      </w:r>
      <w:r>
        <w:t xml:space="preserve"> </w:t>
      </w:r>
      <w:r>
        <w:rPr>
          <w:bCs/>
          <w:b/>
        </w:rPr>
        <w:t xml:space="preserve">K</w:t>
      </w:r>
      <w:r>
        <w:rPr>
          <w:vertAlign w:val="superscript"/>
          <w:bCs/>
          <w:b/>
        </w:rPr>
        <w:t xml:space="preserve">x</w:t>
      </w:r>
      <w:r>
        <w:t xml:space="preserve"> </w:t>
      </w:r>
      <w:r>
        <w:t xml:space="preserve">przeciwko</w:t>
      </w:r>
      <w:r>
        <w:t xml:space="preserve"> </w:t>
      </w:r>
      <w:r>
        <w:rPr>
          <w:bCs/>
          <w:b/>
        </w:rPr>
        <w:t xml:space="preserve">f</w:t>
      </w:r>
      <w:r>
        <w:rPr>
          <w:vertAlign w:val="superscript"/>
          <w:bCs/>
          <w:b/>
        </w:rPr>
        <w:t xml:space="preserve">35</w:t>
      </w:r>
      <w:r>
        <w:t xml:space="preserve">, zatem</w:t>
      </w:r>
      <w:r>
        <w:t xml:space="preserve"> </w:t>
      </w:r>
      <w:r>
        <w:rPr>
          <w:bCs/>
          <w:b/>
        </w:rPr>
        <w:t xml:space="preserve">K</w:t>
      </w:r>
      <w:r>
        <w:rPr>
          <w:vertAlign w:val="superscript"/>
          <w:bCs/>
          <w:b/>
        </w:rPr>
        <w:t xml:space="preserve">x</w:t>
      </w:r>
      <w:r>
        <w:t xml:space="preserve"> </w:t>
      </w:r>
      <w:r>
        <w:t xml:space="preserve">również jest starożytna). Zwracam uwagę na słowa Kilpatricka.</w:t>
      </w:r>
    </w:p>
    <w:p>
      <w:pPr>
        <w:pStyle w:val="BlockText"/>
      </w:pPr>
      <w:r>
        <w:t xml:space="preserve">Postępowanie Orygenesa z Ewangelią Mateusza 19,19 ma znaczenie także z dwóch innych względów. Po pierwsze, był on prawdopodobnie najbardziej wpływowym komentatorem starożytnego Kościoła, a mimo to jego koniektura w tym miejscu najwyraźniej wpłynęła tylko na jeden manuskrypt lokalnego przekładu Nowego Testamentu. Wydaje się, że nie miała żadnego wpływu na tradycję grecką. Od III wieku nawet Orygenes nie mógł skutecznie zmienić tekstu.</w:t>
      </w:r>
    </w:p>
    <w:p>
      <w:pPr>
        <w:pStyle w:val="BlockText"/>
      </w:pPr>
      <w:r>
        <w:t xml:space="preserve">To prowadzi nas do drugiego znaczącego punktu — jego daty. Od początku III wieku nie można już było korzystać ze swobody zmieniania tekstu, która istniała wcześniej. Tacjan jest ostatnim autorem, o którym mamy wyraźną informację, że dokonywał celowych zmian w tekście. Między Tacjanem a Orygenesem opinia chrześcijańska zmieniła się tak bardzo, że dokonywanie zmian w tekście, niezależnie od tego, czy były nieszkodliwe, czy nie, nie było już możliwe.</w:t>
      </w:r>
      <w:r>
        <w:rPr>
          <w:rStyle w:val="FootnoteReference"/>
        </w:rPr>
        <w:footnoteReference w:id="401"/>
      </w:r>
    </w:p>
    <w:p>
      <w:pPr>
        <w:pStyle w:val="FirstParagraph"/>
      </w:pPr>
      <w:r>
        <w:t xml:space="preserve">Wydaje mi się, że uwaga Kilpatricka jest oczywista. Najwyraźniej zdarzały się sporadyczne wyjątki, zwłaszcza na odległych obszarach, takich jak Egipt, gdzie nie mówiono już po grecku. Po kampanii Dioklecjana (303) większość mnichów po prostu kopiowała to, co miała przed sobą. Większość z 45 wspomnianych wyżej linii przekazu prawdopodobnie istniała już w roku 300).</w:t>
      </w:r>
    </w:p>
    <w:bookmarkEnd w:id="402"/>
    <w:bookmarkEnd w:id="403"/>
    <w:bookmarkEnd w:id="404"/>
    <w:bookmarkStart w:id="418" w:name="list-piotra"/>
    <w:p>
      <w:pPr>
        <w:pStyle w:val="Heading3"/>
      </w:pPr>
      <w:r>
        <w:t xml:space="preserve">1 List Piotra</w:t>
      </w:r>
    </w:p>
    <w:p>
      <w:pPr>
        <w:pStyle w:val="FirstParagraph"/>
      </w:pPr>
      <w:r>
        <w:t xml:space="preserve">Podobnie jak w przypadku Listu Jakuba,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05" w:name="concordia-discors-1"/>
    <w:p>
      <w:pPr>
        <w:pStyle w:val="Heading4"/>
      </w:pPr>
      <w:r>
        <w:rPr>
          <w:iCs/>
          <w:i/>
        </w:rPr>
        <w:t xml:space="preserve">Concordia discors</w:t>
      </w:r>
    </w:p>
    <w:p>
      <w:pPr>
        <w:pStyle w:val="FirstParagraph"/>
      </w:pPr>
      <w:r>
        <w:t xml:space="preserve">Cztery z tych uncjałów zachowały się w 1 Liście Piotra (ℵABC), do których dodaję P</w:t>
      </w:r>
      <w:r>
        <w:rPr>
          <w:vertAlign w:val="superscript"/>
        </w:rPr>
        <w:t xml:space="preserve">72</w:t>
      </w:r>
      <w:r>
        <w:t xml:space="preserve"> </w:t>
      </w:r>
      <w:r>
        <w:t xml:space="preserve">(niezachowany jeszcze w czasach Burgona), a to, co Burgon nazywa ich „ekscentryczną skłonnością”, jest wyraźnie widoczne. Ekscentryczność ta dowodzi ich niezależności, co będzie szczególnie istotne w dalszym ciągu. Przedstawiam w tabeli ich zachowanie w 141 istotnych zestawach wariantów (pomijając 13 z</w:t>
      </w:r>
      <w:r>
        <w:t xml:space="preserve"> </w:t>
      </w:r>
      <w:r>
        <w:rPr>
          <w:iCs/>
          <w:i/>
        </w:rPr>
        <w:t xml:space="preserve">rell</w:t>
      </w:r>
      <w:r>
        <w:t xml:space="preserve">) uwzględnionych w aparacie krytycznym mojego wydania greckiego Tekstu 1 Listu Piotra.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46</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13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32</w:t>
            </w:r>
          </w:p>
        </w:tc>
        <w:tc>
          <w:tcPr/>
          <w:p>
            <w:pPr>
              <w:pStyle w:val="Compact"/>
            </w:pPr>
          </w:p>
        </w:tc>
      </w:tr>
      <w:tr>
        <w:tc>
          <w:tcPr/>
          <w:p>
            <w:pPr>
              <w:pStyle w:val="Compact"/>
              <w:jc w:val="left"/>
            </w:pPr>
            <w:r>
              <w:t xml:space="preserve">z udziałem ℵ</w:t>
            </w:r>
          </w:p>
        </w:tc>
        <w:tc>
          <w:tcPr/>
          <w:p>
            <w:pPr>
              <w:pStyle w:val="Compact"/>
              <w:jc w:val="right"/>
            </w:pPr>
            <w:r>
              <w:t xml:space="preserve">37</w:t>
            </w:r>
          </w:p>
        </w:tc>
        <w:tc>
          <w:tcPr/>
          <w:p>
            <w:pPr>
              <w:pStyle w:val="Compact"/>
            </w:pPr>
          </w:p>
        </w:tc>
      </w:tr>
      <w:tr>
        <w:tc>
          <w:tcPr/>
          <w:p>
            <w:pPr>
              <w:pStyle w:val="Compact"/>
              <w:jc w:val="left"/>
            </w:pPr>
            <w:r>
              <w:t xml:space="preserve">z udziałem A</w:t>
            </w:r>
          </w:p>
        </w:tc>
        <w:tc>
          <w:tcPr/>
          <w:p>
            <w:pPr>
              <w:pStyle w:val="Compact"/>
              <w:jc w:val="right"/>
            </w:pPr>
            <w:r>
              <w:t xml:space="preserve">42</w:t>
            </w:r>
          </w:p>
        </w:tc>
        <w:tc>
          <w:tcPr/>
          <w:p>
            <w:pPr>
              <w:pStyle w:val="Compact"/>
            </w:pPr>
          </w:p>
        </w:tc>
      </w:tr>
      <w:tr>
        <w:tc>
          <w:tcPr/>
          <w:p>
            <w:pPr>
              <w:pStyle w:val="Compact"/>
              <w:jc w:val="left"/>
            </w:pPr>
            <w:r>
              <w:t xml:space="preserve">z udziałem B</w:t>
            </w:r>
          </w:p>
        </w:tc>
        <w:tc>
          <w:tcPr/>
          <w:p>
            <w:pPr>
              <w:pStyle w:val="Compact"/>
              <w:jc w:val="right"/>
            </w:pPr>
            <w:r>
              <w:t xml:space="preserve">25</w:t>
            </w:r>
          </w:p>
        </w:tc>
        <w:tc>
          <w:tcPr/>
          <w:p>
            <w:pPr>
              <w:pStyle w:val="Compact"/>
            </w:pPr>
          </w:p>
        </w:tc>
      </w:tr>
      <w:tr>
        <w:tc>
          <w:tcPr/>
          <w:p>
            <w:pPr>
              <w:pStyle w:val="Compact"/>
              <w:jc w:val="left"/>
            </w:pPr>
            <w:r>
              <w:t xml:space="preserve">z udziałem C</w:t>
            </w:r>
          </w:p>
        </w:tc>
        <w:tc>
          <w:tcPr/>
          <w:p>
            <w:pPr>
              <w:pStyle w:val="Compact"/>
              <w:jc w:val="right"/>
            </w:pPr>
            <w:r>
              <w:t xml:space="preserve">34</w:t>
            </w:r>
          </w:p>
        </w:tc>
        <w:tc>
          <w:tcPr/>
          <w:p>
            <w:pPr>
              <w:pStyle w:val="Compact"/>
              <w:jc w:val="left"/>
            </w:pPr>
            <w:r>
              <w:t xml:space="preserve">(Brakuje C od 4,6 do końca, gdyby się zachował, kilka powyższych liczb uległoby zmianie).</w:t>
            </w:r>
          </w:p>
        </w:tc>
      </w:tr>
    </w:tbl>
    <w:p>
      <w:pPr>
        <w:pStyle w:val="BodyText"/>
      </w:pPr>
      <w:r>
        <w:t xml:space="preserve">W 128 pozostałych zestawach wariantów (141 minus 13)</w:t>
      </w:r>
      <w:r>
        <w:t xml:space="preserve"> </w:t>
      </w:r>
      <w:r>
        <w:rPr>
          <w:bCs/>
          <w:b/>
        </w:rPr>
        <w:t xml:space="preserve">f</w:t>
      </w:r>
      <w:r>
        <w:rPr>
          <w:vertAlign w:val="superscript"/>
          <w:bCs/>
          <w:b/>
        </w:rPr>
        <w:t xml:space="preserve">35</w:t>
      </w:r>
      <w:r>
        <w:t xml:space="preserve"> </w:t>
      </w:r>
      <w:r>
        <w:t xml:space="preserve">ma jawne poświadczenie tych wczesnych uncjałów w 64%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05"/>
    <w:bookmarkStart w:id="417" w:name="odczyty-mniejszościowe-f35-1"/>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407" w:name="τη-αγαθη-εν-χριστω-αναστροφη-316-20"/>
    <w:p>
      <w:pPr>
        <w:pStyle w:val="Heading5"/>
      </w:pPr>
      <w:r>
        <w:rPr>
          <w:iCs/>
          <w:i/>
        </w:rPr>
        <w:t xml:space="preserve">τη αγαθη εν Χριστω αναστροφη</w:t>
      </w:r>
      <w:r>
        <w:t xml:space="preserve"> </w:t>
      </w:r>
      <w:r>
        <w:t xml:space="preserve">3,16 (20%)</w:t>
      </w:r>
    </w:p>
    <w:p>
      <w:pPr>
        <w:pStyle w:val="FirstParagraph"/>
      </w:pPr>
      <w:r>
        <w:rPr>
          <w:iCs/>
          <w:i/>
        </w:rPr>
        <w:t xml:space="preserve">ECM</w:t>
      </w:r>
      <w:r>
        <w:t xml:space="preserve"> </w:t>
      </w:r>
      <w:r>
        <w:t xml:space="preserve">wymienia dla celownika jedynie rękopisy kursywne 18 i 35. Ku mojemu rozczarowaniu von Soden go nie wspomina, czyni to jednak Tischendorf, przytaczając swoje rękopisy kursywne 38 i 93 (Gregory 328 i 205), co potwierdza, że celownik jest odczytem</w:t>
      </w:r>
      <w:r>
        <w:t xml:space="preserve"> </w:t>
      </w:r>
      <w:r>
        <w:rPr>
          <w:bCs/>
          <w:b/>
        </w:rPr>
        <w:t xml:space="preserve">f</w:t>
      </w:r>
      <w:r>
        <w:rPr>
          <w:vertAlign w:val="superscript"/>
          <w:bCs/>
          <w:b/>
        </w:rPr>
        <w:t xml:space="preserve">35</w:t>
      </w:r>
      <w:r>
        <w:t xml:space="preserve">. Tischendorf przytacza dla celownika również swój 137 (Gregory 614), który ma „niezależny” profil. Wiemy zatem, że celownik nie przetrwał wyłącznie w</w:t>
      </w:r>
      <w:r>
        <w:t xml:space="preserve"> </w:t>
      </w:r>
      <w:r>
        <w:rPr>
          <w:bCs/>
          <w:b/>
        </w:rPr>
        <w:t xml:space="preserve">f</w:t>
      </w:r>
      <w:r>
        <w:rPr>
          <w:vertAlign w:val="superscript"/>
          <w:bCs/>
          <w:b/>
        </w:rPr>
        <w:t xml:space="preserve">35</w:t>
      </w:r>
      <w:r>
        <w:t xml:space="preserve">. Celownik jest poprawny jako dopełnienie επηρεαζω, lecz kopiści nieznający tej osobliwości w naturalny sposób „poprawiliby” go na biernik.</w:t>
      </w:r>
      <w:r>
        <w:t xml:space="preserve"> </w:t>
      </w:r>
      <w:r>
        <w:rPr>
          <w:iCs/>
          <w:i/>
        </w:rPr>
        <w:t xml:space="preserve">ECM</w:t>
      </w:r>
      <w:r>
        <w:t xml:space="preserve"> </w:t>
      </w:r>
      <w:r>
        <w:t xml:space="preserve">wymienia 15 wariantów sześciowyrazowego wyrażenia. Jednym z moich założeń wstępnych jest to, że księgi Nowego Testamentu zostały natchnione przez Ducha Świętego, zakładam więc, że wiedział On, jak pisać poprawną greką koine.</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w:t>
      </w:r>
      <w:r>
        <w:rPr>
          <w:rStyle w:val="FootnoteReference"/>
        </w:rPr>
        <w:footnoteReference w:id="406"/>
      </w:r>
      <w:r>
        <w:t xml:space="preserve"> </w:t>
      </w:r>
      <w:r>
        <w:t xml:space="preserve">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07"/>
    <w:bookmarkStart w:id="408" w:name="δοξαζηται-θεος-411-20"/>
    <w:p>
      <w:pPr>
        <w:pStyle w:val="Heading5"/>
      </w:pPr>
      <w:r>
        <w:rPr>
          <w:iCs/>
          <w:i/>
        </w:rPr>
        <w:t xml:space="preserve">δοξαζηται Θεος</w:t>
      </w:r>
      <w:r>
        <w:t xml:space="preserve"> </w:t>
      </w:r>
      <w:r>
        <w:t xml:space="preserve">4,11 (20%)</w:t>
      </w:r>
    </w:p>
    <w:p>
      <w:pPr>
        <w:pStyle w:val="FirstParagraph"/>
      </w:pPr>
      <w:r>
        <w:t xml:space="preserve">Ponownie</w:t>
      </w:r>
      <w:r>
        <w:t xml:space="preserve"> </w:t>
      </w:r>
      <w:r>
        <w:rPr>
          <w:iCs/>
          <w:i/>
        </w:rPr>
        <w:t xml:space="preserve">ECM</w:t>
      </w:r>
      <w:r>
        <w:t xml:space="preserve"> </w:t>
      </w:r>
      <w:r>
        <w:t xml:space="preserve">wymienia dla tego wariantu tylko rękopisy kursywne 18 i 35. Ku mojemu rozczarowaniu nie wspomina o nim ani von Soden, ani Tischendorf. Jak jednak ilustruje Tischendorf w przypadku powyższego wariantu, niemal na pewno istnieją nieskolacjonowane przez</w:t>
      </w:r>
      <w:r>
        <w:t xml:space="preserve"> </w:t>
      </w:r>
      <w:r>
        <w:rPr>
          <w:iCs/>
          <w:i/>
        </w:rPr>
        <w:t xml:space="preserve">ECM</w:t>
      </w:r>
      <w:r>
        <w:t xml:space="preserve"> </w:t>
      </w:r>
      <w:r>
        <w:t xml:space="preserve">manuskrypty, które stają tutaj po stronie</w:t>
      </w:r>
      <w:r>
        <w:t xml:space="preserve"> </w:t>
      </w:r>
      <w:r>
        <w:rPr>
          <w:bCs/>
          <w:b/>
        </w:rPr>
        <w:t xml:space="preserve">f</w:t>
      </w:r>
      <w:r>
        <w:rPr>
          <w:vertAlign w:val="superscript"/>
          <w:bCs/>
          <w:b/>
        </w:rPr>
        <w:t xml:space="preserve">35</w:t>
      </w:r>
      <w:r>
        <w:t xml:space="preserve"> </w:t>
      </w:r>
      <w:r>
        <w:t xml:space="preserve">(niestety</w:t>
      </w:r>
      <w:r>
        <w:t xml:space="preserve"> </w:t>
      </w:r>
      <w:r>
        <w:rPr>
          <w:iCs/>
          <w:i/>
        </w:rPr>
        <w:t xml:space="preserve">TuT</w:t>
      </w:r>
      <w:r>
        <w:t xml:space="preserve"> </w:t>
      </w:r>
      <w:r>
        <w:t xml:space="preserve">nie uwzględnia tego zestawu). Brak rodzajnika podkreśla immanentną cechę rzeczownika, co odpowiada kontekstowi. Łącząc kontekst ze „średnią skuteczności”, czyli współczynnikiem wiarygodności, pozostaję tutaj przy</w:t>
      </w:r>
      <w:r>
        <w:t xml:space="preserve"> </w:t>
      </w:r>
      <w:r>
        <w:rPr>
          <w:bCs/>
          <w:b/>
        </w:rPr>
        <w:t xml:space="preserve">f</w:t>
      </w:r>
      <w:r>
        <w:rPr>
          <w:vertAlign w:val="superscript"/>
          <w:bCs/>
          <w:b/>
        </w:rPr>
        <w:t xml:space="preserve">35</w:t>
      </w:r>
      <w:r>
        <w:t xml:space="preserve">.</w:t>
      </w:r>
    </w:p>
    <w:bookmarkEnd w:id="408"/>
    <w:bookmarkStart w:id="409" w:name="του-42-22"/>
    <w:p>
      <w:pPr>
        <w:pStyle w:val="Heading5"/>
      </w:pPr>
      <w:r>
        <w:rPr>
          <w:iCs/>
          <w:i/>
        </w:rPr>
        <w:t xml:space="preserve">του</w:t>
      </w:r>
      <w:r>
        <w:t xml:space="preserve"> </w:t>
      </w:r>
      <w:r>
        <w:t xml:space="preserve">4,2 (22%)</w:t>
      </w:r>
    </w:p>
    <w:p>
      <w:pPr>
        <w:pStyle w:val="FirstParagraph"/>
      </w:pPr>
      <w:r>
        <w:t xml:space="preserve">Większość spośród czternastu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występuje również przy δυναμενος w Liście Jakuba 3,2. Jak sobie wyobrażam, tych czternaście redukuje się w V wieku do ośmiu niezależnych linii przekazu, z których niektóre sięgają III wieku. Wybór między obecnością a brakiem rodzajnika ma tutaj niewielki wpływ na sens, dlatego ze względu na jej współczynnik wiarygodności pozostaję przy</w:t>
      </w:r>
      <w:r>
        <w:t xml:space="preserve"> </w:t>
      </w:r>
      <w:r>
        <w:rPr>
          <w:bCs/>
          <w:b/>
        </w:rPr>
        <w:t xml:space="preserve">f</w:t>
      </w:r>
      <w:r>
        <w:rPr>
          <w:vertAlign w:val="superscript"/>
          <w:bCs/>
          <w:b/>
        </w:rPr>
        <w:t xml:space="preserve">35</w:t>
      </w:r>
      <w:r>
        <w:t xml:space="preserve">.</w:t>
      </w:r>
    </w:p>
    <w:bookmarkEnd w:id="409"/>
    <w:bookmarkStart w:id="410" w:name="και-221-p72-23"/>
    <w:p>
      <w:pPr>
        <w:pStyle w:val="Heading5"/>
      </w:pPr>
      <w:r>
        <w:rPr>
          <w:iCs/>
          <w:i/>
        </w:rPr>
        <w:t xml:space="preserve">και</w:t>
      </w:r>
      <w:r>
        <w:t xml:space="preserve"> </w:t>
      </w:r>
      <w:r>
        <w:t xml:space="preserve">2,21 P</w:t>
      </w:r>
      <w:r>
        <w:rPr>
          <w:vertAlign w:val="superscript"/>
        </w:rPr>
        <w:t xml:space="preserve">72</w:t>
      </w:r>
      <w:r>
        <w:t xml:space="preserve"> </w:t>
      </w:r>
      <w:r>
        <w:t xml:space="preserve">(23%)</w:t>
      </w:r>
    </w:p>
    <w:p>
      <w:pPr>
        <w:pStyle w:val="FirstParagraph"/>
      </w:pPr>
      <w:r>
        <w:t xml:space="preserve">Wariant ten jest również poświadczony przez czternaście manuskryptów spoza</w:t>
      </w:r>
      <w:r>
        <w:t xml:space="preserve"> </w:t>
      </w:r>
      <w:r>
        <w:rPr>
          <w:bCs/>
          <w:b/>
        </w:rPr>
        <w:t xml:space="preserve">f</w:t>
      </w:r>
      <w:r>
        <w:rPr>
          <w:vertAlign w:val="superscript"/>
          <w:bCs/>
          <w:b/>
        </w:rPr>
        <w:t xml:space="preserve">35</w:t>
      </w:r>
      <w:r>
        <w:t xml:space="preserve"> </w:t>
      </w:r>
      <w:r>
        <w:t xml:space="preserve">(wymienionych przez</w:t>
      </w:r>
      <w:r>
        <w:t xml:space="preserve"> </w:t>
      </w:r>
      <w:r>
        <w:rPr>
          <w:iCs/>
          <w:i/>
        </w:rPr>
        <w:t xml:space="preserve">ECM</w:t>
      </w:r>
      <w:r>
        <w:t xml:space="preserve">), lecz tylko cztery są wspólne z poprzednim. Tym razem występuje większe zróżnicowanie i tylko dwie pary, dlatego w V wieku nadal mamy dwanaście linii, z których, jak sobie wyobrażam, większość sięga III wieku. P</w:t>
      </w:r>
      <w:r>
        <w:rPr>
          <w:vertAlign w:val="superscript"/>
        </w:rPr>
        <w:t xml:space="preserve">72</w:t>
      </w:r>
      <w:r>
        <w:t xml:space="preserve"> </w:t>
      </w:r>
      <w:r>
        <w:t xml:space="preserve">zapewnia jawne poświadczenie z III wieku. Odczyt większości jest całkowicie normalny i ma znakomity sens, gdyby zatem był oryginalny, nie odczuwano by potrzeby jego zmieniania. Z drugiej strony και stojące obok γαρ mogło łatwo wydać się zbędne, co skłoniłoby kopistów do jego usunięcia. W kontekście emfatyczne użycie dobrze pasuje. Odczyt ten jest z pewnością wczesny i niezależny, a moim zdaniem najprawdopodobniej oryginalny.</w:t>
      </w:r>
    </w:p>
    <w:bookmarkEnd w:id="410"/>
    <w:bookmarkStart w:id="411" w:name="περιερχεται-58-24"/>
    <w:p>
      <w:pPr>
        <w:pStyle w:val="Heading5"/>
      </w:pPr>
      <w:r>
        <w:rPr>
          <w:iCs/>
          <w:i/>
        </w:rPr>
        <w:t xml:space="preserve">περιερχεται</w:t>
      </w:r>
      <w:r>
        <w:t xml:space="preserve"> </w:t>
      </w:r>
      <w:r>
        <w:t xml:space="preserve">5,8 (24%)</w:t>
      </w:r>
    </w:p>
    <w:p>
      <w:pPr>
        <w:pStyle w:val="FirstParagraph"/>
      </w:pPr>
      <w:r>
        <w:t xml:space="preserve">Dwadzieścia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poza jednym spośród manuskryptów wymienionych wyżej dla του oraz osiem innych. Istnieje kilka grup, lecz w V wieku byłoby co najmniej dziesięć niezależnych linii, z których, jak sobie wyobrażam, co najmniej połowa powinna sięgać III wieku. Lew nie wyszedł na popołudniowy spacer, krąży wokół zdobyczy, szukając sposobności. Περιερχεται jest wczesne, niezależne i poprawne, a moim zdaniem niemal na pewno oryginalne.</w:t>
      </w:r>
    </w:p>
    <w:bookmarkEnd w:id="411"/>
    <w:bookmarkStart w:id="412" w:name="ημερας-ιδειν-310-c-26"/>
    <w:p>
      <w:pPr>
        <w:pStyle w:val="Heading5"/>
      </w:pPr>
      <w:r>
        <w:rPr>
          <w:iCs/>
          <w:i/>
        </w:rPr>
        <w:t xml:space="preserve">ημερας ιδειν</w:t>
      </w:r>
      <w:r>
        <w:t xml:space="preserve"> </w:t>
      </w:r>
      <w:r>
        <w:t xml:space="preserve">3,10 C (26%)</w:t>
      </w:r>
    </w:p>
    <w:p>
      <w:pPr>
        <w:pStyle w:val="FirstParagraph"/>
      </w:pPr>
      <w:r>
        <w:t xml:space="preserve">Dwadzieścia sześć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tworzy kilka grup, lecz w V wieku byłoby co najmniej piętnaście niezależnych linii — kodeks C zapewnia jawne poświadczenie z V wieku — z których, jak sobie wyobrażam, co najmniej połowa powinna sięgać III wieku. Ponieważ jest to część cytatu z Psalmów, Septuaginta mogła odegrać pewną rolę, lecz jaką? Kodeks B ma taki sam szyk wyrazów w swojej Septuagincie Psalmów i tutaj u Piotra, podczas gdy kodeks C zgadza się z drukowaną Septuagintą. Kto więc upodobnił się do kogo? Szyk wyrazów poświadczony przez</w:t>
      </w:r>
      <w:r>
        <w:t xml:space="preserve"> </w:t>
      </w:r>
      <w:r>
        <w:rPr>
          <w:bCs/>
          <w:b/>
        </w:rPr>
        <w:t xml:space="preserve">f</w:t>
      </w:r>
      <w:r>
        <w:rPr>
          <w:vertAlign w:val="superscript"/>
          <w:bCs/>
          <w:b/>
        </w:rPr>
        <w:t xml:space="preserve">35</w:t>
      </w:r>
      <w:r>
        <w:t xml:space="preserve"> </w:t>
      </w:r>
      <w:r>
        <w:t xml:space="preserve">wydaje się mniej gładki niż szyk większości i mógł dać mu początek. W każdym razie ημερας ιδειν jest wczesne, niezależne i moim zdaniem prawdopodobnie oryginalne.</w:t>
      </w:r>
    </w:p>
    <w:bookmarkEnd w:id="412"/>
    <w:bookmarkStart w:id="413" w:name="χρονος-43-p72-ℵabc-26"/>
    <w:p>
      <w:pPr>
        <w:pStyle w:val="Heading5"/>
      </w:pPr>
      <w:r>
        <w:rPr>
          <w:iCs/>
          <w:i/>
        </w:rPr>
        <w:t xml:space="preserve">χρονος</w:t>
      </w:r>
      <w:r>
        <w:t xml:space="preserve"> </w:t>
      </w:r>
      <w:r>
        <w:t xml:space="preserve">4,3 P</w:t>
      </w:r>
      <w:r>
        <w:rPr>
          <w:vertAlign w:val="superscript"/>
        </w:rPr>
        <w:t xml:space="preserve">72</w:t>
      </w:r>
      <w:r>
        <w:t xml:space="preserve"> </w:t>
      </w:r>
      <w:r>
        <w:t xml:space="preserve">ℵABC (26%)</w:t>
      </w:r>
    </w:p>
    <w:p>
      <w:pPr>
        <w:pStyle w:val="FirstParagraph"/>
      </w:pPr>
      <w:r>
        <w:t xml:space="preserve">Trzydzieści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pięć wczesnych uncjałów, nie ma więc wątpliwości co do wieku. (Zaledwie dwa słowa dalej te same pięć wczesnych uncjałów ma βουλημα zamiast θελημα, co pokazuje, że</w:t>
      </w:r>
      <w:r>
        <w:t xml:space="preserve"> </w:t>
      </w:r>
      <w:r>
        <w:rPr>
          <w:bCs/>
          <w:b/>
        </w:rPr>
        <w:t xml:space="preserve">f</w:t>
      </w:r>
      <w:r>
        <w:rPr>
          <w:vertAlign w:val="superscript"/>
          <w:bCs/>
          <w:b/>
        </w:rPr>
        <w:t xml:space="preserve">35</w:t>
      </w:r>
      <w:r>
        <w:t xml:space="preserve"> </w:t>
      </w:r>
      <w:r>
        <w:t xml:space="preserve">jest od nich niezależna). W V wieku będzie ponad dwadzieścia niezależnych linii, z których, jak sobie wyobrażam, co najmniej połowa powinna sięgać III wieku. Wersety 2-3</w:t>
      </w:r>
      <w:r>
        <w:rPr>
          <w:vertAlign w:val="superscript"/>
        </w:rPr>
        <w:t xml:space="preserve">a</w:t>
      </w:r>
      <w:r>
        <w:t xml:space="preserve"> </w:t>
      </w:r>
      <w:r>
        <w:t xml:space="preserve">oddałbym następująco: „…aby przez pozostały czas w ciele nie żyć już dla ludzkich pożądliwości, lecz dla woli Boga. Ponieważ czas, który przeminął, wystarczy wam do pełnienia woli pogan…”. Wyrażenie „życia” zawadza.</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3"/>
    <w:bookmarkStart w:id="414" w:name="αιωνας-411-p72-27"/>
    <w:p>
      <w:pPr>
        <w:pStyle w:val="Heading5"/>
      </w:pPr>
      <w:r>
        <w:rPr>
          <w:iCs/>
          <w:i/>
        </w:rPr>
        <w:t xml:space="preserve">αιωνας</w:t>
      </w:r>
      <w:r>
        <w:t xml:space="preserve"> </w:t>
      </w:r>
      <w:r>
        <w:t xml:space="preserve">4,11 P</w:t>
      </w:r>
      <w:r>
        <w:rPr>
          <w:vertAlign w:val="superscript"/>
        </w:rPr>
        <w:t xml:space="preserve">72</w:t>
      </w:r>
      <w:r>
        <w:t xml:space="preserve"> </w:t>
      </w:r>
      <w:r>
        <w:t xml:space="preserve">(27%)</w:t>
      </w:r>
    </w:p>
    <w:p>
      <w:pPr>
        <w:pStyle w:val="FirstParagraph"/>
      </w:pPr>
      <w:r>
        <w:t xml:space="preserve">Trzydzieści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P</w:t>
      </w:r>
      <w:r>
        <w:rPr>
          <w:vertAlign w:val="superscript"/>
        </w:rPr>
        <w:t xml:space="preserve">72</w:t>
      </w:r>
      <w:r>
        <w:t xml:space="preserve">, nie ma więc wątpliwości co do wieku. Jak sobie wyobrażam, w V wieku zredukują się one do około dwudziestu niezależnych linii, z których co najmniej połowa powinna sięgać III wieku. Dodanie znajomego των αιωνων, jeśli nie było go w oryginale, jest przewidywalne, jego pominięcie trudniej wyjaśnić. Oddałbym to: „przez wszystkie wieki”.</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4"/>
    <w:bookmarkStart w:id="415" w:name="σθενωσαι-θεμελιωσαι-510-30"/>
    <w:p>
      <w:pPr>
        <w:pStyle w:val="Heading5"/>
      </w:pPr>
      <w:r>
        <w:rPr>
          <w:iCs/>
          <w:i/>
        </w:rPr>
        <w:t xml:space="preserve">σθενωσαι θεμελιωσαι</w:t>
      </w:r>
      <w:r>
        <w:t xml:space="preserve"> </w:t>
      </w:r>
      <w:r>
        <w:t xml:space="preserve">5,10 (30%)</w:t>
      </w:r>
    </w:p>
    <w:p>
      <w:pPr>
        <w:pStyle w:val="FirstParagraph"/>
      </w:pPr>
      <w:r>
        <w:t xml:space="preserve">Dwadzieścia cztery manuskrypty spoza</w:t>
      </w:r>
      <w:r>
        <w:t xml:space="preserve"> </w:t>
      </w:r>
      <w:r>
        <w:rPr>
          <w:bCs/>
          <w:b/>
        </w:rPr>
        <w:t xml:space="preserve">f</w:t>
      </w:r>
      <w:r>
        <w:rPr>
          <w:vertAlign w:val="superscript"/>
          <w:bCs/>
          <w:b/>
        </w:rPr>
        <w:t xml:space="preserve">35</w:t>
      </w:r>
      <w:r>
        <w:t xml:space="preserve">, wymienione przez</w:t>
      </w:r>
      <w:r>
        <w:t xml:space="preserve"> </w:t>
      </w:r>
      <w:r>
        <w:rPr>
          <w:iCs/>
          <w:i/>
        </w:rPr>
        <w:t xml:space="preserve">ECM</w:t>
      </w:r>
      <w:r>
        <w:t xml:space="preserve"> </w:t>
      </w:r>
      <w:r>
        <w:t xml:space="preserve">dla tego wariantu, zredukują się w V wieku do nie mniej niż dwunastu niezależnych linii przekazu, nie licząc</w:t>
      </w:r>
      <w:r>
        <w:t xml:space="preserve"> </w:t>
      </w:r>
      <w:r>
        <w:rPr>
          <w:bCs/>
          <w:b/>
        </w:rPr>
        <w:t xml:space="preserve">f</w:t>
      </w:r>
      <w:r>
        <w:rPr>
          <w:vertAlign w:val="superscript"/>
          <w:bCs/>
          <w:b/>
        </w:rPr>
        <w:t xml:space="preserve">35</w:t>
      </w:r>
      <w:r>
        <w:t xml:space="preserve">, z których, jak sobie wyobrażam, co najmniej połowa powinna sięgać III wieku. Czy Piotr stwierdza, że Bóg to uczyni, tryb oznajmujący czasu przyszłego, czy prosi, aby Bóg to uczynił, aoryst trybu życzącego? Jak „gdy trochę pocierpicie” wpływa na równanie?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15"/>
    <w:bookmarkStart w:id="416" w:name="wniosek-3"/>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16"/>
    <w:bookmarkEnd w:id="417"/>
    <w:bookmarkEnd w:id="418"/>
    <w:bookmarkStart w:id="429" w:name="list-piotra-1"/>
    <w:p>
      <w:pPr>
        <w:pStyle w:val="Heading3"/>
      </w:pPr>
      <w:r>
        <w:t xml:space="preserve">2 List Piotra</w:t>
      </w:r>
    </w:p>
    <w:p>
      <w:pPr>
        <w:pStyle w:val="FirstParagraph"/>
      </w:pPr>
      <w:r>
        <w:t xml:space="preserve">Podobnie jak w przypadku Listu Jakuba i 1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19" w:name="concordia-discors-2"/>
    <w:p>
      <w:pPr>
        <w:pStyle w:val="Heading4"/>
      </w:pPr>
      <w:r>
        <w:rPr>
          <w:iCs/>
          <w:i/>
        </w:rPr>
        <w:t xml:space="preserve">Concordia discors</w:t>
      </w:r>
    </w:p>
    <w:p>
      <w:pPr>
        <w:pStyle w:val="FirstParagraph"/>
      </w:pPr>
      <w:r>
        <w:t xml:space="preserve">Cztery z tych uncjałów zachowały się w 2 Liście Piotra (ℵABC), do których dodaję P</w:t>
      </w:r>
      <w:r>
        <w:rPr>
          <w:vertAlign w:val="superscript"/>
        </w:rPr>
        <w:t xml:space="preserve">72</w:t>
      </w:r>
      <w:r>
        <w:t xml:space="preserve"> </w:t>
      </w:r>
      <w:r>
        <w:t xml:space="preserve">i 048, a to, co Burgon nazywa ich „ekscentryczną skłonnością”, jest wyraźnie widoczne. Ekscentryczność ta dowodzi ich niezależności, co będzie szczególnie istotne w dalszym ciągu. Przedstawiam w tabeli ich zachowanie w 67 istotnych zestawach wariantów uwzględnionych w aparacie krytycznym mojego wydania greckiego Tekstu 2 Listu Piotra (z wyłączeniem 17, przy których używam</w:t>
      </w:r>
      <w:r>
        <w:t xml:space="preserve"> </w:t>
      </w:r>
      <w:r>
        <w:rPr>
          <w:iCs/>
          <w:i/>
        </w:rPr>
        <w:t xml:space="preserve">rell</w:t>
      </w:r>
      <w:r>
        <w:t xml:space="preserve">).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19</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9</w:t>
            </w:r>
          </w:p>
        </w:tc>
        <w:tc>
          <w:tcPr/>
          <w:p>
            <w:pPr>
              <w:pStyle w:val="Compact"/>
            </w:pPr>
          </w:p>
        </w:tc>
      </w:tr>
      <w:tr>
        <w:tc>
          <w:tcPr/>
          <w:p>
            <w:pPr>
              <w:pStyle w:val="Compact"/>
              <w:jc w:val="left"/>
            </w:pPr>
            <w:r>
              <w:t xml:space="preserve">z udziałem ℵ</w:t>
            </w:r>
          </w:p>
        </w:tc>
        <w:tc>
          <w:tcPr/>
          <w:p>
            <w:pPr>
              <w:pStyle w:val="Compact"/>
              <w:jc w:val="right"/>
            </w:pPr>
            <w:r>
              <w:t xml:space="preserve">25</w:t>
            </w:r>
          </w:p>
        </w:tc>
        <w:tc>
          <w:tcPr/>
          <w:p>
            <w:pPr>
              <w:pStyle w:val="Compact"/>
            </w:pPr>
          </w:p>
        </w:tc>
      </w:tr>
      <w:tr>
        <w:tc>
          <w:tcPr/>
          <w:p>
            <w:pPr>
              <w:pStyle w:val="Compact"/>
              <w:jc w:val="left"/>
            </w:pPr>
            <w:r>
              <w:t xml:space="preserve">z udziałem A</w:t>
            </w:r>
          </w:p>
        </w:tc>
        <w:tc>
          <w:tcPr/>
          <w:p>
            <w:pPr>
              <w:pStyle w:val="Compact"/>
              <w:jc w:val="right"/>
            </w:pPr>
            <w:r>
              <w:t xml:space="preserve">20</w:t>
            </w:r>
          </w:p>
        </w:tc>
        <w:tc>
          <w:tcPr/>
          <w:p>
            <w:pPr>
              <w:pStyle w:val="Compact"/>
            </w:pPr>
          </w:p>
        </w:tc>
      </w:tr>
      <w:tr>
        <w:tc>
          <w:tcPr/>
          <w:p>
            <w:pPr>
              <w:pStyle w:val="Compact"/>
              <w:jc w:val="left"/>
            </w:pPr>
            <w:r>
              <w:t xml:space="preserve">z udziałem B</w:t>
            </w:r>
          </w:p>
        </w:tc>
        <w:tc>
          <w:tcPr/>
          <w:p>
            <w:pPr>
              <w:pStyle w:val="Compact"/>
              <w:jc w:val="right"/>
            </w:pPr>
            <w:r>
              <w:t xml:space="preserve">11</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6</w:t>
            </w:r>
          </w:p>
        </w:tc>
        <w:tc>
          <w:tcPr/>
          <w:p>
            <w:pPr>
              <w:pStyle w:val="Compact"/>
            </w:pPr>
          </w:p>
        </w:tc>
      </w:tr>
    </w:tbl>
    <w:p>
      <w:pPr>
        <w:pStyle w:val="BodyText"/>
      </w:pPr>
      <w:r>
        <w:t xml:space="preserve">W 61 pozostałych zestawach wariantów (67 minus 6)</w:t>
      </w:r>
      <w:r>
        <w:t xml:space="preserve"> </w:t>
      </w:r>
      <w:r>
        <w:rPr>
          <w:bCs/>
          <w:b/>
        </w:rPr>
        <w:t xml:space="preserve">f</w:t>
      </w:r>
      <w:r>
        <w:rPr>
          <w:vertAlign w:val="superscript"/>
          <w:bCs/>
          <w:b/>
        </w:rPr>
        <w:t xml:space="preserve">35</w:t>
      </w:r>
      <w:r>
        <w:t xml:space="preserve"> </w:t>
      </w:r>
      <w:r>
        <w:t xml:space="preserve">ma jawne poświadczenie tych wczesnych uncjałów w 69%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19"/>
    <w:bookmarkStart w:id="428" w:name="odczyty-mniejszościowe-f35-2"/>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siedem odczytów o poświadczeniu wynoszącym 33%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siedem odczytów, zaczynając od najmniejszego odsetka.</w:t>
      </w:r>
    </w:p>
    <w:bookmarkStart w:id="420" w:name="ἃς-22-20"/>
    <w:p>
      <w:pPr>
        <w:pStyle w:val="Heading5"/>
      </w:pPr>
      <w:r>
        <w:rPr>
          <w:iCs/>
          <w:i/>
        </w:rPr>
        <w:t xml:space="preserve">ἃς</w:t>
      </w:r>
      <w:r>
        <w:t xml:space="preserve"> </w:t>
      </w:r>
      <w:r>
        <w:t xml:space="preserve">2,2 (20%)</w:t>
      </w:r>
    </w:p>
    <w:p>
      <w:pPr>
        <w:pStyle w:val="FirstParagraph"/>
      </w:pPr>
      <w:r>
        <w:rPr>
          <w:iCs/>
          <w:i/>
        </w:rPr>
        <w:t xml:space="preserve">ECM</w:t>
      </w:r>
      <w:r>
        <w:t xml:space="preserve"> </w:t>
      </w:r>
      <w:r>
        <w:t xml:space="preserve">wymienia dla tego odczytu jedynie rękopis kursywny 18, lecz moje własne kolacjonowanie 35 przekonuje mnie, że zgadza się on z 18, podobnie jak kolejnych 38 przedstawicieli rodziny, których skolacjonowałem. Rodzina jest zatem jednolita. Von Soden przytacza dla tego odczytu jeszcze jeden manuskrypt, podczas gdy Tischendorf milczy. Odczyt przetrwał więc poza rodziną, choć niezbyt szeroko. Czy poprzednikiem zaimka są rozpustne czyny, czy ludzie w nich uczestniczący? Jedno i drugie ma sens, lecz to właśnie złe postępowanie kala reputację Drogi. Uważam, że</w:t>
      </w:r>
      <w:r>
        <w:t xml:space="preserve"> </w:t>
      </w:r>
      <w:r>
        <w:rPr>
          <w:bCs/>
          <w:b/>
        </w:rPr>
        <w:t xml:space="preserve">f</w:t>
      </w:r>
      <w:r>
        <w:rPr>
          <w:vertAlign w:val="superscript"/>
          <w:bCs/>
          <w:b/>
        </w:rPr>
        <w:t xml:space="preserve">35</w:t>
      </w:r>
      <w:r>
        <w:t xml:space="preserve"> </w:t>
      </w:r>
      <w:r>
        <w:t xml:space="preserve">prawdopodobnie zachowuje tutaj odczyt Oryginału.</w:t>
      </w:r>
    </w:p>
    <w:bookmarkEnd w:id="420"/>
    <w:bookmarkStart w:id="421" w:name="συνεστωτα-35-ℵ-23"/>
    <w:p>
      <w:pPr>
        <w:pStyle w:val="Heading5"/>
      </w:pPr>
      <w:r>
        <w:rPr>
          <w:iCs/>
          <w:i/>
        </w:rPr>
        <w:t xml:space="preserve">συνεστωτα</w:t>
      </w:r>
      <w:r>
        <w:t xml:space="preserve"> </w:t>
      </w:r>
      <w:r>
        <w:t xml:space="preserve">3,5 ℵ (23%)</w:t>
      </w:r>
    </w:p>
    <w:p>
      <w:pPr>
        <w:pStyle w:val="FirstParagraph"/>
      </w:pPr>
      <w:r>
        <w:t xml:space="preserve">Składnia Piotra jest tutaj nieco złożona, co dało początek jedenastu wariantom sześciowyrazowego wyrażenia. W moim rozumieniu „z wody i przez wodę” jest wtrąceniem modyfikującym „ziemię”, imiesłów łączy się więc z ησαν jako konstrukcja peryfrastyczna, której podmiot obejmuje zarówno „niebo” (r. męski), jak i „ziemię” (r. żeński) — stąd mianownik liczby mnogiej rodzaju nijakiego imiesłowu czynnego perfectum.</w:t>
      </w:r>
      <w:r>
        <w:t xml:space="preserve"> </w:t>
      </w:r>
      <w:r>
        <w:rPr>
          <w:bCs/>
          <w:b/>
        </w:rPr>
        <w:t xml:space="preserve">f</w:t>
      </w:r>
      <w:r>
        <w:rPr>
          <w:vertAlign w:val="superscript"/>
          <w:bCs/>
          <w:b/>
        </w:rPr>
        <w:t xml:space="preserve">35</w:t>
      </w:r>
      <w:r>
        <w:t xml:space="preserve"> </w:t>
      </w:r>
      <w:r>
        <w:t xml:space="preserve">jest tutaj dokładnie poprawna, nawet jeśli większość kopistów zagubiła się w składni Piotra. ℵ zapewnia jawne poświadczenie z IV wieku, lecz odczyt ten jest również poświadczony przez kolejne cztery niezależne linie przekazu (przytoczone przez</w:t>
      </w:r>
      <w:r>
        <w:t xml:space="preserve"> </w:t>
      </w:r>
      <w:r>
        <w:rPr>
          <w:iCs/>
          <w:i/>
        </w:rPr>
        <w:t xml:space="preserve">ECM</w:t>
      </w:r>
      <w:r>
        <w:t xml:space="preserve">), poza</w:t>
      </w:r>
      <w:r>
        <w:t xml:space="preserve"> </w:t>
      </w:r>
      <w:r>
        <w:rPr>
          <w:bCs/>
          <w:b/>
        </w:rPr>
        <w:t xml:space="preserve">f</w:t>
      </w:r>
      <w:r>
        <w:rPr>
          <w:vertAlign w:val="superscript"/>
          <w:bCs/>
          <w:b/>
        </w:rPr>
        <w:t xml:space="preserve">35</w:t>
      </w:r>
      <w:r>
        <w:t xml:space="preserve">, z których wszystkie prawdopodobnie sięgają co najmniej IV wieku.</w:t>
      </w:r>
      <w:r>
        <w:t xml:space="preserve"> </w:t>
      </w:r>
      <w:r>
        <w:rPr>
          <w:bCs/>
          <w:b/>
        </w:rPr>
        <w:t xml:space="preserve">f</w:t>
      </w:r>
      <w:r>
        <w:rPr>
          <w:vertAlign w:val="superscript"/>
          <w:bCs/>
          <w:b/>
        </w:rPr>
        <w:t xml:space="preserve">35</w:t>
      </w:r>
      <w:r>
        <w:t xml:space="preserve"> </w:t>
      </w:r>
      <w:r>
        <w:t xml:space="preserve">prawdopodobnie zachowuje tutaj Oryginał.</w:t>
      </w:r>
    </w:p>
    <w:bookmarkEnd w:id="421"/>
    <w:bookmarkStart w:id="422" w:name="εις-αιωνας-217-251"/>
    <w:p>
      <w:pPr>
        <w:pStyle w:val="Heading5"/>
      </w:pPr>
      <w:r>
        <w:rPr>
          <w:iCs/>
          <w:i/>
        </w:rPr>
        <w:t xml:space="preserve">εις αιωνας</w:t>
      </w:r>
      <w:r>
        <w:t xml:space="preserve"> </w:t>
      </w:r>
      <w:r>
        <w:t xml:space="preserve">2,17 (25,1%)</w:t>
      </w:r>
    </w:p>
    <w:p>
      <w:pPr>
        <w:pStyle w:val="FirstParagraph"/>
      </w:pPr>
      <w:r>
        <w:t xml:space="preserve">Możemy tutaj polegać na pełnych kolacjonowaniach odzwierciedlonych w</w:t>
      </w:r>
      <w:r>
        <w:t xml:space="preserve"> </w:t>
      </w:r>
      <w:r>
        <w:rPr>
          <w:iCs/>
          <w:i/>
        </w:rPr>
        <w:t xml:space="preserve">TuT</w:t>
      </w:r>
      <w:r>
        <w:t xml:space="preserve">. Poza</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Wybór dotyczy liczby pojedynczej lub mnogiej, jednego „wieku” albo wielu. Brak rodzajnika przyczynił się do pomieszania obrazu. Jeśli liczba mnoga jest silniejsza od pojedynczej, wówczas lepiej pasuje do kontekstu, ponieważ Piotr używa gwałtownego języka. Uważam, że liczba mnoga jest prawdopodobnie oryginalna.</w:t>
      </w:r>
    </w:p>
    <w:bookmarkEnd w:id="422"/>
    <w:bookmarkStart w:id="423" w:name="γεγενημενα-φυσικα-212-ℵ-26"/>
    <w:p>
      <w:pPr>
        <w:pStyle w:val="Heading5"/>
      </w:pPr>
      <w:r>
        <w:rPr>
          <w:iCs/>
          <w:i/>
        </w:rPr>
        <w:t xml:space="preserve">γεγενημενα φυσικα</w:t>
      </w:r>
      <w:r>
        <w:t xml:space="preserve"> </w:t>
      </w:r>
      <w:r>
        <w:t xml:space="preserve">2,12 ℵ (26%)</w:t>
      </w:r>
    </w:p>
    <w:p>
      <w:pPr>
        <w:pStyle w:val="FirstParagraph"/>
      </w:pPr>
      <w:r>
        <w:t xml:space="preserve">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Pozostałe wczesne uncjały (P</w:t>
      </w:r>
      <w:r>
        <w:rPr>
          <w:vertAlign w:val="superscript"/>
        </w:rPr>
        <w:t xml:space="preserve">72</w:t>
      </w:r>
      <w:r>
        <w:t xml:space="preserve"> </w:t>
      </w:r>
      <w:r>
        <w:t xml:space="preserve">pomija imiesłów) poświadczają ten szyk, natomiast około 85% manuskryptów poświadcza czasownik. Wariant większości, umieszczając przymiotnik obok rzeczownika, zdaje się tworzyć bardziej naturalną konstrukcję, lecz sądzę, że φυσικα pełni funkcję rzeczownika w apozycji do ζωα, a aby pomóc nam to dostrzec, Piotr umieszcza go po imiesłowie, należy oddać: „jak nierozumne zwierzęta, stworzenia instynktu uczynione po to, by je schwytać i zniszczyć”. Nie wątpię, że</w:t>
      </w:r>
      <w:r>
        <w:t xml:space="preserve"> </w:t>
      </w:r>
      <w:r>
        <w:rPr>
          <w:bCs/>
          <w:b/>
        </w:rPr>
        <w:t xml:space="preserve">f</w:t>
      </w:r>
      <w:r>
        <w:rPr>
          <w:vertAlign w:val="superscript"/>
          <w:bCs/>
          <w:b/>
        </w:rPr>
        <w:t xml:space="preserve">35</w:t>
      </w:r>
      <w:r>
        <w:t xml:space="preserve"> </w:t>
      </w:r>
      <w:r>
        <w:t xml:space="preserve">zachowuje tutaj Oryginał.</w:t>
      </w:r>
    </w:p>
    <w:bookmarkEnd w:id="423"/>
    <w:bookmarkStart w:id="424" w:name="αυξανητε-318-27"/>
    <w:p>
      <w:pPr>
        <w:pStyle w:val="Heading5"/>
      </w:pPr>
      <w:r>
        <w:rPr>
          <w:iCs/>
          <w:i/>
        </w:rPr>
        <w:t xml:space="preserve">αυξανητε</w:t>
      </w:r>
      <w:r>
        <w:t xml:space="preserve"> </w:t>
      </w:r>
      <w:r>
        <w:t xml:space="preserve">3,18 (27%)</w:t>
      </w:r>
    </w:p>
    <w:p>
      <w:pPr>
        <w:pStyle w:val="FirstParagraph"/>
      </w:pPr>
      <w:r>
        <w:t xml:space="preserve">Tryb rozkazujący czy łączący? Uważam, że Piotr proponuje łagodniejszą alternatywę dla odpadnięcia od ich stałości, należy oddać: „raczej, obyście wzrastali w łasce…”. 5% manuskryptów przechodzi wręcz do trybu życzącego, tryb łączący i życzący stanowią łącznie 35%. Poza</w:t>
      </w:r>
      <w:r>
        <w:t xml:space="preserve"> </w:t>
      </w:r>
      <w:r>
        <w:rPr>
          <w:bCs/>
          <w:b/>
        </w:rPr>
        <w:t xml:space="preserve">f</w:t>
      </w:r>
      <w:r>
        <w:rPr>
          <w:vertAlign w:val="superscript"/>
          <w:bCs/>
          <w:b/>
        </w:rPr>
        <w:t xml:space="preserve">35</w:t>
      </w:r>
      <w:r>
        <w:t xml:space="preserve"> </w:t>
      </w:r>
      <w:r>
        <w:t xml:space="preserve">odczyt ten jest poświadczony przez co najmniej dziesięć niezależnych linii przekazu, z których niektóre powinny sięgać III wieku. Uważam, że tryb łączący jest prawdopodobnie oryginalny.</w:t>
      </w:r>
    </w:p>
    <w:bookmarkEnd w:id="424"/>
    <w:bookmarkStart w:id="425" w:name="εισιν-316-a-33"/>
    <w:p>
      <w:pPr>
        <w:pStyle w:val="Heading5"/>
      </w:pPr>
      <w:r>
        <w:rPr>
          <w:iCs/>
          <w:i/>
        </w:rPr>
        <w:t xml:space="preserve">εισιν</w:t>
      </w:r>
      <w:r>
        <w:t xml:space="preserve"> </w:t>
      </w:r>
      <w:r>
        <w:t xml:space="preserve">3,16 A (33%)</w:t>
      </w:r>
    </w:p>
    <w:p>
      <w:pPr>
        <w:pStyle w:val="FirstParagraph"/>
      </w:pPr>
      <w:r>
        <w:t xml:space="preserve">Liczba mnoga jest oczywiście poprawna. Poza jawnym świadectwem A i oprócz</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Powtórzę stwierdzenie z części dotyczącej 1 Listu Piotra.</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 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25"/>
    <w:bookmarkStart w:id="426" w:name="πειρασμων-29-ℵ-33"/>
    <w:p>
      <w:pPr>
        <w:pStyle w:val="Heading5"/>
      </w:pPr>
      <w:r>
        <w:rPr>
          <w:iCs/>
          <w:i/>
        </w:rPr>
        <w:t xml:space="preserve">πειρασμων</w:t>
      </w:r>
      <w:r>
        <w:t xml:space="preserve"> </w:t>
      </w:r>
      <w:r>
        <w:t xml:space="preserve">2,9 ℵ (33%)</w:t>
      </w:r>
    </w:p>
    <w:p>
      <w:pPr>
        <w:pStyle w:val="FirstParagraph"/>
      </w:pPr>
      <w:r>
        <w:t xml:space="preserve">Liczba pojedyncza czy mnoga? Uważam liczbę mnogą za wyraźnie lepszą w tym kontekście. 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26"/>
    <w:bookmarkStart w:id="427" w:name="wniosek-4"/>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40% itd. Podobnie jak w Liście Jakuba, 1 Liście Piotra i 1 Liście Jana,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27"/>
    <w:bookmarkEnd w:id="428"/>
    <w:bookmarkEnd w:id="429"/>
    <w:bookmarkStart w:id="438" w:name="list-jana"/>
    <w:p>
      <w:pPr>
        <w:pStyle w:val="Heading3"/>
      </w:pPr>
      <w:r>
        <w:t xml:space="preserve">1 List Jana</w:t>
      </w:r>
    </w:p>
    <w:p>
      <w:pPr>
        <w:pStyle w:val="FirstParagraph"/>
      </w:pPr>
      <w:r>
        <w:t xml:space="preserve">Podobnie jak w przypadku Listu Jakuba oraz 1 i 2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30" w:name="concordia-discors-3"/>
    <w:p>
      <w:pPr>
        <w:pStyle w:val="Heading4"/>
      </w:pPr>
      <w:r>
        <w:rPr>
          <w:iCs/>
          <w:i/>
        </w:rPr>
        <w:t xml:space="preserve">Concordia discors</w:t>
      </w:r>
    </w:p>
    <w:p>
      <w:pPr>
        <w:pStyle w:val="FirstParagraph"/>
      </w:pPr>
      <w:r>
        <w:t xml:space="preserve">Cztery z tych uncjałów zachowały się w 1 Liście Jana (ℵABC), do których dodałem 048, a to, co Burgon nazywa ich „ekscentryczną skłonnością”, jest wyraźnie widoczne. Ekscentryczność ta dowodzi ich niezależności, co będzie szczególnie istotne w dalszym ciągu. Przedstawiam w tabeli ich zachowanie w 87 istotnych zestawach wariantów (z wyłączeniem 31 z</w:t>
      </w:r>
      <w:r>
        <w:t xml:space="preserve"> </w:t>
      </w:r>
      <w:r>
        <w:rPr>
          <w:iCs/>
          <w:i/>
        </w:rPr>
        <w:t xml:space="preserve">rell</w:t>
      </w:r>
      <w:r>
        <w:t xml:space="preserve">) uwzględnionych w aparacie krytycznym mojego wydania greckiego Tekstu 1 Listu Jana.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32</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10</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24</w:t>
            </w:r>
          </w:p>
        </w:tc>
        <w:tc>
          <w:tcPr/>
          <w:p>
            <w:pPr>
              <w:pStyle w:val="Compact"/>
            </w:pPr>
          </w:p>
        </w:tc>
      </w:tr>
      <w:tr>
        <w:tc>
          <w:tcPr/>
          <w:p>
            <w:pPr>
              <w:pStyle w:val="Compact"/>
              <w:jc w:val="left"/>
            </w:pPr>
            <w:r>
              <w:t xml:space="preserve">z udziałem B</w:t>
            </w:r>
          </w:p>
        </w:tc>
        <w:tc>
          <w:tcPr/>
          <w:p>
            <w:pPr>
              <w:pStyle w:val="Compact"/>
              <w:jc w:val="right"/>
            </w:pPr>
            <w:r>
              <w:t xml:space="preserve">18</w:t>
            </w:r>
          </w:p>
        </w:tc>
        <w:tc>
          <w:tcPr/>
          <w:p>
            <w:pPr>
              <w:pStyle w:val="Compact"/>
            </w:pPr>
          </w:p>
        </w:tc>
      </w:tr>
      <w:tr>
        <w:tc>
          <w:tcPr/>
          <w:p>
            <w:pPr>
              <w:pStyle w:val="Compact"/>
              <w:jc w:val="left"/>
            </w:pPr>
            <w:r>
              <w:t xml:space="preserve">z udziałem C</w:t>
            </w:r>
          </w:p>
        </w:tc>
        <w:tc>
          <w:tcPr/>
          <w:p>
            <w:pPr>
              <w:pStyle w:val="Compact"/>
              <w:jc w:val="right"/>
            </w:pPr>
            <w:r>
              <w:t xml:space="preserve">15</w:t>
            </w:r>
          </w:p>
        </w:tc>
        <w:tc>
          <w:tcPr/>
          <w:p>
            <w:pPr>
              <w:pStyle w:val="Compact"/>
              <w:jc w:val="left"/>
            </w:pPr>
            <w:r>
              <w:t xml:space="preserve">(Brakuje C od 4,3 do końca).</w:t>
            </w:r>
          </w:p>
        </w:tc>
      </w:tr>
      <w:tr>
        <w:tc>
          <w:tcPr/>
          <w:p>
            <w:pPr>
              <w:pStyle w:val="Compact"/>
              <w:jc w:val="left"/>
            </w:pPr>
            <w:r>
              <w:t xml:space="preserve">z udziałem 048</w:t>
            </w:r>
          </w:p>
        </w:tc>
        <w:tc>
          <w:tcPr/>
          <w:p>
            <w:pPr>
              <w:pStyle w:val="Compact"/>
              <w:jc w:val="right"/>
            </w:pPr>
            <w:r>
              <w:t xml:space="preserve">3</w:t>
            </w:r>
          </w:p>
        </w:tc>
        <w:tc>
          <w:tcPr/>
          <w:p>
            <w:pPr>
              <w:pStyle w:val="Compact"/>
            </w:pPr>
          </w:p>
        </w:tc>
      </w:tr>
    </w:tbl>
    <w:p>
      <w:pPr>
        <w:pStyle w:val="BodyText"/>
      </w:pPr>
      <w:r>
        <w:t xml:space="preserve">W 84 pozostałych zestawach wariantów (87 minus 3)</w:t>
      </w:r>
      <w:r>
        <w:t xml:space="preserve"> </w:t>
      </w:r>
      <w:r>
        <w:rPr>
          <w:bCs/>
          <w:b/>
        </w:rPr>
        <w:t xml:space="preserve">f</w:t>
      </w:r>
      <w:r>
        <w:rPr>
          <w:vertAlign w:val="superscript"/>
          <w:bCs/>
          <w:b/>
        </w:rPr>
        <w:t xml:space="preserve">35</w:t>
      </w:r>
      <w:r>
        <w:t xml:space="preserve"> </w:t>
      </w:r>
      <w:r>
        <w:t xml:space="preserve">ma jawne poświadczenie tych wczesnych uncjałów w 62%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30"/>
    <w:bookmarkStart w:id="436" w:name="odczyty-mniejszościowe-f35-3"/>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cztery odczyty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te cztery odczyty, zaczynając od najmniejszego odsetka. Najpierw przedstawiam wykaz manuskryptów spoza</w:t>
      </w:r>
      <w:r>
        <w:t xml:space="preserve"> </w:t>
      </w:r>
      <w:r>
        <w:rPr>
          <w:bCs/>
          <w:b/>
        </w:rPr>
        <w:t xml:space="preserve">f</w:t>
      </w:r>
      <w:r>
        <w:rPr>
          <w:vertAlign w:val="superscript"/>
          <w:bCs/>
          <w:b/>
        </w:rPr>
        <w:t xml:space="preserve">35</w:t>
      </w:r>
      <w:r>
        <w:t xml:space="preserve"> </w:t>
      </w:r>
      <w:r>
        <w:t xml:space="preserve">(według</w:t>
      </w:r>
      <w:r>
        <w:t xml:space="preserve"> </w:t>
      </w:r>
      <w:r>
        <w:rPr>
          <w:iCs/>
          <w:i/>
        </w:rPr>
        <w:t xml:space="preserve">ECM</w:t>
      </w:r>
      <w:r>
        <w:t xml:space="preserve">), które poświadczają każdy wariant.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3,6 (20%)</w:t>
            </w:r>
          </w:p>
        </w:tc>
        <w:tc>
          <w:tcPr/>
          <w:p>
            <w:pPr>
              <w:pStyle w:val="Compact"/>
              <w:jc w:val="left"/>
            </w:pPr>
            <w:r>
              <w:t xml:space="preserve">5,11 (24%)</w:t>
            </w:r>
          </w:p>
        </w:tc>
        <w:tc>
          <w:tcPr/>
          <w:p>
            <w:pPr>
              <w:pStyle w:val="Compact"/>
              <w:jc w:val="left"/>
            </w:pPr>
            <w:r>
              <w:t xml:space="preserve">1,6 (29%)</w:t>
            </w:r>
          </w:p>
        </w:tc>
        <w:tc>
          <w:tcPr/>
          <w:p>
            <w:pPr>
              <w:pStyle w:val="Compact"/>
              <w:jc w:val="left"/>
            </w:pPr>
            <w:r>
              <w:t xml:space="preserve">3,24 (30%)</w:t>
            </w:r>
          </w:p>
        </w:tc>
      </w:tr>
      <w:tr>
        <w:tc>
          <w:tcPr/>
          <w:p>
            <w:pPr>
              <w:pStyle w:val="Compact"/>
              <w:jc w:val="left"/>
            </w:pPr>
            <w:r>
              <w:t xml:space="preserve">και</w:t>
            </w:r>
          </w:p>
        </w:tc>
        <w:tc>
          <w:tcPr/>
          <w:p>
            <w:pPr>
              <w:pStyle w:val="Compact"/>
              <w:jc w:val="left"/>
            </w:pPr>
            <w:r>
              <w:t xml:space="preserve">ο θεος ημιν</w:t>
            </w:r>
          </w:p>
        </w:tc>
        <w:tc>
          <w:tcPr/>
          <w:p>
            <w:pPr>
              <w:pStyle w:val="Compact"/>
              <w:jc w:val="left"/>
            </w:pPr>
            <w:r>
              <w:t xml:space="preserve">περιπατουμεν</w:t>
            </w:r>
          </w:p>
        </w:tc>
        <w:tc>
          <w:tcPr/>
          <w:p>
            <w:pPr>
              <w:pStyle w:val="Compact"/>
              <w:jc w:val="left"/>
            </w:pPr>
            <w:r>
              <w:t xml:space="preserve">--- εν</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w:t>
            </w:r>
          </w:p>
        </w:tc>
      </w:tr>
      <w:tr>
        <w:tc>
          <w:tcPr/>
          <w:p>
            <w:pPr>
              <w:pStyle w:val="Compact"/>
              <w:jc w:val="left"/>
            </w:pPr>
            <w:r>
              <w:t xml:space="preserve">---</w:t>
            </w:r>
          </w:p>
        </w:tc>
        <w:tc>
          <w:tcPr/>
          <w:p>
            <w:pPr>
              <w:pStyle w:val="Compact"/>
              <w:jc w:val="left"/>
            </w:pPr>
            <w:r>
              <w:t xml:space="preserve">03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0142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0296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33</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94</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180</w:t>
            </w:r>
          </w:p>
        </w:tc>
        <w:tc>
          <w:tcPr/>
          <w:p>
            <w:pPr>
              <w:pStyle w:val="Compact"/>
              <w:jc w:val="left"/>
            </w:pPr>
            <w:r>
              <w:t xml:space="preserve">180</w:t>
            </w:r>
          </w:p>
        </w:tc>
      </w:tr>
      <w:tr>
        <w:tc>
          <w:tcPr/>
          <w:p>
            <w:pPr>
              <w:pStyle w:val="Compact"/>
              <w:jc w:val="left"/>
            </w:pPr>
            <w:r>
              <w:t xml:space="preserve">254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378</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607</w:t>
            </w:r>
          </w:p>
        </w:tc>
        <w:tc>
          <w:tcPr/>
          <w:p>
            <w:pPr>
              <w:pStyle w:val="Compact"/>
              <w:jc w:val="left"/>
            </w:pPr>
            <w:r>
              <w:t xml:space="preserve">607</w:t>
            </w:r>
          </w:p>
        </w:tc>
      </w:tr>
      <w:tr>
        <w:tc>
          <w:tcPr/>
          <w:p>
            <w:pPr>
              <w:pStyle w:val="Compact"/>
              <w:jc w:val="left"/>
            </w:pPr>
            <w:r>
              <w:t xml:space="preserve">---</w:t>
            </w:r>
          </w:p>
        </w:tc>
        <w:tc>
          <w:tcPr/>
          <w:p>
            <w:pPr>
              <w:pStyle w:val="Compact"/>
              <w:jc w:val="left"/>
            </w:pPr>
            <w:r>
              <w:t xml:space="preserve">614</w:t>
            </w:r>
          </w:p>
        </w:tc>
        <w:tc>
          <w:tcPr/>
          <w:p>
            <w:pPr>
              <w:pStyle w:val="Compact"/>
              <w:jc w:val="left"/>
            </w:pPr>
            <w:r>
              <w:t xml:space="preserve">---</w:t>
            </w:r>
          </w:p>
        </w:tc>
        <w:tc>
          <w:tcPr/>
          <w:p>
            <w:pPr>
              <w:pStyle w:val="Compact"/>
              <w:jc w:val="left"/>
            </w:pPr>
            <w:r>
              <w:t xml:space="preserve">614</w:t>
            </w:r>
          </w:p>
        </w:tc>
      </w:tr>
      <w:tr>
        <w:tc>
          <w:tcPr/>
          <w:p>
            <w:pPr>
              <w:pStyle w:val="Compact"/>
              <w:jc w:val="left"/>
            </w:pPr>
            <w:r>
              <w:t xml:space="preserve">---</w:t>
            </w:r>
          </w:p>
        </w:tc>
        <w:tc>
          <w:tcPr/>
          <w:p>
            <w:pPr>
              <w:pStyle w:val="Compact"/>
              <w:jc w:val="left"/>
            </w:pPr>
            <w:r>
              <w:t xml:space="preserve">630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1292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1501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1505</w:t>
            </w:r>
          </w:p>
        </w:tc>
        <w:tc>
          <w:tcPr/>
          <w:p>
            <w:pPr>
              <w:pStyle w:val="Compact"/>
              <w:jc w:val="left"/>
            </w:pPr>
            <w:r>
              <w:t xml:space="preserve">1505</w:t>
            </w:r>
          </w:p>
        </w:tc>
        <w:tc>
          <w:tcPr/>
          <w:p>
            <w:pPr>
              <w:pStyle w:val="Compact"/>
              <w:jc w:val="left"/>
            </w:pPr>
            <w:r>
              <w:t xml:space="preserve">---</w:t>
            </w:r>
          </w:p>
        </w:tc>
      </w:tr>
      <w:tr>
        <w:tc>
          <w:tcPr/>
          <w:p>
            <w:pPr>
              <w:pStyle w:val="Compact"/>
              <w:jc w:val="left"/>
            </w:pPr>
            <w:r>
              <w:t xml:space="preserve">1523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1524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1739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1827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1836</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1842</w:t>
            </w:r>
          </w:p>
        </w:tc>
        <w:tc>
          <w:tcPr/>
          <w:p>
            <w:pPr>
              <w:pStyle w:val="Compact"/>
              <w:jc w:val="left"/>
            </w:pPr>
            <w:r>
              <w:t xml:space="preserve">---</w:t>
            </w:r>
          </w:p>
        </w:tc>
      </w:tr>
      <w:tr>
        <w:tc>
          <w:tcPr/>
          <w:p>
            <w:pPr>
              <w:pStyle w:val="Compact"/>
              <w:jc w:val="left"/>
            </w:pPr>
            <w:r>
              <w:t xml:space="preserve">1844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1881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1890</w:t>
            </w:r>
          </w:p>
        </w:tc>
        <w:tc>
          <w:tcPr/>
          <w:p>
            <w:pPr>
              <w:pStyle w:val="Compact"/>
              <w:jc w:val="left"/>
            </w:pPr>
            <w:r>
              <w:t xml:space="preserve">1890</w:t>
            </w:r>
          </w:p>
        </w:tc>
      </w:tr>
      <w:tr>
        <w:tc>
          <w:tcPr/>
          <w:p>
            <w:pPr>
              <w:pStyle w:val="Compact"/>
              <w:jc w:val="left"/>
            </w:pPr>
            <w:r>
              <w:t xml:space="preserve">---</w:t>
            </w:r>
          </w:p>
        </w:tc>
        <w:tc>
          <w:tcPr/>
          <w:p>
            <w:pPr>
              <w:pStyle w:val="Compact"/>
              <w:jc w:val="left"/>
            </w:pPr>
            <w:r>
              <w:t xml:space="preserve">2138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2147</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2200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2374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2412</w:t>
            </w:r>
          </w:p>
        </w:tc>
        <w:tc>
          <w:tcPr/>
          <w:p>
            <w:pPr>
              <w:pStyle w:val="Compact"/>
              <w:jc w:val="left"/>
            </w:pPr>
            <w:r>
              <w:t xml:space="preserve">---</w:t>
            </w:r>
          </w:p>
        </w:tc>
        <w:tc>
          <w:tcPr/>
          <w:p>
            <w:pPr>
              <w:pStyle w:val="Compact"/>
              <w:jc w:val="left"/>
            </w:pPr>
            <w:r>
              <w:t xml:space="preserve">2412</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2423</w:t>
            </w:r>
          </w:p>
        </w:tc>
      </w:tr>
      <w:tr>
        <w:tc>
          <w:tcPr/>
          <w:p>
            <w:pPr>
              <w:pStyle w:val="Compact"/>
              <w:jc w:val="left"/>
            </w:pPr>
            <w:r>
              <w:t xml:space="preserve">---</w:t>
            </w:r>
          </w:p>
        </w:tc>
        <w:tc>
          <w:tcPr/>
          <w:p>
            <w:pPr>
              <w:pStyle w:val="Compact"/>
              <w:jc w:val="left"/>
            </w:pPr>
            <w:r>
              <w:t xml:space="preserve">2492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2544</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2652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2805</w:t>
            </w:r>
          </w:p>
        </w:tc>
      </w:tr>
    </w:tbl>
    <w:p>
      <w:pPr>
        <w:pStyle w:val="BodyText"/>
      </w:pPr>
      <w:r>
        <w:t xml:space="preserve">Podobnie jak w Liście Jakuba, między dwiema pierwszymi kolumnami nie ma pokrywania się,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uważam, wówczas sięga Oryginału — jakie inne rozsądne wyjaśnienie istnieje?</w:t>
      </w:r>
    </w:p>
    <w:bookmarkStart w:id="431" w:name="και-36-20"/>
    <w:p>
      <w:pPr>
        <w:pStyle w:val="Heading5"/>
      </w:pPr>
      <w:r>
        <w:rPr>
          <w:iCs/>
          <w:i/>
        </w:rPr>
        <w:t xml:space="preserve">και</w:t>
      </w:r>
      <w:r>
        <w:t xml:space="preserve"> </w:t>
      </w:r>
      <w:r>
        <w:t xml:space="preserve">3,6 (20%)</w:t>
      </w:r>
    </w:p>
    <w:p>
      <w:pPr>
        <w:pStyle w:val="FirstParagraph"/>
      </w:pPr>
      <w:r>
        <w:t xml:space="preserve">Spośród ośmiu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żaden nie jest bizantyjski. Rękopisy kursywne 1523 i 1524 prawdopodobnie łączą się jedno pokolenie wstecz, być może dwa pokolenia wstecz dołącza do nich 1844, być może trzy pokolenia wstecz dołącza do nich 254, te cztery manuskrypty redukują się więc do jednej linii przekazu. Jak sobie wyobrażam, w V wieku και jest poświadczone przez pięć niezależnych linii przekazu oprócz</w:t>
      </w:r>
      <w:r>
        <w:t xml:space="preserve"> </w:t>
      </w:r>
      <w:r>
        <w:rPr>
          <w:bCs/>
          <w:b/>
        </w:rPr>
        <w:t xml:space="preserve">f</w:t>
      </w:r>
      <w:r>
        <w:rPr>
          <w:vertAlign w:val="superscript"/>
          <w:bCs/>
          <w:b/>
        </w:rPr>
        <w:t xml:space="preserve">35</w:t>
      </w:r>
      <w:r>
        <w:t xml:space="preserve">. Ponieważ ich mozaiki/profile są bardzo odmienne, większość z nich prawdopodobnie sięga III wieku. Wariant ten jest z pewnością starożytny i niczego w ogóle nie zawdzięcza</w:t>
      </w:r>
      <w:r>
        <w:t xml:space="preserve"> </w:t>
      </w:r>
      <w:r>
        <w:rPr>
          <w:bCs/>
          <w:b/>
        </w:rPr>
        <w:t xml:space="preserve">K</w:t>
      </w:r>
      <w:r>
        <w:rPr>
          <w:vertAlign w:val="superscript"/>
          <w:bCs/>
          <w:b/>
        </w:rPr>
        <w:t xml:space="preserve">x</w:t>
      </w:r>
      <w:r>
        <w:t xml:space="preserve">. Uważam spójnik za emfatyczny i prawdopodobnie oryginalny. Porównując to z ιθυνοντος w Liście Jakuba (3,4 (21%)), nie ma pokrywania się z ośmioma manuskryptami spoza</w:t>
      </w:r>
      <w:r>
        <w:t xml:space="preserve"> </w:t>
      </w:r>
      <w:r>
        <w:rPr>
          <w:bCs/>
          <w:b/>
        </w:rPr>
        <w:t xml:space="preserve">f</w:t>
      </w:r>
      <w:r>
        <w:rPr>
          <w:vertAlign w:val="superscript"/>
          <w:bCs/>
          <w:b/>
        </w:rPr>
        <w:t xml:space="preserve">35</w:t>
      </w:r>
      <w:r>
        <w:t xml:space="preserve"> </w:t>
      </w:r>
      <w:r>
        <w:t xml:space="preserve">wymienionymi tam przez</w:t>
      </w:r>
      <w:r>
        <w:t xml:space="preserve"> </w:t>
      </w:r>
      <w:r>
        <w:rPr>
          <w:iCs/>
          <w:i/>
        </w:rPr>
        <w:t xml:space="preserve">ECM</w:t>
      </w:r>
      <w:r>
        <w:t xml:space="preserve">, między tymi dwoma odczytami mamy więc dziesięć niezależnych linii przekazu w V wieku, oprócz</w:t>
      </w:r>
      <w:r>
        <w:t xml:space="preserve"> </w:t>
      </w:r>
      <w:r>
        <w:rPr>
          <w:bCs/>
          <w:b/>
        </w:rPr>
        <w:t xml:space="preserve">f</w:t>
      </w:r>
      <w:r>
        <w:rPr>
          <w:vertAlign w:val="superscript"/>
          <w:bCs/>
          <w:b/>
        </w:rPr>
        <w:t xml:space="preserve">35</w:t>
      </w:r>
      <w:r>
        <w:t xml:space="preserve">.</w:t>
      </w:r>
    </w:p>
    <w:bookmarkEnd w:id="431"/>
    <w:bookmarkStart w:id="432" w:name="ο-θεος-ημιν-511-b-24"/>
    <w:p>
      <w:pPr>
        <w:pStyle w:val="Heading5"/>
      </w:pPr>
      <w:r>
        <w:rPr>
          <w:iCs/>
          <w:i/>
        </w:rPr>
        <w:t xml:space="preserve">ο Θεος ημιν</w:t>
      </w:r>
      <w:r>
        <w:t xml:space="preserve"> </w:t>
      </w:r>
      <w:r>
        <w:t xml:space="preserve">5,11 B (24%)</w:t>
      </w:r>
    </w:p>
    <w:p>
      <w:pPr>
        <w:pStyle w:val="FirstParagraph"/>
      </w:pPr>
      <w:r>
        <w:t xml:space="preserve">Spośród szesnastu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tylko jeden jest bizantyjski (69, dostateczny). Nie ma pokrywania się z ośmioma powyższymi. Kodeks B zapewnia jawne poświadczenie z IV wieku. 0296 jest fragmentem z VI wieku, zbyt małym, by go sklasyfikować. Rękopisy kursywne 630, 1292, 1611, 2138 i 2200 spotkają się do V wieku, reprezentują zatem jedną linię przekazu. Rękopisy kursywne 614 i 2412 tworzą parę. Jak sobie wyobrażam, w V wieku wariant ten jest poświadczony przez jedenaście niezależnych linii przekazu oprócz</w:t>
      </w:r>
      <w:r>
        <w:t xml:space="preserve"> </w:t>
      </w:r>
      <w:r>
        <w:rPr>
          <w:bCs/>
          <w:b/>
        </w:rPr>
        <w:t xml:space="preserve">f</w:t>
      </w:r>
      <w:r>
        <w:rPr>
          <w:vertAlign w:val="superscript"/>
          <w:bCs/>
          <w:b/>
        </w:rPr>
        <w:t xml:space="preserve">35</w:t>
      </w:r>
      <w:r>
        <w:t xml:space="preserve">. Ich profile są na tyle odmienne, że nie zdziwiłbym się, gdybym osiem z nich znalazł w III wieku. Odczyt ten jest z pewnością starożytny, niczego w ogóle nie zawdzięcza</w:t>
      </w:r>
      <w:r>
        <w:t xml:space="preserve"> </w:t>
      </w:r>
      <w:r>
        <w:rPr>
          <w:bCs/>
          <w:b/>
        </w:rPr>
        <w:t xml:space="preserve">K</w:t>
      </w:r>
      <w:r>
        <w:rPr>
          <w:vertAlign w:val="superscript"/>
          <w:bCs/>
          <w:b/>
        </w:rPr>
        <w:t xml:space="preserve">x</w:t>
      </w:r>
      <w:r>
        <w:t xml:space="preserve">, a moim zdaniem jest najprawdopodobniej oryginalny. Porównując to z δυναμενος w Liście Jakuba (3,2 (23%)), dzielą one trzy linie przekazu, lecz pozostaje trzynaście, które należy dodać do jedenastu tutaj — 11 + 13 = 24! Zachowane manuskrypty z pierwszych pięciu wieków absolutnie nie przedstawiają rzeczywistego stanu rzeczy w tamtym czasie.</w:t>
      </w:r>
    </w:p>
    <w:bookmarkEnd w:id="432"/>
    <w:bookmarkStart w:id="434" w:name="περιπατουμεν-16-29"/>
    <w:p>
      <w:pPr>
        <w:pStyle w:val="Heading5"/>
      </w:pPr>
      <w:r>
        <w:rPr>
          <w:iCs/>
          <w:i/>
        </w:rPr>
        <w:t xml:space="preserve">περιπατουμεν</w:t>
      </w:r>
      <w:r>
        <w:t xml:space="preserve"> </w:t>
      </w:r>
      <w:r>
        <w:t xml:space="preserve">1,6 (29%)</w:t>
      </w:r>
    </w:p>
    <w:p>
      <w:pPr>
        <w:pStyle w:val="FirstParagraph"/>
      </w:pPr>
      <w:r>
        <w:t xml:space="preserve">Spośród trzynastu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rękopisy kursywne 2147 i 2652 są bardzo bliskie, a do V wieku dołączy do nich 378. Wszystkie sześć manuskryptów bizantyjskich ma dość odmienne profile, wystarczająco odmienne, by w V wieku nadal reprezentowały sześć linii.</w:t>
      </w:r>
      <w:r>
        <w:rPr>
          <w:rStyle w:val="FootnoteReference"/>
        </w:rPr>
        <w:footnoteReference w:id="433"/>
      </w:r>
      <w:r>
        <w:t xml:space="preserve"> </w:t>
      </w:r>
      <w:r>
        <w:t xml:space="preserve">W V wieku wariant ten ma więc jedenaście niezależnych linii przekazu oprócz</w:t>
      </w:r>
      <w:r>
        <w:t xml:space="preserve"> </w:t>
      </w:r>
      <w:r>
        <w:rPr>
          <w:bCs/>
          <w:b/>
        </w:rPr>
        <w:t xml:space="preserve">f</w:t>
      </w:r>
      <w:r>
        <w:rPr>
          <w:vertAlign w:val="superscript"/>
          <w:bCs/>
          <w:b/>
        </w:rPr>
        <w:t xml:space="preserve">35</w:t>
      </w:r>
      <w:r>
        <w:t xml:space="preserve">, z których tylko jedna jest wspólna z drugą kolumną. Dla tych pierwszych trzech odczytów</w:t>
      </w:r>
      <w:r>
        <w:t xml:space="preserve"> </w:t>
      </w:r>
      <w:r>
        <w:rPr>
          <w:bCs/>
          <w:b/>
        </w:rPr>
        <w:t xml:space="preserve">f</w:t>
      </w:r>
      <w:r>
        <w:rPr>
          <w:vertAlign w:val="superscript"/>
          <w:bCs/>
          <w:b/>
        </w:rPr>
        <w:t xml:space="preserve">35</w:t>
      </w:r>
      <w:r>
        <w:t xml:space="preserve"> </w:t>
      </w:r>
      <w:r>
        <w:t xml:space="preserve">znajduje więc poparcie 26 niezależnych linii przekazu (5 + 11 + 10), sięgających, jak przypuszczam, V wieku, sama pozostając niezależna od nich wszystkich. W aparacie argumentowałem już na podstawie gramatyki i kontekstu, że περιπατουμεν jest poprawne, a zatem oryginalne — z pewnością jest starożytne. Jeśli każde słowo niezależnego typu tekstu jest starożytne, wynika z tego z konieczności, że sam typ tekstu jest starożytny.</w:t>
      </w:r>
    </w:p>
    <w:bookmarkEnd w:id="434"/>
    <w:bookmarkStart w:id="435" w:name="εν-324-ℵ-30"/>
    <w:p>
      <w:pPr>
        <w:pStyle w:val="Heading5"/>
      </w:pPr>
      <w:r>
        <w:t xml:space="preserve">---</w:t>
      </w:r>
      <w:r>
        <w:t xml:space="preserve"> </w:t>
      </w:r>
      <w:r>
        <w:rPr>
          <w:iCs/>
          <w:i/>
        </w:rPr>
        <w:t xml:space="preserve">εν</w:t>
      </w:r>
      <w:r>
        <w:t xml:space="preserve"> </w:t>
      </w:r>
      <w:r>
        <w:t xml:space="preserve">3,24 ℵ (30%)</w:t>
      </w:r>
    </w:p>
    <w:p>
      <w:pPr>
        <w:pStyle w:val="FirstParagraph"/>
      </w:pPr>
      <w:r>
        <w:t xml:space="preserve">Spośród dziesięciu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rękopisy kursywne 614 i 2412 reprezentują jedną linię. Rękopis kursywny 1836 zawiera tylko jedną trzecią całości, dlatego go pomijam. Kodeks ℵ zapewnia jawne poświadczenie z IV wieku. Spośród pięciu manuskryptów bizantyjskich 607 i 2423 reprezentują jedną linię. Pozostaje zatem siedem niezależnych linii przekazu w V wieku, poza</w:t>
      </w:r>
      <w:r>
        <w:t xml:space="preserve"> </w:t>
      </w:r>
      <w:r>
        <w:rPr>
          <w:bCs/>
          <w:b/>
        </w:rPr>
        <w:t xml:space="preserve">f</w:t>
      </w:r>
      <w:r>
        <w:rPr>
          <w:vertAlign w:val="superscript"/>
          <w:bCs/>
          <w:b/>
        </w:rPr>
        <w:t xml:space="preserve">35</w:t>
      </w:r>
      <w:r>
        <w:t xml:space="preserve">, z których trzy są wspólne z trzecią kolumną, a kolejna z drugą. Odczyt ten jest z pewnością starożytny, a moim zdaniem najprawdopodobniej oryginalny.</w:t>
      </w:r>
    </w:p>
    <w:bookmarkEnd w:id="435"/>
    <w:bookmarkEnd w:id="436"/>
    <w:bookmarkStart w:id="437" w:name="wniosek-5"/>
    <w:p>
      <w:pPr>
        <w:pStyle w:val="Heading4"/>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Pozwolę sobie powtórzyć kilka najważniejszych punktów:</w:t>
      </w:r>
    </w:p>
    <w:p>
      <w:pPr>
        <w:numPr>
          <w:ilvl w:val="0"/>
          <w:numId w:val="1076"/>
        </w:numPr>
      </w:pPr>
      <w:r>
        <w:rPr>
          <w:bCs/>
          <w:b/>
        </w:rPr>
        <w:t xml:space="preserve">f</w:t>
      </w:r>
      <w:r>
        <w:rPr>
          <w:vertAlign w:val="superscript"/>
          <w:bCs/>
          <w:b/>
        </w:rPr>
        <w:t xml:space="preserve">35</w:t>
      </w:r>
      <w:r>
        <w:t xml:space="preserve"> </w:t>
      </w:r>
      <w:r>
        <w:t xml:space="preserve">jest wczesna i niezależna — niezależna od wszystkich innych znanych linii przekazu,</w:t>
      </w:r>
    </w:p>
    <w:p>
      <w:pPr>
        <w:numPr>
          <w:ilvl w:val="0"/>
          <w:numId w:val="1076"/>
        </w:numPr>
      </w:pPr>
      <w:r>
        <w:t xml:space="preserve">jeśli jest niezależna od wszystkich innych linii przekazu, z konieczności musi sięgać Autografów,</w:t>
      </w:r>
    </w:p>
    <w:p>
      <w:pPr>
        <w:numPr>
          <w:ilvl w:val="0"/>
          <w:numId w:val="1076"/>
        </w:numPr>
      </w:pPr>
      <w:r>
        <w:t xml:space="preserve">jeśli każde słowo niezależnego typu tekstu jest starożytne, wynika z tego z konieczności, że sam typ tekstu jest starożytny,</w:t>
      </w:r>
    </w:p>
    <w:p>
      <w:pPr>
        <w:numPr>
          <w:ilvl w:val="0"/>
          <w:numId w:val="1076"/>
        </w:numPr>
      </w:pPr>
      <w:r>
        <w:t xml:space="preserve">zachowane manuskrypty z pierwszych pięciu wieków absolutnie nie przedstawiają rzeczywistego stanu rzeczy w tamtym czasie.</w:t>
      </w:r>
    </w:p>
    <w:bookmarkEnd w:id="437"/>
    <w:bookmarkEnd w:id="438"/>
    <w:bookmarkEnd w:id="439"/>
    <w:bookmarkStart w:id="497" w:name="X2b6affaa876eb90dffbc754ab591c18f31e3f92"/>
    <w:p>
      <w:pPr>
        <w:pStyle w:val="Heading2"/>
      </w:pPr>
      <w:r>
        <w:t xml:space="preserve">Podstawowa przyczyna ciągłego odchodzenia od biblijnej nieomylności i wynikającego z niej obiektywnego autorytetu</w:t>
      </w:r>
    </w:p>
    <w:p>
      <w:pPr>
        <w:pStyle w:val="FirstParagraph"/>
      </w:pPr>
      <w:r>
        <w:t xml:space="preserve">Ta część świata akademickiego, która zajmuje się Tekstem biblijnym, łącznie z tymi, którzy nazywają siebie „ewangelikalnymi”, jest zdominowana przez pogląd, że oryginalne sformułowania zaginęły, w tym sensie, że nikt nie wie na pewno, jakie są lub były (jeśli rzeczywiście kiedykolwiek istniały jako Autograf).</w:t>
      </w:r>
      <w:r>
        <w:rPr>
          <w:rStyle w:val="FootnoteReference"/>
        </w:rPr>
        <w:footnoteReference w:id="440"/>
      </w:r>
      <w:r>
        <w:t xml:space="preserve"> </w:t>
      </w:r>
      <w:r>
        <w:t xml:space="preserve">Pogląd ten leży u podstaw wszystkiego, czego naucza się w dziedzinie krytyki tekstu Nowego Testamentu w większości szkół. Próbując zrozumieć, skąd pochodzi ten pogląd, naszkicuję nieco istotnej historii.</w:t>
      </w:r>
    </w:p>
    <w:bookmarkStart w:id="454" w:name="nieco-istotnej-historii"/>
    <w:p>
      <w:pPr>
        <w:pStyle w:val="Heading3"/>
      </w:pPr>
      <w:r>
        <w:t xml:space="preserve">Nieco istotnej historii</w:t>
      </w:r>
    </w:p>
    <w:p>
      <w:pPr>
        <w:pStyle w:val="FirstParagraph"/>
      </w:pPr>
      <w:r>
        <w:t xml:space="preserve">Dyscyplina krytyki tekstu Nowego Testamentu, jaką znamy, jest zasadniczo „dzieckiem” Europy Zachodniej i jej kolonii, Wschodnie Kościoły Prawosławne na ogół nie były w nią zaangażowane. (Zawsze wiedziały, że prawdziwy Tekst Nowego Testamentu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samodzielnie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w:t>
      </w:r>
      <w:r>
        <w:rPr>
          <w:rStyle w:val="FootnoteReference"/>
        </w:rPr>
        <w:footnoteReference w:id="441"/>
      </w:r>
      <w:r>
        <w:t xml:space="preserve"> </w:t>
      </w:r>
      <w:r>
        <w:t xml:space="preserve">Krótko mówiąc, Kościół rzymski zmusił reformację do zmierzenia się ze zróżnicowaniem tekstowym wśród greckich manuskryptów. Reformatorzy nie wiedzieli jednak, jak się do tego zabrać, ponieważ była to nowa dziedzina badań i</w:t>
      </w:r>
      <w:r>
        <w:t xml:space="preserve"> </w:t>
      </w:r>
      <w:r>
        <w:rPr>
          <w:u w:val="single"/>
        </w:rPr>
        <w:t xml:space="preserve">po prostu nie posiadali wystarczającej części istotnych dowodów</w:t>
      </w:r>
      <w:r>
        <w:t xml:space="preserve">.</w:t>
      </w:r>
      <w:r>
        <w:rPr>
          <w:rStyle w:val="FootnoteReference"/>
        </w:rPr>
        <w:footnoteReference w:id="442"/>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Rozważmy List do Efezjan 2,2: „w których niegdyś chodziliście, według Eonu tego świata, władcy dziedziny powietrza, ducha, który teraz działa w synach nieposłuszeństwa”. Ściśle rzecz biorąc, Tekst ma: „według Eonu tego świata, według władcy dziedziny powietrza”,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w:t>
      </w:r>
      <w:r>
        <w:rPr>
          <w:rStyle w:val="FootnoteReference"/>
        </w:rPr>
        <w:footnoteReference w:id="443"/>
      </w:r>
      <w:r>
        <w:t xml:space="preserve"> </w:t>
      </w:r>
      <w:r>
        <w:t xml:space="preserve">„Synowie nieposłuszeństwa” przyłączyli się do ataku na Pismo. Tak zwana „wyższa krytyka” całkowicie zaprzeczyła boskiemu natchnieniu.</w:t>
      </w:r>
      <w:r>
        <w:rPr>
          <w:rStyle w:val="FootnoteReference"/>
        </w:rPr>
        <w:footnoteReference w:id="444"/>
      </w:r>
      <w:r>
        <w:t xml:space="preserve"> </w:t>
      </w:r>
      <w:r>
        <w:t xml:space="preserve">Inni wykorzystali zróżnicowanie tekstowe, by argumentować, że w każdym razie oryginalne sformułowania „zaginęły”, ponieważ nie istnieje żaden obiektywny sposób ustalenia, jakie mogły być (niestety w tamtym czasie nikt nie był w stanie dostrzec takiego sposobu).</w:t>
      </w:r>
    </w:p>
    <w:p>
      <w:pPr>
        <w:pStyle w:val="BodyText"/>
      </w:pPr>
      <w:r>
        <w:t xml:space="preserve">Ważnym czynnikiem było bezkrytyczne założenie, że „najstarsze znaczy najlepsze”, a w miarę odkrywania wcześniejszych uncjałów nabierało ono coraz większego znaczenia.</w:t>
      </w:r>
      <w:r>
        <w:rPr>
          <w:rStyle w:val="FootnoteReference"/>
        </w:rPr>
        <w:footnoteReference w:id="445"/>
      </w:r>
      <w:r>
        <w:t xml:space="preserve"> </w:t>
      </w:r>
      <w:r>
        <w:t xml:space="preserve">Zarówno Kodeks Watykański, jak i Kodeks Bezy były dostępne od dawna, a tylko w Ewangeliach występują między nimi tysiące rozbieżności (w Dziejach Apostolskich Beza jest niepohamowany niemal ponad wszelką wiarę).</w:t>
      </w:r>
      <w:r>
        <w:t xml:space="preserve"> </w:t>
      </w:r>
      <w:r>
        <w:rPr>
          <w:u w:val="single"/>
          <w:bCs/>
          <w:b/>
        </w:rPr>
        <w:t xml:space="preserve">Jeśli</w:t>
      </w:r>
      <w:r>
        <w:t xml:space="preserve"> </w:t>
      </w:r>
      <w:r>
        <w:t xml:space="preserve">„najstarsze znaczy najlepsze”, a najstarsze manuskrypty nieustannie i masowo nie zgadzają się między sobą, wówczas odzyskanie zaginionego tekstu staje się beznadziejne. Czy to do ciebie dotarło?</w:t>
      </w:r>
      <w:r>
        <w:t xml:space="preserve"> </w:t>
      </w:r>
      <w:r>
        <w:rPr>
          <w:bCs/>
          <w:b/>
        </w:rPr>
        <w:t xml:space="preserve">Beznadziejne, całkowicie beznadziejne</w:t>
      </w:r>
      <w:r>
        <w:t xml:space="preserve">! Argumentowałem jednak (i nadal to czynię), że „najstarsze znaczy najgorsze”, a to radykalnie zmienia obraz. 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(Gdyby zestawił wszystkie różnice, suma niewątpliwie wzrosłaby o kilkaset). Otóż prosta logika wymaga, by jeden albo drugi mylił się w tych ponad 3000 przypadkach, oba nie mogą mieć racji, zupełnie niezależnie od przypadków, w których oba się mylą.</w:t>
      </w:r>
      <w:r>
        <w:t xml:space="preserve"> </w:t>
      </w:r>
      <w:r>
        <w:rPr>
          <w:bCs/>
          <w:b/>
        </w:rPr>
        <w:t xml:space="preserve">Żadna ilość subiektywnych preferencji nie może przesłonić faktu, że obiektywnie rzecz biorąc, są to kiepskie kopie</w:t>
      </w:r>
      <w:r>
        <w:t xml:space="preserve">.</w:t>
      </w:r>
      <w:r>
        <w:rPr>
          <w:rStyle w:val="FootnoteReference"/>
        </w:rPr>
        <w:footnoteReference w:id="446"/>
      </w:r>
      <w:r>
        <w:t xml:space="preserve"> </w:t>
      </w:r>
      <w:r>
        <w:t xml:space="preserve">Były tak złe, że nikt nie mógł znieść ich używania, dlatego przetrwały fizycznie (nie miały jednak „dzieci”, ponieważ nikt nie chciał ich kopiować).</w:t>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w:t>
      </w:r>
      <w:r>
        <w:t xml:space="preserve"> </w:t>
      </w:r>
      <w:r>
        <w:rPr>
          <w:u w:val="single"/>
        </w:rPr>
        <w:t xml:space="preserve">i rozum. Jak dotąd wszystko dobrze, lecz wielu nie chciało Pisma, pozostał im więc tylko</w:t>
      </w:r>
      <w:r>
        <w:t xml:space="preserve"> </w:t>
      </w:r>
      <w:r>
        <w:t xml:space="preserve">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 Panujące przekonanie, że koine była złą greką, uprzedziło wielu do Nowego Testamentu.</w:t>
      </w:r>
    </w:p>
    <w:p>
      <w:pPr>
        <w:pStyle w:val="BodyText"/>
      </w:pPr>
      <w:r>
        <w:t xml:space="preserve">Wszystko to postawiło obrońców natchnionej greckiej Biblii w defensywie, przed bardzo realnym problemem ustalenia, gdzie najlepiej wyznaczyć możliwy do obrony obwód.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447"/>
      </w:r>
      <w:r>
        <w:t xml:space="preserve"> </w:t>
      </w:r>
      <w:r>
        <w:t xml:space="preserve">Powiedziałbym, że Boska Opatrzność istotnie działała, ponieważ TR jest dobrym Tekstem, znacznie lepszym od tekstu eklektycznego będącego obecnie w modzie.</w:t>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448"/>
      </w:r>
      <w:r>
        <w:t xml:space="preserve"> </w:t>
      </w:r>
      <w:r>
        <w:t xml:space="preserve">Jego teoria krytyki tekstu Nowego Testamentu, opublikowana w 1881 roku,</w:t>
      </w:r>
      <w:r>
        <w:rPr>
          <w:rStyle w:val="FootnoteReference"/>
        </w:rPr>
        <w:footnoteReference w:id="449"/>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450"/>
      </w:r>
    </w:p>
    <w:p>
      <w:pPr>
        <w:pStyle w:val="BodyText"/>
      </w:pPr>
      <w:r>
        <w:t xml:space="preserve">Jak jednak doszło do tego, że teoria Horta zdołała przejąć wydziały greki konserwatywnych szkół w Ameryce Północnej? Odpowiedź zaczyna się od natarcia liberalnej teologii na protestanckie kościoły tego kontynentu na początku XX wieku. Wielkim obrońcą boskiego natchnienia Pisma był prezbiterianin Benjamin B. Warfield. Jego obrona natchnienia jest tak dobra, że trudno ją ulepszyć. W którymś momencie postanowił jednak wyjechać na studia do Niemiec, jak sądzę, do Tybingi. Gdy wrócił, dziękował Bogu za wzbudzenie Westcotta i Horta, aby przywrócili tekst Nowego Testamentu (zastanów się nad konsekwencją słowa „przywrócili”). Jeden z jego studentów, baptysta Archibald T. Robertson, poszedł za Warfieldem. Prestiż tych dwóch ludzi był tak wielki, że ich pogląd ogarnął szkoły teologiczne kontynentu. Proszę czytelnika o cierpliwość, gdy spróbuję zdiagnozować, co przydarzyło się Warfieldowi w Tybindze.</w:t>
      </w:r>
    </w:p>
    <w:p>
      <w:pPr>
        <w:pStyle w:val="BodyText"/>
      </w:pPr>
      <w:r>
        <w:t xml:space="preserve">W Tybindze Warfield znalazł się wśród wrogów natchnionej Biblii. Był obrońcą boskiego natchnienia, lecz aby natchniony tekst miał dzisiaj obiektywny autorytet, musiał zostać zachowany.</w:t>
      </w:r>
      <w:r>
        <w:rPr>
          <w:rStyle w:val="FootnoteReference"/>
        </w:rPr>
        <w:footnoteReference w:id="451"/>
      </w:r>
      <w:r>
        <w:t xml:space="preserve"> </w:t>
      </w:r>
      <w:r>
        <w:t xml:space="preserve">Przy panującej wówczas niewiedzy o istotnych dowodach Warfield po prostu nie potrafił bronić zachowania na gruncie obiektywnym (nie potrafił też nikt inny — ma to decydujące znaczenie dla zrozumienia tego, co się stało). Stanął wobec faktu szerokiego zróżnicowania między zachowanymi greckimi manuskryptami. Jeszcze gorsze — o wiele gorsze — było założenie, że „najstarsze znaczy najlepsze”, ponieważ najstarsze manuskrypty są beznadziejnie skłócone między sobą. Na przykład dwa wielkie wczesne kodeksy, Watykański i Synajski, różnią się między sobą znacznie ponad 3000 razy tylko w czterech Ewangeliach. Otóż oba nie mogą mieć racji, jeden albo drugi</w:t>
      </w:r>
      <w:r>
        <w:t xml:space="preserve"> </w:t>
      </w:r>
      <w:r>
        <w:rPr>
          <w:bCs/>
          <w:b/>
        </w:rPr>
        <w:t xml:space="preserve">musi</w:t>
      </w:r>
      <w:r>
        <w:t xml:space="preserve"> </w:t>
      </w:r>
      <w:r>
        <w:t xml:space="preserve">się mylić, zupełnie niezależnie od miejsc, w których mylą się</w:t>
      </w:r>
      <w:r>
        <w:t xml:space="preserve"> </w:t>
      </w:r>
      <w:r>
        <w:rPr>
          <w:u w:val="single"/>
        </w:rPr>
        <w:t xml:space="preserve">oba</w:t>
      </w:r>
      <w:r>
        <w:t xml:space="preserve">. Co zatem biedny Warfield miał zrobić? Na scenę wchodzą Westcott i Hort. Hort twierdził, że wskutek ich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 twierdzenie było więc fałszywe).</w:t>
      </w:r>
      <w:r>
        <w:rPr>
          <w:rStyle w:val="FootnoteReference"/>
        </w:rPr>
        <w:footnoteReference w:id="452"/>
      </w:r>
      <w:r>
        <w:t xml:space="preserve"> </w:t>
      </w:r>
      <w:r>
        <w:t xml:space="preserve">Warfield uchwycił się tego jak tonący brzytwy, wyrządzając tym poważną szkodę północnoamerykańskiemu ewangelikalizmowi.</w:t>
      </w:r>
      <w:r>
        <w:rPr>
          <w:rStyle w:val="FootnoteReference"/>
        </w:rPr>
        <w:footnoteReference w:id="453"/>
      </w:r>
    </w:p>
    <w:bookmarkEnd w:id="454"/>
    <w:bookmarkStart w:id="462" w:name="dlaczego-odchodzenie-trwa-nieustannie"/>
    <w:p>
      <w:pPr>
        <w:pStyle w:val="Heading3"/>
      </w:pPr>
      <w:r>
        <w:t xml:space="preserve">Dlaczego odchodzenie trwa nieustannie</w:t>
      </w:r>
    </w:p>
    <w:p>
      <w:pPr>
        <w:pStyle w:val="FirstParagraph"/>
      </w:pPr>
      <w:r>
        <w:t xml:space="preserve">Aby zrozumieć pełny wpływ natarcia liberalnej teologii, trzeba uwzględnić środowisko. Rozum zawsze był ważny dla historycznych lub tradycyjnych denominacji protestanckich. W konsekwencji akademicka poważalność zawsze była ważna dla ich szkół podyplomowych teologii. Trudność tkwi w następującej okoliczności: od co najmniej dwóch stuleci światem akademickim włada Szatan, dlatego to on dyktuje warunki „poważalności”. Obejmują one „publikuj albo giń”, lecz oczywiście to on kontroluje czasopisma specjalistyczne. Ponieważ jest ojcem kłamstw (Ewangelia Jana 8,44), każdy, kto chciał powiedzieć całą prawdę, zawsze miał trudności z opublikowaniem artykułu, niezależnie od jego jakości. Aby artykuł został opublikowany, trzeba było trzymać się linii partyjnej. „Uwzględnianie istniejącej literatury” zmusza człowieka do marnowania mnóstwa czasu na czytanie nonsensów wytworzonych przez sługi Szatana, a wszystko to miało odciągnąć czytelnika od prawdy.</w:t>
      </w:r>
    </w:p>
    <w:p>
      <w:pPr>
        <w:pStyle w:val="BodyText"/>
      </w:pPr>
      <w:r>
        <w:t xml:space="preserve">PRAWDA — otóż to jest sedno. Rozważmy 2 List do Tesaloniczan 2,9-12: „Przyjście</w:t>
      </w:r>
      <w:r>
        <w:t xml:space="preserve"> </w:t>
      </w:r>
      <w:r>
        <w:rPr>
          <w:iCs/>
          <w:i/>
        </w:rPr>
        <w:t xml:space="preserve">niegodziwca</w:t>
      </w:r>
      <w:r>
        <w:t xml:space="preserve"> </w:t>
      </w:r>
      <w:r>
        <w:t xml:space="preserve">jest według działania Szatana, z wszelką mocą, znakami i kłamliwymi cudami, 10 i z wszelkim zwodzeniem nieprawości wśród tych, którzy giną, ponieważ nie przyjęli miłości prawdy, aby zostali zbawieni. 11 I dlatego Bóg pośle im silne zwiedzenie, aby uwierzyli kłamstwu, 12 żeby zostali osądzeni wszyscy, którzy nie uwierzyli prawdzie, lecz upodobali sobie nieprawość” (NKJV). Chociaż werset dziesiąty występuje w kontekście działalności Antychrysta, który znajdzie łatwy cel w „tych, którzy sami siebie wyniszczają” (mój przekład), nie wynika z tego, że nikt nie będzie wyniszczał samego siebie przed tą działalnością. Ludzie oczywiście wyniszczali samych siebie w całej historii, a podstawowa przyczyna tego „wyniszczania” nigdy się nie zmieniła — „nie przyjęli miłości prawdy”. (Zaczęło się w Ogrodzie).</w:t>
      </w:r>
    </w:p>
    <w:p>
      <w:pPr>
        <w:pStyle w:val="BodyText"/>
      </w:pPr>
      <w:r>
        <w:t xml:space="preserve">Proszę uważnie zauważyć, co jest tutaj powiedziane: to sam Bóg posyła silne zwiedzenie! A na kogo je posyła? Na tych, którzy nie przyjmują miłości prawdy.</w:t>
      </w:r>
      <w:r>
        <w:rPr>
          <w:rStyle w:val="FootnoteReference"/>
        </w:rPr>
        <w:footnoteReference w:id="455"/>
      </w:r>
      <w:r>
        <w:t xml:space="preserve"> </w:t>
      </w:r>
      <w:r>
        <w:t xml:space="preserve">Jaki jest cel silnego zwiedzenia? — potępienie tych, którzy nie wierzą prawdzie. Ojej, to jest ciężkie. Zauważ, że prawda ma</w:t>
      </w:r>
      <w:r>
        <w:t xml:space="preserve"> </w:t>
      </w:r>
      <w:r>
        <w:rPr>
          <w:bCs/>
          <w:b/>
        </w:rPr>
        <w:t xml:space="preserve">centralne</w:t>
      </w:r>
      <w:r>
        <w:t xml:space="preserve"> </w:t>
      </w:r>
      <w:r>
        <w:t xml:space="preserve">znaczenie dla zbawienia każdego człowieka. Rodzi to konieczne pytanie: co właściwie znaczy „prawda”? W Ewangelii Jana 14,6 Władca Jezus oświadczył, że sam jest „prawdą”. Modląc się do Ojca w Ewangelii Jana 17,17, powiedział: „Twoje Słowo jest prawdą”. Po jednym razie w rozdziałach 14, 15 i 16 Ewangelii Jana odniósł się do trzeciej osoby Trójcy jako „Ducha prawdy”. Ponieważ Syn wrócił do Nieba, na prawicę Ojca, Duch zaś przez większość czasu nie jest dla większości z nas zbyt dostrzegalny, a Słowo jest mieczem Ducha (List do Efezjan 6,17), nasz główny dostęp do „prawdy” prowadzi przez Słowo Boga, Biblię. Biblia przedstawia prawdę zdaniową, lecz potrzebujemy Ducha Świętego, by tę prawdę oświecił, a żeby mieć Ducha Świętego, musimy pozostawać we właściwej relacji z Władcą Jezusem.</w:t>
      </w:r>
    </w:p>
    <w:p>
      <w:pPr>
        <w:pStyle w:val="BodyText"/>
      </w:pPr>
      <w:r>
        <w:t xml:space="preserve">Otóż aby coś mogło zostać przyjęte, musi być zaoferowane, człowiek nie może uwierzyć w coś, o czym nigdy nie słyszał (List do Rzymian 10,14). Użycie czasownika „przyjąć” wyraźnie implikuje akt woli ze strony tych, którzy nie przyjmują prawdy, miłość ta została im zaoferowana lub udostępniona, lecz jej nie chcieli, chcieli móc kłamać i przyjmować kłamstwa opowiadane przez innych. Konsekwencje takiego wyboru są jednak straszne, odwrócili się plecami do zbawienia. Podejrzewam, że niewielu chrześcijan w tak zwanym „pierwszym świecie” naprawdę wierzy temu, co Władca Jezus powiedział w Ewangelii Mateusza 7,14: tych, którzy znajdują drogę Życia, jest</w:t>
      </w:r>
      <w:r>
        <w:t xml:space="preserve"> </w:t>
      </w:r>
      <w:r>
        <w:rPr>
          <w:bCs/>
          <w:b/>
        </w:rPr>
        <w:t xml:space="preserve">niewielu</w:t>
      </w:r>
      <w:r>
        <w:t xml:space="preserve">! Nie zapominaj też o Objawieniu Jana 22,15, „każdy, kto miłuje i czyni kłamstwo”, jest wykluczony z niebiańskiego Miasta (każde kłamstwo, łącznie z kłamstwem Horta).</w:t>
      </w:r>
      <w:r>
        <w:rPr>
          <w:rStyle w:val="FootnoteReference"/>
        </w:rPr>
        <w:footnoteReference w:id="456"/>
      </w:r>
      <w:r>
        <w:t xml:space="preserve"> </w:t>
      </w:r>
      <w:r>
        <w:t xml:space="preserve">Rozważę teraz konsekwencje dla studenta rozpoczynającego studia podyplomowe z teologii ze względu na to, co się dzieje, gdy sam zostaje później profesorem albo badaczem Nowego Testamentu.</w:t>
      </w:r>
      <w:r>
        <w:rPr>
          <w:rStyle w:val="FootnoteReference"/>
        </w:rPr>
        <w:footnoteReference w:id="457"/>
      </w:r>
    </w:p>
    <w:p>
      <w:pPr>
        <w:pStyle w:val="BodyText"/>
      </w:pPr>
      <w:r>
        <w:t xml:space="preserve">Większość takich studentów przypuszczalnie pochodzi ze środowiska ewangelikalnego i niewątpliwie uczono ich, że Biblia jest Słowem Boga, a zatem jest natchniona. Niektórzy mogli być nawet nauczani o natchnieniu werbalnym i pełnym. Jednak w większości szkół teologicznych nie możesz otrzymać posady nauczyciela, jeśli nie zgodzisz się używać eklektycznego tekstu greckiego wraz ze wszystkim, co to za sobą pociąga. (Podobnie nie możesz otrzymać posady nauczyciela na większości uniwersytetów, jeśli przynajmniej nie udajesz, że wierzysz w ewolucję). Jeśli szkoła jest przynajmniej nominalnie konserwatywna, nadal będzie mówić, że Biblia jest natchniona. Jeśli jednak student poruszy na zajęciach kwestię zachowania tekstu, zapadnie niezręczna cisza. Jeśli został zachowany, nikt nie wie, czym lub gdzie jest. Pranie mózgu było tak zupełne, że wielu (większość?) absolwentów seminariów nawet nie wie, że istnieje jakiekolwiek pytanie dotyczące tego, czego ich nauczono. Nauczono ich eklektyzmu opartego na teorii Horta i dla nich nic poza tym nie istnieje.</w:t>
      </w:r>
    </w:p>
    <w:p>
      <w:pPr>
        <w:pStyle w:val="BodyText"/>
      </w:pPr>
      <w:r>
        <w:t xml:space="preserve">Wracając jednak do naszego studenta, znajduje się on w otoczeniu profesorów, których zadaniem jest zniszczenie jego wiary w natchnioną Biblię mającą obiektywny autorytet. Oczywiście przypuszczalnie bardzo niewielu takich profesorów kiedykolwiek myślało w tych kategoriach (sprzeciwiliby się więc mojemu stwierdzeniu). Powiedzieliby, że po prostu wykonują swoją pracę, robią to, za co im płacą, nie zaprzątając sobie głowy przyczynami i szczegółami.</w:t>
      </w:r>
      <w:r>
        <w:rPr>
          <w:rStyle w:val="FootnoteReference"/>
        </w:rPr>
        <w:footnoteReference w:id="458"/>
      </w:r>
      <w:r>
        <w:t xml:space="preserve"> </w:t>
      </w:r>
      <w:r>
        <w:t xml:space="preserve">Student jednak oczywiście się tego nie spodziewa, wierzy, że jego profesorowie muszą być ludźmi Bożymi, dlatego jest predysponowany, by im wierzyć. Poza tą predyspozycją (a jest ona potężna), jakimi narzędziami dysponują, by wykonywać swoją pracę? Otóż mają na początek ośmieszanie, sarkazm, pranie mózgu, presję rówieśniczą, fortel „nowych szat cesarza” i szatańską pomoc. (Mogą również występować groźby, niedostateczne oceny, działania dyscyplinarne, nieczysta gra i tak dalej — piszę z doświadczenia). Większość powyższych terminów nie wymaga wyjaśnienia, lecz niektórzy czytelnicy mogą nie znać dawnej baśni o cesarzu, sprowadza się ona do tego: nie chcesz przyznać, że tego nie „widzisz”, gdy wszyscy pozostali twierdzą, że widzą. Zdecydowanie najpoważniejsza jest jednak „szatańska pomoc” i tutaj muszę przejść do szczegółów.</w:t>
      </w:r>
    </w:p>
    <w:p>
      <w:pPr>
        <w:pStyle w:val="BodyText"/>
      </w:pPr>
      <w:r>
        <w:t xml:space="preserve">Wracając do 2 Listu do Tesaloniczan 2,10 i „miłości prawdy”, jak wyjaśniono wyżej, nasz główny dostęp do „prawdy” prowadzi przez Słowo Boga, Biblię. Nasz student mógł chodzić do szkółki niedzielnej, prawdopodobnie słyszał kazania zawierające przynajmniej pewne treści biblijne i z pewnością ma własny egzemplarz Biblii. Krótko mówiąc, miał i nadal ma dostęp do „prawdy”. Duch Święty jednak „mówi” do nas, jeśli tylko zechcemy słuchać. Na przykład mój ojciec urodził się w 1906 roku, a w stosownym czasie uczęszczał do Moody Bible Institute i Wheaton College. W tamtych czasach American Standard Version (ASV) zachwalano jako najlepszą rzecz od czasów Ogrodu Eden, była „skałą biblijnej rzetelności” itd., itd. Mój ojciec miał zwyczaj czytania całej Biblii raz w roku, który zachował przez całe życie. Z powodu rozgłosu wokół ASV zdobył egzemplarz i zaczął go czytać. Od początku szło mu ciężko i wkrótce musiał przestać — Duch Święty po prostu nie pozwolił mu kontynuować. Wrócił do swojego niezawodnego AV.</w:t>
      </w:r>
    </w:p>
    <w:p>
      <w:pPr>
        <w:pStyle w:val="BodyText"/>
      </w:pPr>
      <w:r>
        <w:t xml:space="preserve">Wyobrażam sobie, że przynajmniej niektórzy z moich czytelników będą w tym miejscu mieli pytanie. Czy sugeruję, że każdy, kto przyjął ASV, nie słuchał Ducha Świętego, gdy podejmował tę decyzję? Odpowiedź brzmi: „Tak”. To samo odnosi się oczywiście do teorii Horta itd. Niestety niewielu studentów teologii ma zwyczaj zasięgania rady Ducha Świętego, a ci, którzy to czynią, zostają przeznaczeni do prześladowania. Żaden establishment nie może tolerować człowieka, który słucha Ducha Świętego. Z pewnością, czy zapomniałeś o Ewangelii Jana 3,8? „Wiatr wieje, dokąd chce, i słyszysz jego szum, lecz nie wiesz, skąd przychodzi i dokąd idzie. Tak jest z każdym, kto został zrodzony z Ducha”. Zauważ, że Pan mówi tutaj, iż to</w:t>
      </w:r>
      <w:r>
        <w:t xml:space="preserve"> </w:t>
      </w:r>
      <w:r>
        <w:rPr>
          <w:bCs/>
          <w:b/>
        </w:rPr>
        <w:t xml:space="preserve">my</w:t>
      </w:r>
      <w:r>
        <w:t xml:space="preserve"> </w:t>
      </w:r>
      <w:r>
        <w:t xml:space="preserve">mamy być nieprzewidywalni, jak wiatr lub Duch („przychodzi” i „idzie” są w czasie teraźniejszym). Jeśli naprawdę jesteś pod kontrolą Ducha, będziesz robił nieoczekiwane rzeczy, tak jak On.</w:t>
      </w:r>
      <w:r>
        <w:rPr>
          <w:rStyle w:val="FootnoteReference"/>
        </w:rPr>
        <w:footnoteReference w:id="459"/>
      </w:r>
      <w:r>
        <w:t xml:space="preserve"> </w:t>
      </w:r>
      <w:r>
        <w:t xml:space="preserve">Establishment jest definiowany przez swój „kaftan bezpieczeństwa”, a Duch Święty nie lubi kaftanów bezpieczeństwa i vice versa.</w:t>
      </w:r>
    </w:p>
    <w:p>
      <w:pPr>
        <w:pStyle w:val="BodyText"/>
      </w:pPr>
      <w:r>
        <w:t xml:space="preserve">W Ewangelii Jana 8,44 Władca Jezus oświadczył, że w Szatanie „nie ma prawdy” i że jest on ojcem kłamstwa. Ponieważ Bóg nie może kłamać, List do Tytusa 1,2, jako że jest to sprzeczne z Jego istotą, wszelkie kłamstwa pochodzą od wroga. Co się zatem dzieje, gdy przyjmujesz kłamstwo? Zapraszasz Szatana do swojego umysłu. A co on tam robi? Buduje warownię, która więzi cię w tym kłamstwie, stajesz się ślepy na prawdę w tej sprawie.</w:t>
      </w:r>
      <w:r>
        <w:rPr>
          <w:rStyle w:val="FootnoteReference"/>
        </w:rPr>
        <w:footnoteReference w:id="460"/>
      </w:r>
      <w:r>
        <w:t xml:space="preserve"> </w:t>
      </w:r>
      <w:r>
        <w:t xml:space="preserve">Jest to szczególne zastosowanie prawdy wyrażonej w 2 Liście do Koryntian 4,4 — Szatan zaślepia umysły. Co się zatem dzieje z naszym studentem? Z bardzo nielicznymi wyjątkami ulega naciskowi wywieranemu przez wspomniane już narzędzia. Przyjmuje linię partyjną, a ponieważ jest ona kłamstwem, Szatan zabiera się do zaślepiania go na prawdę. Jeśli zostanie później wpływowym uczonym, niemal na pewno znajdzie się pod demonicznym nadzorem (ponieważ Szatan nie jest wszechobecny).</w:t>
      </w:r>
    </w:p>
    <w:p>
      <w:pPr>
        <w:pStyle w:val="BodyText"/>
      </w:pPr>
      <w:r>
        <w:t xml:space="preserve">W tym miejscu ludziom podcina nogi pewne powszechne błędne przekonanie. Skoro w każdej prawdziwie odrodzonej osobie mieszka Duch Święty, jak Szatan albo demon może znajdować się w umyśle tej osoby? Istnieje fundamentalna różnica między obecnością a kontrolą. Bardzo niewielu chrześcijan świadomie oddało pod kontrolę Ducha Świętego każdą dziedzinę swojego życia. Duch Święty jest dżentelmenem, nie przejmie żadnej dziedziny wbrew twojej woli (zob. Ewangelia Jana 4,23-24). Każda dziedzina niepozostająca pod kontrolą Ducha jest otwarta na ingerencję wroga, zwłaszcza jeśli przyjmujesz kłamstwo. Przyjmując kłamstwo, zasmucasz Ducha Świętego, co nie jest mądre (List do Efezjan 4,30). Również Mu się sprzeciwiasz, co także nie jest mądre (Dzieje Apostolskie 7,51). Dlaczego więc Bóg cię nie chroni? Ponieważ odrzuciłeś miłość prawdy, a to zwróciło Boga przeciwko tobie! Jakie masz szanse, gdy Bóg zwraca się przeciwko tobie? Bez ochrony Boga stajesz się łupem Szatana (1 List Piotra 5,8).</w:t>
      </w:r>
      <w:r>
        <w:rPr>
          <w:rStyle w:val="FootnoteReference"/>
        </w:rPr>
        <w:footnoteReference w:id="461"/>
      </w:r>
    </w:p>
    <w:p>
      <w:pPr>
        <w:pStyle w:val="BodyText"/>
      </w:pP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p>
      <w:pPr>
        <w:pStyle w:val="BodyText"/>
      </w:pPr>
      <w:r>
        <w:t xml:space="preserve">Sprzedawanie kłamstwa trwa z pokolenia na pokolenie, czego skutkiem jest ciągłe odchodzenie.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w:t>
      </w:r>
    </w:p>
    <w:bookmarkEnd w:id="462"/>
    <w:bookmarkStart w:id="486" w:name="X5a36d414664065b3342360b800915351414fe8b"/>
    <w:p>
      <w:pPr>
        <w:pStyle w:val="Heading3"/>
      </w:pPr>
      <w:r>
        <w:t xml:space="preserve">Czy istnieje sposób, by powstrzymać odchodzenie?</w:t>
      </w:r>
    </w:p>
    <w:p>
      <w:pPr>
        <w:pStyle w:val="FirstParagraph"/>
      </w:pPr>
      <w:r>
        <w:t xml:space="preserve">Uważam, że istnieje i musi się zaczynać od PRAWDY. Mówiąc dokładniej, musi zaczynać się od miłości prawdy, co wymaga, by prawda została udostępniona. Musimy krzewić miłość prawdy, a żeby to czynić, musimy również potępiać kłamstwo.</w:t>
      </w:r>
      <w:r>
        <w:rPr>
          <w:rStyle w:val="FootnoteReference"/>
        </w:rPr>
        <w:footnoteReference w:id="463"/>
      </w:r>
      <w:r>
        <w:t xml:space="preserve"> </w:t>
      </w:r>
      <w:r>
        <w:t xml:space="preserve">Aby coś krzewić, potrzebujemy służących temu środków. Aby odnieść sukces, musimy być przekonujący. Co najważniejsze, musimy coś zrobić z ingerencją w umysły ludzi.</w:t>
      </w:r>
    </w:p>
    <w:bookmarkStart w:id="465" w:name="środki-krzewienia-prawdy"/>
    <w:p>
      <w:pPr>
        <w:pStyle w:val="Heading4"/>
      </w:pPr>
      <w:r>
        <w:rPr>
          <w:iCs/>
          <w:i/>
        </w:rPr>
        <w:t xml:space="preserve">Środki krzewienia prawdy</w:t>
      </w:r>
    </w:p>
    <w:p>
      <w:pPr>
        <w:pStyle w:val="FirstParagraph"/>
      </w:pPr>
      <w:r>
        <w:t xml:space="preserve">Z pomocą przychodzi nam tutaj współczesna technologia. Blogi służą do promowania wszystkiego i czegokolwiek. Możemy wykorzystać je do krzewienia prawdy. Przygotowałem piętnastogodzinną serię wykładów (po portugalsku) o boskim zachowaniu Tekstu Nowego Testamentu. Została sfilmowana i jest dostępna w Internecie za pośrednictwem bloga. Wykorzystuje się strony internetowe.</w:t>
      </w:r>
      <w:r>
        <w:t xml:space="preserve"> </w:t>
      </w:r>
      <w:r>
        <w:rPr>
          <w:u w:val="single"/>
        </w:rPr>
        <w:t xml:space="preserve">Większość mojej twórczości jest dostępna na www.walkjustashewalked.com, a jeszcze więcej na mojej własnej stronie www.prunch.org. Istnieją też Twitter, Facebook i tak dalej — faktem</w:t>
      </w:r>
      <w:r>
        <w:t xml:space="preserve"> </w:t>
      </w:r>
      <w:r>
        <w:t xml:space="preserve">jest, że czasopisma specjalistyczne nie trzymają już żadnej dyscypliny żelaznym uściskiem, istnieją inne sposoby „publikowania” swoich idei. Zawsze istniało też przekazywanie z ust do ust, ludzie opowiadali swoim przyjaciołom i znajomym. Podejrzewam, że wkrótce możemy zobaczyć narastającą falę tego rodzaju działań.</w:t>
      </w:r>
    </w:p>
    <w:p>
      <w:pPr>
        <w:pStyle w:val="BodyText"/>
      </w:pPr>
      <w:r>
        <w:t xml:space="preserve">Pojawienie się samodzielnego publikowania stanowi prawdziwe dobrodziejstwo dla tych z nas, którzy odrzucają linię partyjną i nie mają środków finansowych, by skorzystać z uznanego wydawnictwa. Z różnych powodów korzystanie z wydawcy staje się coraz trudniejsze. Umowy przerzucają cały ciężar na autora (łącznie z kosztami procesów sądowych). Trzeba z góry pokryć koszt kilku tysięcy egzemplarzy, a nawet wtedy książka ukaże się tylko wtedy, gdy wydawca uzna, że może na niej zarobić, nie wspominając o „akceptowalnej” treści (wydawcy nie są instytucjami charytatywnymi). Tych z nas, którzy nie mają pieniędzy, ratuje pojawienie się „druku na żądanie”, egzemplarze produkuje się dopiero po ich zamówieniu. Ponieważ wszystko robi maszyna, można zamówić jeden egzemplarz po aktualnej cenie i go otrzymać.</w:t>
      </w:r>
    </w:p>
    <w:p>
      <w:pPr>
        <w:pStyle w:val="BodyText"/>
      </w:pPr>
      <w:r>
        <w:t xml:space="preserve">Pozwolę sobie przytoczyć własne doświadczenie. Moją pierwszą książkę,</w:t>
      </w:r>
      <w:r>
        <w:t xml:space="preserve"> </w:t>
      </w:r>
      <w:r>
        <w:rPr>
          <w:iCs/>
          <w:i/>
        </w:rPr>
        <w:t xml:space="preserve">The Identity of the New Testament Text</w:t>
      </w:r>
      <w:r>
        <w:t xml:space="preserve">, opublikowało w 1977 roku Thomas Nelson Publishers. Za każdym razem, gdy wydawca chciał przygotować kolejny nakład, łaskawie pozwalał mi dokonać pewnych poprawek. Jego ostatni (czwarty?) nakład ukazał się w 1990 roku, utrzymywał zatem książkę w druku przez co najmniej piętnaście lat, za co składam mu szczere podziękowania.</w:t>
      </w:r>
      <w:r>
        <w:rPr>
          <w:rStyle w:val="FootnoteReference"/>
        </w:rPr>
        <w:footnoteReference w:id="464"/>
      </w:r>
      <w:r>
        <w:t xml:space="preserve"> </w:t>
      </w:r>
      <w:r>
        <w:t xml:space="preserve">Od kilku lat była wyczerpana, gdy Wipf and Stock Publishers poprosiło o zgodę na opublikowanie jej jako akademickiego reprintu. Zrewidowane wydanie ukazało się więc w 2003 roku jako</w:t>
      </w:r>
      <w:r>
        <w:t xml:space="preserve"> </w:t>
      </w:r>
      <w:r>
        <w:rPr>
          <w:iCs/>
          <w:i/>
        </w:rPr>
        <w:t xml:space="preserve">The Identity of the New Testament Text II</w:t>
      </w:r>
      <w:r>
        <w:t xml:space="preserve">. Wipf &amp; Stock opublikowało również</w:t>
      </w:r>
      <w:r>
        <w:t xml:space="preserve"> </w:t>
      </w:r>
      <w:r>
        <w:rPr>
          <w:iCs/>
          <w:i/>
        </w:rPr>
        <w:t xml:space="preserve">Identity III</w:t>
      </w:r>
      <w:r>
        <w:t xml:space="preserve"> </w:t>
      </w:r>
      <w:r>
        <w:t xml:space="preserve">w 2012 roku. To właśnie w tym okresie dostroiłem się do Rodziny 35, dlatego</w:t>
      </w:r>
      <w:r>
        <w:t xml:space="preserve"> </w:t>
      </w:r>
      <w:r>
        <w:rPr>
          <w:iCs/>
          <w:i/>
        </w:rPr>
        <w:t xml:space="preserve">Identity III</w:t>
      </w:r>
      <w:r>
        <w:t xml:space="preserve"> </w:t>
      </w:r>
      <w:r>
        <w:t xml:space="preserve">było pierwszym wydaniem, które przedstawiło tę rodzinę i jej broniło. Obecne</w:t>
      </w:r>
      <w:r>
        <w:t xml:space="preserve"> </w:t>
      </w:r>
      <w:r>
        <w:rPr>
          <w:iCs/>
          <w:i/>
        </w:rPr>
        <w:t xml:space="preserve">Identity IV</w:t>
      </w:r>
      <w:r>
        <w:t xml:space="preserve">, ponownie gruntownie zrewidowane, opublikowałem samodzielnie za pośrednictwem Amazon. Moje inne książki również są tam dostępne — jakie uznane wydawnictwo przyjęłoby</w:t>
      </w:r>
      <w:r>
        <w:t xml:space="preserve"> </w:t>
      </w:r>
      <w:r>
        <w:rPr>
          <w:iCs/>
          <w:i/>
        </w:rPr>
        <w:t xml:space="preserve">The Greek New Testament According to Family 35</w:t>
      </w:r>
      <w:r>
        <w:t xml:space="preserve">?</w:t>
      </w:r>
    </w:p>
    <w:p>
      <w:pPr>
        <w:pStyle w:val="BodyText"/>
      </w:pPr>
      <w:r>
        <w:t xml:space="preserve">Samodzielne publikowanie pozwala również udostępnić książkę w formie elektronicznej, tak jak uczyniłem z moimi. Dzięki temu ludzie mogą pobrać je na swoje notebooki czy inne urządzenia i nie muszą nosić ze sobą książki (lub kilku). Nabiera to coraz większego znaczenia, ponieważ coraz więcej ludzi dołącza do kultury smartfonów. Mimo to nie powinniśmy jednak pogardzać dobrym, starym egzemplarzem papierowym, w przypadku poważnych studiów wielu nadal woli książkę (można w niej robić notatki). Krótko mówiąc, powinniśmy korzystać z obu form, elektronicznej i drukowanej.</w:t>
      </w:r>
    </w:p>
    <w:p>
      <w:pPr>
        <w:pStyle w:val="BodyText"/>
      </w:pPr>
      <w:r>
        <w:t xml:space="preserve">Zwłaszcza w kulturach, w których ważniejsze jest „kogo znasz” niż „co wiesz”, lecz także w innych, powinniśmy promować środek „społeczny”, dzielenie się z przyjaciółmi i znajomymi. Możemy zapraszać ludzi na filiżankę kawy (lub herbaty), rozpowszechniać wieść wszędzie tam, gdzie mamy kontakty.</w:t>
      </w:r>
    </w:p>
    <w:bookmarkEnd w:id="465"/>
    <w:bookmarkStart w:id="470" w:name="przekonujące-przedstawienie"/>
    <w:p>
      <w:pPr>
        <w:pStyle w:val="Heading4"/>
      </w:pPr>
      <w:r>
        <w:rPr>
          <w:iCs/>
          <w:i/>
        </w:rPr>
        <w:t xml:space="preserve">Przekonujące przedstawienie</w:t>
      </w:r>
    </w:p>
    <w:p>
      <w:pPr>
        <w:pStyle w:val="FirstParagraph"/>
      </w:pPr>
      <w:r>
        <w:t xml:space="preserve">Jaki jest najlepszy sposób ochrony lwa w klatce? Po prostu otwórz klatkę! Jaki jest najlepszy sposób krzewienia Prawdy? Po prostu wypuść ją na wolność! Jak Władca Jezus powiedział w Ewangelii Jana 8,31-32: „Jeśli wytrwacie w moim słowie, prawdziwie jesteście moimi uczniami. I poznacie prawdę, a prawda uczyni was wolnymi” (NKJV). Od czego prawda uczyni nas wolnymi? W bezpośrednim kontekście (werset 34) od grzechu, lecz w odniesieniu do omawianego tematu może uwolnić nas od zaślepiania przez Szatana i od jego kłamstw. Słowo jest mieczem Ducha, a miecz tnie niezależnie od tego, czy ktoś w to wierzy. Skoro to zostało powiedziane, co jednak możemy zrobić, aby ludzie nas słuchali?</w:t>
      </w:r>
    </w:p>
    <w:p>
      <w:pPr>
        <w:pStyle w:val="BodyText"/>
      </w:pPr>
      <w:r>
        <w:t xml:space="preserve">Należy unikać napuszonych przemów i tyrad. Mogą przemawiać do emocji tych, którzy już są po naszej stronie, lecz wywrą negatywny wpływ na tych, do których próbujemy dotrzeć. Prawdzie najlepiej służą fakty, dowody. Dowody zaś należy przedstawiać wprost, bez nadmiernego odwoływania się do emocji. Emocje trzeba jednak odróżnić od założeń wstępnych (a także od zasad rozumnej debaty). Nie można pracować bez założeń wstępnych, każdy je ma. Wynika z tego, że jeśli ktoś krytykuje mnie za posiadanie założeń wstępnych, udając jednocześnie, że sam ich nie ma, zachowuje się nieuczciwie i przewrotnie (albo być może ma tylko wyprany mózg i jest zaślepiony).</w:t>
      </w:r>
    </w:p>
    <w:p>
      <w:pPr>
        <w:pStyle w:val="BodyText"/>
      </w:pPr>
      <w:r>
        <w:t xml:space="preserve">Od czasów Burgona, który uczciwie i otwarcie przedstawiał swoje założenia wstępne (jak powinien czynić każdy prawdziwy uczony), trwa nieustanny i uporczywy atak na te założenia, a nawet na samo ich przedstawianie. Wytworzono psychozę do tego stopnia, że nawet niektórzy współcześni obrońcy Tekstu Większościowego popadli w tej kwestii w paranoję, faktycznie doszli do punktu, w którym wykluczają sferę nadprzyrodzoną ze swojego modelu. Jednak w Ewangelii Łukasza 11,23 Władca i Stwórca, wcielony Jehowa Syn, oświadcza: „Kto nie jest ze Mną, jest przeciwko Mnie, a kto nie gromadzi ze Mną, rozprasza”. Oto wyraźne stwierdzenie, na tym świecie istnieją tylko dwie drużyny, są tylko dwie strony, dwa królestwa, nie ma neutralnego gruntu, nie ma prawdziwego agnostycyzmu.</w:t>
      </w:r>
      <w:r>
        <w:rPr>
          <w:rStyle w:val="FootnoteReference"/>
        </w:rPr>
        <w:footnoteReference w:id="466"/>
      </w:r>
      <w:r>
        <w:t xml:space="preserve"> </w:t>
      </w:r>
      <w:r>
        <w:t xml:space="preserve">Jeśli nie jesteś z Jezusem, automatycznie jesteś przeciwko Niemu, jeśli nie gromadzisz z Nim, automatycznie rozpraszasz. Jeśli nie przyjmujesz twierdzeń Jezusa o Piśmie, odrzuciłeś je. Neutralność nie istnieje.</w:t>
      </w:r>
    </w:p>
    <w:p>
      <w:pPr>
        <w:pStyle w:val="BodyText"/>
      </w:pPr>
      <w:r>
        <w:t xml:space="preserve">Jak jednak możemy dotrzeć do tych, którzy udają, że nie mają założeń wstępnych, którzy odmawiają ich otwartego przedstawienia albo w każdym razie tego nie czynią? Jeśli ci sami ludzie krytykują nas za przedstawianie naszych, możemy zakwestionować ich podstawową uczciwość, lecz jak możemy skłonić ich do słuchania? Jak sprawić, by niewidomy zobaczył? Jak sprawić, by głuchy usłyszał? Trzeba coś zrobić z przyczyną tego stanu. „Przyczyną tego stanu” w omawianej przez nas dziedzinie jest szatańska ingerencja w ich procesy myślowe, którą Tekst w 2 Liście do Koryntian 4,4 nazywa „zaślepianiem” (pranie mózgu jest konsekwencją i środkiem wspomagającym tego zaślepiania). Sposób odniesienia się do tej przyczyny zostanie omówiony w następnej części. Tymczasem trzeba omówić kwestię założeń wstępnych, powinniśmy jednak próbować robić to w spokojnym i pokojowym duchu.</w:t>
      </w:r>
      <w:r>
        <w:rPr>
          <w:rStyle w:val="FootnoteReference"/>
        </w:rPr>
        <w:footnoteReference w:id="467"/>
      </w:r>
    </w:p>
    <w:p>
      <w:pPr>
        <w:pStyle w:val="BodyText"/>
      </w:pPr>
      <w:r>
        <w:t xml:space="preserve">Wracając jednak do kwestii przekonującego przedstawienia dowodów, musimy pamiętać, że ludzie z wypranymi mózgami na ogół nie znają dowodów.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 Aby prawda uwolniła ludzi, musi zostać przedstawiona. Powtarzam więc: musimy przedstawiać dowody wprost.</w:t>
      </w:r>
    </w:p>
    <w:p>
      <w:pPr>
        <w:pStyle w:val="BodyText"/>
      </w:pPr>
      <w:r>
        <w:t xml:space="preserve">Pierwszorzędnych dowodów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mają charakter pomocniczy. Tam, gdzie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468"/>
      </w:r>
      <w:r>
        <w:t xml:space="preserve"> </w:t>
      </w:r>
      <w:r>
        <w:t xml:space="preserve">Tam, gdzie wszystkie są zgodne, nie może istnieć żadna uzasadniona wątpliwość co do oryginalnych sformułowań.</w:t>
      </w:r>
    </w:p>
    <w:p>
      <w:pPr>
        <w:pStyle w:val="BodyText"/>
      </w:pPr>
      <w:r>
        <w:t xml:space="preserve">Powinno być również oczywiste, że wariant w pojedynczym manuskrypcie, niezależnie od jego wieku, jest nieistotny, w tym miejscu jest on fałszywym świadkiem archetypu swojej rodziny, niczym więcej. Jeśli kilka manuskryptów dzieli wariant, lecz nie należy do tej samej rodziny, popełniły błąd niezależnie i są fałszywymi świadkami archetypów swoich rodzin,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F. Wisse postulował trzydzieści cztery grupy w masie bizantyjskiej, z siedemdziesięcioma podgrupami). Jest jasne, że nie było „upychania urny wyborczej”, nie było „papieskiego” dekretu, nie było recenzji narzuconej przez władzę kościelną. Krótko mówiąc, przekaz był przeważająco normalny.</w:t>
      </w:r>
      <w:r>
        <w:rPr>
          <w:rStyle w:val="FootnoteReference"/>
        </w:rPr>
        <w:footnoteReference w:id="469"/>
      </w:r>
    </w:p>
    <w:p>
      <w:pPr>
        <w:pStyle w:val="BodyText"/>
      </w:pPr>
      <w:r>
        <w:t xml:space="preserve">Wracając jednak do przedstawiania dowodów, powinniśmy zwracać uwagę na dowody przedstawiane na przestrzeni lat:</w:t>
      </w:r>
      <w:r>
        <w:t xml:space="preserve"> </w:t>
      </w:r>
      <w:r>
        <w:rPr>
          <w:iCs/>
          <w:i/>
        </w:rPr>
        <w:t xml:space="preserve">Concerning the Text of the Apocalypse</w:t>
      </w:r>
      <w:r>
        <w:t xml:space="preserve"> </w:t>
      </w:r>
      <w:r>
        <w:t xml:space="preserve">oraz</w:t>
      </w:r>
      <w:r>
        <w:t xml:space="preserve"> </w:t>
      </w:r>
      <w:r>
        <w:rPr>
          <w:iCs/>
          <w:i/>
        </w:rPr>
        <w:t xml:space="preserve">Codex B and its Allies, a Study and an Indictment</w:t>
      </w:r>
      <w:r>
        <w:t xml:space="preserve"> </w:t>
      </w:r>
      <w:r>
        <w:t xml:space="preserve">Hermana C. Hoskiera,</w:t>
      </w:r>
      <w:r>
        <w:t xml:space="preserve"> </w:t>
      </w:r>
      <w:r>
        <w:rPr>
          <w:iCs/>
          <w:i/>
        </w:rPr>
        <w:t xml:space="preserve">magnum opus</w:t>
      </w:r>
      <w:r>
        <w:t xml:space="preserve"> </w:t>
      </w:r>
      <w:r>
        <w:t xml:space="preserve">Hermanna von Sodena — mimo swoich niedoskonałości zawiera wartościowe informacje, wydania Ewangelii Mateusza i Ewangelii Marka S.C.E. Legga, wydanie Ewangelii Łukasza IGNTP, wydania od Ewangelii Mateusza do Listu do Galacjan Reubena J. Swansona, pracę Frederika Wissego o Ewangelii Łukasza,</w:t>
      </w:r>
      <w:r>
        <w:t xml:space="preserve"> </w:t>
      </w:r>
      <w:r>
        <w:rPr>
          <w:iCs/>
          <w:i/>
        </w:rPr>
        <w:t xml:space="preserve">Assimilation as a Criterion for the Establishment of the Text</w:t>
      </w:r>
      <w:r>
        <w:t xml:space="preserve"> </w:t>
      </w:r>
      <w:r>
        <w:t xml:space="preserve">W.F. Wisselinka, pracę Tommy’ego Wassermana o Liście Judy, serię</w:t>
      </w:r>
      <w:r>
        <w:t xml:space="preserve"> </w:t>
      </w:r>
      <w:r>
        <w:rPr>
          <w:iCs/>
          <w:i/>
        </w:rPr>
        <w:t xml:space="preserve">Text und Textwert</w:t>
      </w:r>
      <w:r>
        <w:t xml:space="preserve"> </w:t>
      </w:r>
      <w:r>
        <w:t xml:space="preserve">INTF, a jeszcze lepiej jego serię</w:t>
      </w:r>
      <w:r>
        <w:t xml:space="preserve"> </w:t>
      </w:r>
      <w:r>
        <w:rPr>
          <w:iCs/>
          <w:i/>
        </w:rPr>
        <w:t xml:space="preserve">Editio Critica Maior</w:t>
      </w:r>
      <w:r>
        <w:t xml:space="preserve">.</w:t>
      </w:r>
    </w:p>
    <w:p>
      <w:pPr>
        <w:pStyle w:val="BodyText"/>
      </w:pPr>
      <w:r>
        <w:t xml:space="preserve">Ostatnia, lecz nie mniej ważna jest moja własna praca. Mój grecki Nowy Testament jest pierwszym, który podaje archetyp Rodziny 35, a jego aparat krytyczny jest pierwszym, który podaje przy wariantach odsetki, poza uwzględnieniem sześciu opublikowanych wydań. Seria dotycząca wariantów</w:t>
      </w:r>
      <w:r>
        <w:t xml:space="preserve"> </w:t>
      </w:r>
      <w:r>
        <w:rPr>
          <w:bCs/>
          <w:b/>
        </w:rPr>
        <w:t xml:space="preserve">f</w:t>
      </w:r>
      <w:r>
        <w:rPr>
          <w:vertAlign w:val="superscript"/>
          <w:bCs/>
          <w:b/>
        </w:rPr>
        <w:t xml:space="preserve">35</w:t>
      </w:r>
      <w:r>
        <w:t xml:space="preserve">, księga po księdze, podaje szczegółowe wyniki moich kolacjonowań reprezentatywnych manuskryptów, zwykle co najmniej trzydziestu dla każdej księgi. Wszystko to jest obecnie bezpłatnie dostępne w Internecie na mojej stronie www.prunch.org (głównie po angielsku, lecz częściowo także po portugalsku). Dysponujemy sposobami udostępniania dowodów, lecz jak możemy skłonić ludzi, by się im przyjrzeli? Najlepszym, jeśli nie jedynym sposobem, jest użycie duchowego autorytetu, który dał nam Władca Jezus.</w:t>
      </w:r>
    </w:p>
    <w:bookmarkEnd w:id="470"/>
    <w:bookmarkStart w:id="485" w:name="neutralizowanie-ingerencji"/>
    <w:p>
      <w:pPr>
        <w:pStyle w:val="Heading4"/>
      </w:pPr>
      <w:r>
        <w:rPr>
          <w:iCs/>
          <w:i/>
        </w:rPr>
        <w:t xml:space="preserve">Neutralizowanie ingerencji</w:t>
      </w:r>
    </w:p>
    <w:p>
      <w:pPr>
        <w:pStyle w:val="FirstParagraph"/>
      </w:pPr>
      <w:r>
        <w:t xml:space="preserve">Na jakiej podstawie moglibyśmy neutralizować ingerencję? Najbardziej fundamentalnym pytaniem dla ludzkiego życia na tej planecie jest pytanie o autorytet: kto go ma, w jakim stopniu i na jakich warunkach? Jak naczelni kapłani powiedzieli Jezusowi: „Jakim autorytetem to czynisz?” (Ewangelia Łukasza 20,2). Po swojej śmierci i zmartwychwstaniu Władca Jezus powiedział: „Został mi dany wszelki autorytet w niebie i na ziemi” (Ewangelia Mateusza 28,18). Ma zatem pełne prawo i jest wyraźnie kompetentny, by przekazać nam część tego autorytetu. Rozważmy Ewangelię Łukasza 10,19: „Zwróćcie uwagę, daję wam autorytet, aby deptać węże i skorpiony,</w:t>
      </w:r>
      <w:r>
        <w:rPr>
          <w:rStyle w:val="FootnoteReference"/>
        </w:rPr>
        <w:footnoteReference w:id="471"/>
      </w:r>
      <w:r>
        <w:t xml:space="preserve"> </w:t>
      </w:r>
      <w:r>
        <w:t xml:space="preserve">i nad całą mocą wroga, a nic w ogóle nie może wam zaszkodzić”. Zamiast „daję” być może 2,5% greckich manuskryptów, obiektywnie gorszej jakości, ma „dałem” (jak w NIV, NASB, LB, TEV itd.) — poważny błąd. Jezus powiedział to być może pięć miesięcy przed swoją śmiercią i zmartwychwstaniem, zwracając się do siedemdziesięciu (nie tylko do dwunastu). Pan mówi o przyszłości, nie o przeszłości, o przyszłości, która obejmuje nas!</w:t>
      </w:r>
    </w:p>
    <w:p>
      <w:pPr>
        <w:pStyle w:val="BodyText"/>
      </w:pPr>
      <w:r>
        <w:t xml:space="preserve">Rozważmy dalej Ewangelię Jana 20,21, Jezus ponownie powiedział do nich: „Pokój wam! Jak Ojciec posłał Mnie, tak i Ja was posyłam”. „Jak… tak i” — Jezus posyła nas tak samo, jak Ojciec posłał Jego. Jak zatem Oni to zrobili? Ojciec postanowił, a Syn był posłuszny: „Oto przyszedłem, aby czynić Twoją wolę, Boże” (List do Hebrajczyków 10,7). A jaka była ta wola? Zniszczyć Szatana (List do Hebrajczyków 2,14) i zniweczyć jego dzieła (1 List Jana 3,8). Ponieważ Jezus rzeczywiście pokonał Szatana (List do Kolosan 2,15, List do Efezjan 1,20-21 itd.), lecz następnie wrócił do Nieba, dla nas pozostało niweczenie jego dzieł.</w:t>
      </w:r>
      <w:r>
        <w:rPr>
          <w:rStyle w:val="FootnoteReference"/>
        </w:rPr>
        <w:footnoteReference w:id="472"/>
      </w:r>
      <w:r>
        <w:t xml:space="preserve"> </w:t>
      </w:r>
      <w:r>
        <w:t xml:space="preserve">Wydaje mi się jasne, że aby zniweczyć jakiekolwiek dzieło, musimy również zniweczyć jego konsekwencje (w takim zakresie, w jakim może to być możliwe).</w:t>
      </w:r>
    </w:p>
    <w:p>
      <w:pPr>
        <w:pStyle w:val="BodyText"/>
      </w:pPr>
      <w:r>
        <w:t xml:space="preserve">Rozważmy także List do Efezjan 2,4-6: „Lecz Bóg — będąc bogaty w miłosierdzie, z powodu swojej wielkiej miłości, którą nas umiłował, nawet gdy byliśmy martwi w swoich występkach — ożywił nas razem z Chrystusem (łaską jesteście zbawieni), razem wskrzesił i razem posadził w sferach niebiańskich w Chrystusie Jezusie”. To jest ogromne! Tutaj mamy nasz autorytet. Chrystus siedzi teraz po prawicy Ojca, „daleko ponad” wrogiem i jego zastępami. Werset ten stwierdza, że my, którzy jesteśmy w Chrystusie, również tam jesteśmy! W Chrystusie także jesteśmy więc daleko ponad wrogiem i jego zastępami.</w:t>
      </w:r>
      <w:r>
        <w:rPr>
          <w:rStyle w:val="FootnoteReference"/>
        </w:rPr>
        <w:footnoteReference w:id="473"/>
      </w:r>
      <w:r>
        <w:t xml:space="preserve"> </w:t>
      </w:r>
      <w:r>
        <w:t xml:space="preserve">Z pewnością, czyż nie to stwierdza List do Efezjan 1,16-21?</w:t>
      </w:r>
    </w:p>
    <w:p>
      <w:pPr>
        <w:pStyle w:val="BlockText"/>
      </w:pPr>
      <w:r>
        <w:t xml:space="preserve">Doprawdy nie przestaję dziękować za was, wspominając was w moich modlitwach, aby Bóg naszego Pana, Jezusa Chrystusa, Ojciec chwały, dał wam ducha mądrości i objawienia w rzeczywistym poznaniu</w:t>
      </w:r>
      <w:r>
        <w:rPr>
          <w:rStyle w:val="FootnoteReference"/>
        </w:rPr>
        <w:footnoteReference w:id="474"/>
      </w:r>
      <w:r>
        <w:t xml:space="preserve"> </w:t>
      </w:r>
      <w:r>
        <w:t xml:space="preserve">samego siebie, aby oczy waszego serca zostały oświecone, żebyście wiedzieli, jaka jest nadzieja Jego</w:t>
      </w:r>
      <w:r>
        <w:rPr>
          <w:vertAlign w:val="superscript"/>
        </w:rPr>
        <w:t xml:space="preserve">[O]</w:t>
      </w:r>
      <w:r>
        <w:t xml:space="preserve"> </w:t>
      </w:r>
      <w:r>
        <w:t xml:space="preserve">powołania i jakie bogactwo chwały Jego dziedzictwa w świętych, i jaka jest przewyższająca wielkość Jego mocy skierowanej do</w:t>
      </w:r>
      <w:r>
        <w:rPr>
          <w:rStyle w:val="FootnoteReference"/>
        </w:rPr>
        <w:footnoteReference w:id="475"/>
      </w:r>
      <w:r>
        <w:t xml:space="preserve"> </w:t>
      </w:r>
      <w:r>
        <w:t xml:space="preserve">nas, którzy wierzymy, według ukazania rozmiaru Jego potęgi, którą okazał w Chrystusie, gdy wskrzesił Go</w:t>
      </w:r>
      <w:r>
        <w:rPr>
          <w:vertAlign w:val="superscript"/>
        </w:rPr>
        <w:t xml:space="preserve">[S]</w:t>
      </w:r>
      <w:r>
        <w:t xml:space="preserve"> </w:t>
      </w:r>
      <w:r>
        <w:t xml:space="preserve">spośród umarłych i posadził po swojej</w:t>
      </w:r>
      <w:r>
        <w:rPr>
          <w:vertAlign w:val="superscript"/>
        </w:rPr>
        <w:t xml:space="preserve">[O]</w:t>
      </w:r>
      <w:r>
        <w:t xml:space="preserve"> </w:t>
      </w:r>
      <w:r>
        <w:t xml:space="preserve">prawicy, w sferach niebiańskich, daleko ponad wszelkim władcą i autorytetem, i mocą, i panowaniem — nawet ponad każdym imieniem, jakie można nazwać, nie tylko w tym wieku, lecz także w przyszłym.</w:t>
      </w:r>
    </w:p>
    <w:p>
      <w:pPr>
        <w:pStyle w:val="FirstParagraph"/>
      </w:pPr>
      <w:r>
        <w:t xml:space="preserve">Otóż „daleko ponad wszelkim władcą i autorytetem, i mocą, i panowaniem — nawet ponad każdym imieniem, jakie można nazwać, nie tylko w tym wieku, lecz także w przyszłym” musi obejmować Szatana i jego aniołów. Jeśli Chrystus, siedzący po prawicy Ojca, jest</w:t>
      </w:r>
      <w:r>
        <w:t xml:space="preserve"> </w:t>
      </w:r>
      <w:r>
        <w:rPr>
          <w:u w:val="single"/>
          <w:bCs/>
          <w:b/>
        </w:rPr>
        <w:t xml:space="preserve">daleko</w:t>
      </w:r>
      <w:r>
        <w:rPr>
          <w:bCs/>
          <w:b/>
        </w:rPr>
        <w:t xml:space="preserve"> </w:t>
      </w:r>
      <w:r>
        <w:rPr>
          <w:bCs/>
          <w:b/>
        </w:rPr>
        <w:t xml:space="preserve">ponad</w:t>
      </w:r>
      <w:r>
        <w:t xml:space="preserve"> </w:t>
      </w:r>
      <w:r>
        <w:t xml:space="preserve">nimi, a my jesteśmy w Nim, posadzeni po prawicy Ojca, wówczas my również jesteśmy ponad wszystkimi zastępami wroga. Taka jest nasza pozycja i autorytet do neutralizowania ingerencji.</w:t>
      </w:r>
    </w:p>
    <w:p>
      <w:pPr>
        <w:pStyle w:val="BodyText"/>
      </w:pPr>
      <w:r>
        <w:t xml:space="preserve">Dobrze i pięknie, lecz jak właściwie mamy się do tego zabrać? Otóż na jakim poziomie powinniśmy „neutralizować”? Nasuwa się pięciu kandydatów: instytucje, nauczyciele, studenci, przywódcy kościelni i świeccy. Może działać na wszystkich poziomach? Następnie jakimi procedurami dysponujemy, by dokonać neutralizacji? Proponuję następujące: a) zakazać dalszego używania mocy Szatana w konkretnym przypadku, b) zażądać zniweczenia zaistniałych konsekwencji używania tej mocy (w takim zakresie, w jakim może to być możliwe), c) zniszczyć wszelkie warownie Szatana w ich umysłach (łącznie z martwymi punktami), d) związać wszystkie zaangażowane demony i posłać je do Otchłani, zakazując dalszej aktywności demonicznej, e) wziąć ich myśli w niewolę posłuszeństwa Chrystusowi. Z mojego doświadczenia wynika, że aby działać skutecznie, musimy być konkretni: nazwać instytucję, nazwać osobę.</w:t>
      </w:r>
    </w:p>
    <w:p>
      <w:pPr>
        <w:pStyle w:val="BodyText"/>
      </w:pPr>
      <w:r>
        <w:t xml:space="preserve">Ale chwileczkę, poddaję pod rozwagę, że wiara jest podstawowym warunkiem korzystania z naszej pozycji i autorytetu. Wykształcenie teologiczne, które sam otrzymałem, zaprogramowało mnie tak, bym nie oczekiwał nadprzyrodzonych przejawów mocy w moim życiu i służbie ani za ich pośrednictwem. W rezultacie osobiście trudno mi przejawiać ten rodzaj wiary, którego wymaga Pan Jezus. Rozważmy:</w:t>
      </w:r>
    </w:p>
    <w:p>
      <w:pPr>
        <w:pStyle w:val="BodyText"/>
      </w:pPr>
      <w:r>
        <w:t xml:space="preserve">W Ewangelii Mateusza 8,5-13 centurion rozumiał autorytet, wydawał rozkazy, a one były wykonywane bezzwłocznie i bez zastrzeżeń.</w:t>
      </w:r>
      <w:r>
        <w:rPr>
          <w:rStyle w:val="FootnoteReference"/>
        </w:rPr>
        <w:footnoteReference w:id="476"/>
      </w:r>
      <w:r>
        <w:t xml:space="preserve"> </w:t>
      </w:r>
      <w:r>
        <w:t xml:space="preserve">Pan Jezus powiedział jednak, że miał on niezwykle wielką wiarę — wiarę w co? W duchowy autorytet Pana, mógł po prostu wydać rozkaz i tak by się stało. Być może ten rodzaj wiary powinniśmy rozumieć jako absolutną pewność, bez śladu wątpliwości czy lęku. W Ewangelii Mateusza 21,21 Pan powiedział: „Zaprawdę… jeśli macie wiarę i nie wątpicie” (zob. Ewangelia Marka 11,23: „nie wątpi w swoim sercu”), możecie (właściwie: „sprawicie”) ususzyć drzewo albo posłać górę do morza. Zobacz także List do Hebrajczyków 10,22: „pełna pewność wiary”, 1 List do Tymoteusza 2,8: „modlić się… bez powątpiewania”, List Jakuba 1,6: „prosić w wierze, bez powątpiewania”. Ewangelia Marka 5,34 i Ewangelia Mateusza 15,28 przedstawiają pozytywne przykłady, Piotr natomiast zawiódł (Ewangelia Mateusza 14,31: „dlaczego zwątpiłeś?”).</w:t>
      </w:r>
    </w:p>
    <w:p>
      <w:pPr>
        <w:pStyle w:val="BodyText"/>
      </w:pPr>
      <w:r>
        <w:t xml:space="preserve">Jeśli ktoś udziela pełnomocnictwa, przypuszczalnie poprze je do granic swoich możliwości. Ponieważ możliwości Chrystusa nie mają granic, Jego wsparcie nie ma granic (z Jego strony). W Ewangelii Mateusza 28,18 powiedział: „Został mi dany wszelki autorytet w niebie i na ziemi”. Potem następuje posłannictwo: „Idąc, czyńcie uczniami… ucząc ich przestrzegać wszystkiego, co wam nakazałem” — zaimek odsyła do jedenastu Apostołów (werset 16). Jakie zatem polecenia Jezus dał Jedenastu? Między innymi: „uzdrawiajcie chorych, oczyszczajcie trędowatych, wypędzajcie demony” (w Ewangelii Mateusza 10,8 być może 94% greckich manuskryptów</w:t>
      </w:r>
      <w:r>
        <w:t xml:space="preserve"> </w:t>
      </w:r>
      <w:r>
        <w:rPr>
          <w:u w:val="single"/>
        </w:rPr>
        <w:t xml:space="preserve">nie</w:t>
      </w:r>
      <w:r>
        <w:t xml:space="preserve"> </w:t>
      </w:r>
      <w:r>
        <w:t xml:space="preserve">ma „wskrzeszajcie umarłych”). Jedenastu słyszało również Ewangelię Jana 20,21. Wiedząc, że wspiera nas Władca wszechświata, który ma wszelki autorytet i moc, możemy i powinniśmy działać z całkowitą pewnością.</w:t>
      </w:r>
    </w:p>
    <w:p>
      <w:pPr>
        <w:pStyle w:val="BodyText"/>
      </w:pPr>
      <w:r>
        <w:t xml:space="preserve">W tym miejscu konieczne jest słowo przestrogi. Rozważmy List Jakuba 4,7: „Poddajcie się więc Bogu. Przeciwstawcie się diabłu, a ucieknie od was”. Zauważ kolejność, zanim podejmiemy walkę z diabłem, musimy sprawdzić, czy jesteśmy poddani Bogu. Następnie powinniśmy powołać się na naszą pozycję w Chrystusie po prawicy Ojca. Ponieważ niewielu chrześcijan otrzymało choćby w przybliżeniu odpowiedni poziom pouczenia w dziedzinie biblijnej wojny duchowej (większość nie otrzymała żadnego), muszę wyjaśnić procedury.</w:t>
      </w:r>
    </w:p>
    <w:bookmarkStart w:id="477" w:name="zakazać-dalszego-używania-mocy-szatana"/>
    <w:p>
      <w:pPr>
        <w:pStyle w:val="Heading5"/>
      </w:pPr>
      <w:r>
        <w:t xml:space="preserve">Zakazać dalszego używania mocy Szatana</w:t>
      </w:r>
    </w:p>
    <w:p>
      <w:pPr>
        <w:pStyle w:val="FirstParagraph"/>
      </w:pPr>
      <w:r>
        <w:t xml:space="preserve">Procedura ta opiera się na Ewangelii Łukasza 10,19. Władca Jezus daje nam „ten” autorytet nad całą mocą wroga. Autorytet kontroluje moc, lecz ponieważ mamy dostęp do nieograniczonej mocy Boga (List do Efezjan 3,20), nie powinniśmy dawać Szatanowi satysfakcji z korzystania z jego mocy (a mógłby nas łatwo zwieść do robienia rzeczy, których nie powinniśmy robić). Powinniśmy używać naszego autorytetu, aby zakazywać używania mocy Szatana w odniesieniu do konkretnych sytuacji, z mojego doświadczenia wynika, że musimy być konkretni. (Próbowałem związać Szatana raz na zawsze, aż do końca świata, lecz to nie działa, przypuszczalnie dlatego, że plan Boga przewiduje dalszą aktywność wroga na tym świecie. Możemy ograniczyć działania wroga, lecz nie możemy całkowicie zakończyć jego działalności, a przynajmniej tak sądzę). Jak jednak właściwie mamy się do tego zabrać?</w:t>
      </w:r>
    </w:p>
    <w:p>
      <w:pPr>
        <w:pStyle w:val="BodyText"/>
      </w:pPr>
      <w:r>
        <w:t xml:space="preserve">W zbroi opisanej w Liście do Efezjan 6 znajdujemy „miecz Ducha” (werset 17). Miecz jest bronią zaczepną, choć służy również do obrony. Tekst mówi nam, że tym mieczem jest „ρημα Boga” — ρημα, nie λογος. Jest to wypowiedziane lub zastosowane Słowo Boga. Naprawdę, jaki pożytek z miecza pozostawionego w pochwie? Choć nasz Miecz jest cudowny (List do Hebrajczyków 4,12), aby wywołał skutek, musi wyjść z pochwy. Słowo musi być wypowiedziane albo napisane, zastosowane w konkretny sposób.</w:t>
      </w:r>
    </w:p>
    <w:p>
      <w:pPr>
        <w:pStyle w:val="BodyText"/>
      </w:pPr>
      <w:r>
        <w:t xml:space="preserve">W Biblii mamy wiele przykładów, w których ludzie uruchamiali moc Boga przez mówienie. Nasz świat zaczął się od stwórczego słowa Boga — wypowiedzianego (1 Księga Mojżeszowa 1,3.6.9.11.14.20.24.26, zob. też List do Hebrajczyków 11,3). Mojżesz wiele mówił. Eliasz mówił (1 Księga Królewska 17,1, 18,36, 2 Księga Królewska 1,10). Elizeusz mówił (2 Księga Królewska 2,14.21.24, 4,16.43, 6,19). Jezus bardzo wiele mówił. Ananiasz mówił (Dzieje Apostolskie 9,17). Piotr mówił (Dzieje Apostolskie 9,34.40). Paweł mówił (Dzieje Apostolskie 13,11, 14,3.10, 16,18, 20,10, 28,8). Krótko mówiąc, musimy mówić!</w:t>
      </w:r>
    </w:p>
    <w:bookmarkEnd w:id="477"/>
    <w:bookmarkStart w:id="478" w:name="X0f526a0a2f441185fd0de1d2aa0d90fab1e0a22"/>
    <w:p>
      <w:pPr>
        <w:pStyle w:val="Heading5"/>
      </w:pPr>
      <w:r>
        <w:t xml:space="preserve">Zażądać zniweczenia zaistniałych konsekwencji używania tej mocy</w:t>
      </w:r>
    </w:p>
    <w:p>
      <w:pPr>
        <w:pStyle w:val="FirstParagraph"/>
      </w:pPr>
      <w:r>
        <w:t xml:space="preserve">Procedura ta opiera się na 1 Liście Jana 3,8, w połączeniu z Ewangelią Łukasza 10,19. Powinniśmy móc nakazać Szatanowi, aby użył własnej mocy do naprawienia szkód, które wyrządził, zmuszając go tym samym do uznania swojej porażki (co nie będzie odpowiadać jego pysze). Syn Boga objawił się w celu „zniweczenia dzieł diabła” (1 List Jana 3,8), a na nas spoczywa obowiązek kontynuowania Jego dzieła tutaj, na tym świecie (Ewangelia Jana 20,21). Jak można zniweczyć dzieło, nie niwecząc również jego konsekwencji? Ojciec posłał Syna, aby zniweczył dzieła Szatana, a Pan Jezus Chrystus posyła nas, abyśmy niweczyli dzieła Szatana. Ponownie rozumiem, że musimy być konkretni.</w:t>
      </w:r>
    </w:p>
    <w:bookmarkEnd w:id="478"/>
    <w:bookmarkStart w:id="479" w:name="X0a20cec6c01584c7752d84d17719c0d5e506521"/>
    <w:p>
      <w:pPr>
        <w:pStyle w:val="Heading5"/>
      </w:pPr>
      <w:r>
        <w:t xml:space="preserve">Zniszczyć wszelkie warownie Szatana w umyśle danej osoby</w:t>
      </w:r>
    </w:p>
    <w:p>
      <w:pPr>
        <w:pStyle w:val="FirstParagraph"/>
      </w:pPr>
      <w:r>
        <w:t xml:space="preserve">Procedura ta opiera się na 2 Liście do Koryntian 10,4 oraz 1 Liście Jana 3,8. Ponieważ warownie i martwe punkty w umyśle są dziełem Szatana, a my jesteśmy tutaj po to, by niweczyć takie dzieła, mieści się to w zakresie naszych kompetencji. Dokonuje się tego, domagając się takiego zniszczenia wyraźnymi słowami i będąc konkretnym.</w:t>
      </w:r>
    </w:p>
    <w:bookmarkEnd w:id="479"/>
    <w:bookmarkStart w:id="482" w:name="X4ed9f750286e3ae75787aed5837bdf71cedb48d"/>
    <w:p>
      <w:pPr>
        <w:pStyle w:val="Heading5"/>
      </w:pPr>
      <w:r>
        <w:t xml:space="preserve">Związać wszystkie zaangażowane demony i posłać je do Otchłani</w:t>
      </w:r>
    </w:p>
    <w:p>
      <w:pPr>
        <w:pStyle w:val="FirstParagraph"/>
      </w:pPr>
      <w:r>
        <w:t xml:space="preserve">Procedura ta opiera się na Ewangelii Marka 3,27 i Ewangelii Łukasza 8,31. „Nikt nie może zrabować dóbr mocarza, wdzierając się do jego domu, jeśli najpierw nie zwiąże mocarza — wtedy może ograbić dom” (Ewangelia Marka 3,27). Ponieważ przy pierwszym wystąpieniu słowa „mocarz” znajduje się rodzajnik określony, istota ta została już przedstawiona, odniesienie dotyczy więc Szatana. Oto biblijna podstawa wiązania Szatana, co jest teraz możliwe dzięki zwycięstwu Chrystusa. Jeśli możemy związać Szatana, najwyraźniej możemy również związać każdego z jego podwładnych. „I błagał Go usilnie, aby nie nakazywał im odejść do Otchłani” (Ewangelia Łukasza 8,31).</w:t>
      </w:r>
      <w:r>
        <w:rPr>
          <w:rStyle w:val="FootnoteReference"/>
        </w:rPr>
        <w:footnoteReference w:id="480"/>
      </w:r>
      <w:r>
        <w:rPr>
          <w:rStyle w:val="FootnoteReference"/>
        </w:rPr>
        <w:footnoteReference w:id="481"/>
      </w:r>
      <w:r>
        <w:t xml:space="preserve"> </w:t>
      </w:r>
      <w:r>
        <w:t xml:space="preserve">Uważam, że Jezus nie posłał ich wówczas do Otchłani, ponieważ nie odniósł jeszcze zwycięstwa, a demony działały „w granicach swoich praw” podlegając Szatanowi, który nadal był bogiem tego świata. Demony były jednak wyraźnie zaniepokojone! (Bardzo dobrze wiedziały, kim jest Jezus i co może uczynić). Powiedziałbym, że jest to jedna z „większych rzeczy” (Ewangelia Jana 14,12), które możemy teraz czynić — a raczej które powinniśmy czynić. Jeśli chodzi o zakazywanie dalszej aktywności demonicznej, mamy przykład Pana (Ewangelia Marka 9,25), a mamy czynić to, co czynił On (Ewangelia Jana 14,12).</w:t>
      </w:r>
    </w:p>
    <w:bookmarkEnd w:id="482"/>
    <w:bookmarkStart w:id="484" w:name="X1cad799430c6a8eed5553f0a768a4614be044b7"/>
    <w:p>
      <w:pPr>
        <w:pStyle w:val="Heading5"/>
      </w:pPr>
      <w:r>
        <w:t xml:space="preserve">Wziąć ich myśli w niewolę posłuszeństwa Chrystusowi</w:t>
      </w:r>
    </w:p>
    <w:p>
      <w:pPr>
        <w:pStyle w:val="FirstParagraph"/>
      </w:pPr>
      <w:r>
        <w:t xml:space="preserve">Procedura ta opiera się na 2 Liście do Koryntian 10,5. W kontekście chodzi o myśli ludzi, którzy służą Szatanowi (nawet jeśli nieświadomie). (Oczywiście zawsze powinniśmy sprawdzać, czy sami działamy w obrębie „umysłu Chrystusa”, 1 List do Koryntian 2,15-16). Procedura ta wykracza poza samo neutralizowanie ingerencji wroga, ponieważ wprowadza pozytywną „ingerencję”, lecz jest istotna dla omawianej tutaj kwestii, gdyż stanowi ochronę przed ponownym popadnięciem w poprzedni błąd. Ponownie musimy być konkretni.</w:t>
      </w:r>
    </w:p>
    <w:p>
      <w:pPr>
        <w:pStyle w:val="BodyText"/>
      </w:pPr>
      <w:r>
        <w:t xml:space="preserve">Kilka dalszych tekstów, które mogą mieć zastosowanie: Ewangelia Łukasza 4,18-21, Księga Psalmów 149,5-9, Ewangelia Jana 14,12.</w:t>
      </w:r>
    </w:p>
    <w:p>
      <w:pPr>
        <w:pStyle w:val="BodyText"/>
      </w:pPr>
      <w:r>
        <w:t xml:space="preserve">W Ewangelii Łukasza 4,18-21 Jezus wymienia „wypuszczenie uciśnionych na wolność” (Księga Izajasza 58,6) jako jedną z rzeczy, do których został posłany. Przechodząc do Księgi Izajasza 58,6, znajdujemy oświadczenie Jehowy, jaki rodzaj „postu” chciałby zobaczyć: „Rozwiązać więzy niegodziwości (a), rozluźnić powrozy jarzma (b), wypuścić uciśnionych na wolność (a) i abyście złamali każde jarzmo (b)”. Jak to jest typowe dla gramatyki hebrajskiej, obie połowy są równoległe. „Rozwiązać więzy niegodziwości” i „wypuścić uciśnionych na wolność” są równoległe. Kto nałożył „więzy” i kto uciska? Otóż chociaż ludzie z pewnością mogą sami wykuć swoje więzy przez własny niegodziwy styl życia, uważam, że chodzi tutaj o to, iż niegodziwe istoty nałożyły więzy na innych. „Rozluźnić powrozy jarzma” i „abyście złamali każde jarzmo” idą w parze. Najpierw powinniśmy rozwiązać powrozy mocujące jarzmo do szyi, następnie powinniśmy złamać same jarzma. Odnoszę wyraźne wrażenie, że tekst ten mówi o działalności sług Szatana, ludzi i aniołów. Posługując się kulturą, światopoglądem, środkami prawnymi, groźbami, szantażem, kłamstwami, zwodzeniem oraz zwyczajnym demonizowaniem i czarami, wiążą jednostki, rodziny, grupy etniczne itd. rozmaitymi więzami i narzędziami ucisku.</w:t>
      </w:r>
    </w:p>
    <w:p>
      <w:pPr>
        <w:pStyle w:val="BodyText"/>
      </w:pPr>
      <w:r>
        <w:t xml:space="preserve">Co to ma zatem wspólnego z naszym tematem? Otóż post był ważnym i wymaganym elementem ich czci oddawanej Bogu. Ten rodzaj „postu” jest więc czymś, co Jehowa wyraźnie chce widzieć, jest wprost Jego wolą. Gdy zatem widzimy w czyimś życiu jakiekolwiek dzieło Szatana, wolą Boga jest, abyśmy je zniweczyli. Jeśli wiemy, że jest to wola Boga, możemy postępować z całkowitą pewnością. Stanowi to także część naszego posłannictwa (Ewangelia Jana 20,21).</w:t>
      </w:r>
    </w:p>
    <w:p>
      <w:pPr>
        <w:pStyle w:val="BodyText"/>
      </w:pPr>
      <w:r>
        <w:t xml:space="preserve">Zauważmy również Księgę Psalmów 149,5-9: „Niech święci radują się w chwale, niech śpiewają radośnie na swoich łożach. Niech wzniosłe pochwały Boga będą w ich ustach, a miecz obosieczny w ich ręku — aby dokonać pomsty na narodach i kar na ludach, aby związać ich królów łańcuchami, a ich dostojników żelaznymi kajdanami, aby wykonać na nich zapisany wyrok. Taki zaszczyt jest dla wszystkich Jego świętych”. Zauważ, że święci są na swoich łożach, dlatego działalność opisana w kolejnych wersetach musi odbywać się w sferze duchowej. Zakładam, że „królowie” i „dostojnicy” obejmują zarówno ludzi, jak i upadłych aniołów. Opisana działalność jest prerogatywą „wszystkich Jego świętych”, jeśli jesteś jednym z tych świętych, należy to do ciebie. W Tekście istnieje pewna liczba „zapisanych wyroków”: Księga Zachariasza 5,2-4, Księga Przysłów 20,10, Księga Izajasza 10,1-2, List do Rzymian 1,26-36 i 1 List do Koryntian 6,9-10, przynajmniej.</w:t>
      </w:r>
    </w:p>
    <w:p>
      <w:pPr>
        <w:pStyle w:val="BodyText"/>
      </w:pPr>
      <w:r>
        <w:t xml:space="preserve">W Ewangelii Jana 14,12 Pan Jezus powiedział: „Zaprawdę, zaprawdę, mówię wam, ten, kto wierzy we Mnie, on także będzie czynił dzieła, które Ja czynię, istotnie będzie czynił większe dzieła niż te, ponieważ idę do mojego Ojca”. „Zaprawdę, zaprawdę” to w istocie „amen, amen” — w AV oddane jako „verily, verily”. Tylko Jan odnotowuje to słowo jako powtórzone, w pozostałych Ewangeliach jest to po prostu „amen”. W ówczesnej literaturze nie mamy przykładu, by ktokolwiek inny używał tego słowa w taki sposób. Wydaje się, że Jezus stworzył własne zastosowanie, a jego celem zdaje się być zwrócenie uwagi na ważne oświadczenie: „Zatrzymajcie się i słuchajcie!”. Często poprzedza ono formalne stwierdzenie doktryny lub zasady, tak jak tutaj.</w:t>
      </w:r>
    </w:p>
    <w:p>
      <w:pPr>
        <w:pStyle w:val="BodyText"/>
      </w:pPr>
      <w:r>
        <w:t xml:space="preserve">„Ten, kto wierzy we Mnie, on także będzie czynił dzieła, które Ja czynię”. Jest to ogromne stwierdzenie i niemało niepokojące. Zauważ, że Pan powiedział: „będzie czynił”, nie „może”, „być może”, „jeśli będzie miał ochotę”, a już z pewnością nie: „jeśli pozwala na to doktryna twojego kościoła”! Jeśli wierzysz,</w:t>
      </w:r>
      <w:r>
        <w:t xml:space="preserve"> </w:t>
      </w:r>
      <w:r>
        <w:rPr>
          <w:bCs/>
          <w:b/>
        </w:rPr>
        <w:t xml:space="preserve">będziesz czynił!</w:t>
      </w:r>
      <w:r>
        <w:t xml:space="preserve"> </w:t>
      </w:r>
      <w:r>
        <w:t xml:space="preserve">Czasownik „wierzyć” jest w czasie teraźniejszym, jeśli wierzysz, będziesz czynił, wynika z tego, że jeśli nie czynisz, to dlatego, że nie wierzysz. 2 + 2 = 4. Co czynić? „Dzieła, które Ja czynię”. Otóż Jezus głosił Ewangelię, nauczał, wypędzał demony, uzdrawiał choroby i schorzenia wszelkich rodzajów i rozmiarów, od czasu do czasu wskrzeszał umarłego i dokonywał różnych cudów (woda w wino, chodzenie po wodzie, natychmiastowe uciszenie burzy, natychmiastowe przeniesienie łodzi o kilka kilometrów, rozmnożenie żywności, ususzenie drzewa — zasugerował też, że uczniowie powinni byli uciszyć burzę i rozmnożyć żywność, oraz stwierdził, że mogą ususzyć drzewo (Piotr rzeczywiście zrobił kilka kroków po wodzie)). A co z nami? Z głoszeniem i nauczaniem potrafimy sobie poradzić, lecz co z resztą? Słyszałem kiedyś, jak rektor pewnej chrześcijańskiej uczelni twierdził, że werset ten oczywiście nie może znaczyć tego, co mówi, ponieważ to się nie dzieje! Cóż, przypuszczam, że w jego własnym doświadczeniu i doświadczeniu jego współpracowników się nie dzieje. Wielu ludzi wypędza jednak dzisiaj demony i uzdrawia, a ja osobiście znam kogoś, kto wskrzesił umarłego. Cuda również się zdarzają. Co więc ze mną? I z tobą?</w:t>
      </w:r>
    </w:p>
    <w:p>
      <w:pPr>
        <w:pStyle w:val="BodyText"/>
      </w:pPr>
      <w:r>
        <w:t xml:space="preserve">„Istotnie będzie czynił większe dzieła niż te”. Otóż jeśli wypędzamy demony, uzdrawiamy i dokonujemy cudów, czy to nie wystarczy? Jezus chce czegoś więcej, chce „większych rzeczy” niż właśnie wymienione (nie zapominaj, co powiedział w Ewangelii Mateusza 7,22-23). Ponownie zauważ, że powiedział „będzie czynił”, nie „może”, „być może” albo „jeśli pozwoli twój kościół”. Co jednak może być „większe” od cudów? Nie może to dotyczyć współczesnej technologii, ponieważ w takim przypadku podobne „większe rzeczy” nie byłyby dostępne dla wierzących przez pierwszych 1900 lat. Zauważ, że klucz znajduje się w ostatnim stwierdzeniu Pana (w wersecie 12): „ponieważ idę do mojego Ojca”. Tylko jeśli zwycięży, może wrócić do Ojca, oznajmia więc tutaj swoje zwycięstwo, zanim do niego doszło. To na podstawie tego zwycięstwa można dokonywać „większych rzeczy”. Czym właściwie są te „większe” rzeczy? Moją odpowiedź przedstawiam w zarysie „Biblical Spiritual Warfare”.</w:t>
      </w:r>
    </w:p>
    <w:p>
      <w:pPr>
        <w:pStyle w:val="BodyText"/>
      </w:pPr>
      <w:r>
        <w:t xml:space="preserve">W wersecie 12 czasownik „będzie czynił” jest za każdym razem w liczbie pojedynczej, dotyczy więc jednostki. Zauważ, że Pan</w:t>
      </w:r>
      <w:r>
        <w:t xml:space="preserve"> </w:t>
      </w:r>
      <w:r>
        <w:rPr>
          <w:u w:val="single"/>
          <w:bCs/>
          <w:b/>
        </w:rPr>
        <w:t xml:space="preserve">nie</w:t>
      </w:r>
      <w:r>
        <w:t xml:space="preserve"> </w:t>
      </w:r>
      <w:r>
        <w:t xml:space="preserve">powiedział: „wy, Apostołowie”, „tylko w epoce apostolskiej”, „tylko do ukończenia kanonu” czy cokolwiek podobnego. Powiedział: „ten, kto wierzy”, czas teraźniejszy, dotyczy to zatem każdego późniejszego momentu aż po nasze czasy. Zaprzeczanie prawdzie zawartej w tym wersecie oznacza czynienie z Pana Jezusa Chrystusa kłamcy. Jakoś nie wydaje mi się to zbyt mądre.</w:t>
      </w:r>
      <w:r>
        <w:rPr>
          <w:rStyle w:val="FootnoteReference"/>
        </w:rPr>
        <w:footnoteReference w:id="483"/>
      </w:r>
    </w:p>
    <w:bookmarkEnd w:id="484"/>
    <w:bookmarkEnd w:id="485"/>
    <w:bookmarkEnd w:id="486"/>
    <w:bookmarkStart w:id="496" w:name="sedno-zaginionego-oryginału"/>
    <w:p>
      <w:pPr>
        <w:pStyle w:val="Heading3"/>
      </w:pPr>
      <w:r>
        <w:t xml:space="preserve">„Sedno” „zaginionego” Oryginału</w:t>
      </w:r>
    </w:p>
    <w:p>
      <w:pPr>
        <w:pStyle w:val="FirstParagraph"/>
      </w:pPr>
      <w:r>
        <w:t xml:space="preserve">Wracając do początkowego akapitu, czy oryginalne sformułowania zaginęły? Odpowiadam stanowczo: „</w:t>
      </w:r>
      <w:r>
        <w:rPr>
          <w:bCs/>
          <w:b/>
        </w:rPr>
        <w:t xml:space="preserve">Nie</w:t>
      </w:r>
      <w:r>
        <w:t xml:space="preserve">”. Z pewnością istnieją w masie bizantyjskiej. W moim rozumieniu za każdym razem, gdy zgadza się co najmniej 90% świadków pierwszorzędnych, nie może istnieć rozsądna wątpliwość, statystycznie niemożliwe jest, by nieoryginalny odczyt osiągnął tak wysoki wynik.</w:t>
      </w:r>
      <w:r>
        <w:rPr>
          <w:rStyle w:val="FootnoteReference"/>
        </w:rPr>
        <w:footnoteReference w:id="487"/>
      </w:r>
      <w:r>
        <w:t xml:space="preserve"> </w:t>
      </w:r>
      <w:r>
        <w:t xml:space="preserve">Za każdym razem, gdy odczyt zdobywa poświadczenie wynoszące co najmniej 80%, jego prawdopodobieństwo jest wysokie. Jednak w przypadku być może 2% słów Nowego Testamentu poświadczenie spada poniżej 80% (nieproporcjonalnie wiele z nich znajduje się w Objawieniu Jana), w tym miejscu musimy więc przenieść uwagę z manuskryptów na rodziny. Gdy wszystkie manuskrypty zostaną skolacjonowane i empirycznie przypisane do rodzin, będziemy mogli od początku ograniczyć uwagę do tych rodzin (jak uczyniłem w Objawieniu Jana). W innym miejscu wspomniałem o przypisaniu każdej rodzinie współczynnika wiarygodności opartego na obiektywnych kryteriach, trzeba tego dokonać. Niestety w tej dziedzinie czeka do odrobienia mnóstwo „pracy domowej”. O ile mi wiadomo, przynajmniej do chwili obecnej tylko Rodzina 35 ma empirycznie zdefiniowany profil (określony przez pełne kolacjonowanie reprezentatywnej liczby manuskryptów tworzących rodzinę).</w:t>
      </w:r>
      <w:r>
        <w:rPr>
          <w:rStyle w:val="FootnoteReference"/>
        </w:rPr>
        <w:footnoteReference w:id="488"/>
      </w:r>
    </w:p>
    <w:p>
      <w:pPr>
        <w:pStyle w:val="BodyText"/>
      </w:pPr>
      <w:r>
        <w:t xml:space="preserve">Wśród tych 2% o poświadczeniu poniżej 80% w zdecydowanej większości przypadków różnicy niemal nie da się odzwierciedlić w przekładzie. Czytelnik zrozumie zamierzone znaczenie przy dowolnym z wariantów. W obrębie Rodziny 35 istnieje jednak bardzo niewiele znaczącego zróżnicowania, a formę archetypalną można wykazać. Na przykład spośród czterdziestu trzech członków rodziny, których skolacjonowałem dla Listów Ogólnych, dwadzieścia osiem jest identycznych (doskonałych) dla 2 i 3 Listu Jana (lecz nie zawsze są to te same manuskrypty), dwadzieścia dwa dla Listu Judy, pięć dla 2 Listu Piotra, po cztery dla Listu Jakuba i 1 Listu Jana oraz trzy dla 1 Listu Piotra.</w:t>
      </w:r>
    </w:p>
    <w:p>
      <w:pPr>
        <w:pStyle w:val="BodyText"/>
      </w:pPr>
      <w:r>
        <w:t xml:space="preserve">Do mojego artykułu „Współczynnik staranności kopisty” (zob. wyżej, Część II) skolacjonowałem pięćdziesięciu jeden (obecnie 53) przedstawicieli Rodziny 35 dla Ewangelii Marka. Przeanalizowałem warianty zawarte w manuskrypcie 1384 (eapr, XI, Andros), spośród pięćdziesięciu trzech skolacjonowanych przeze mnie manuskryptów co najmniej czterdzieści cztery są lepsze niż 1384, jest on więc zaledwie przeciętnym przedstawicielem. Jednak z czterema wyjątkami wszędzie chodzi tylko o jedną literę lub sylabę i nigdzie znaczenie nie zostaje poważnie naruszone.</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489"/>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p>
      <w:pPr>
        <w:pStyle w:val="BodyText"/>
      </w:pPr>
      <w:r>
        <w:t xml:space="preserve">Kilka lat temu Maurice Robinson dokonał pełnego kolacjonowania 1389 manuskryptów zawierających</w:t>
      </w:r>
      <w:r>
        <w:t xml:space="preserve"> </w:t>
      </w:r>
      <w:r>
        <w:rPr>
          <w:iCs/>
          <w:i/>
        </w:rPr>
        <w:t xml:space="preserve">PA</w:t>
      </w:r>
      <w:r>
        <w:t xml:space="preserve"> </w:t>
      </w:r>
      <w:r>
        <w:t xml:space="preserve">(Ewangelia Jana 7,53-8,11),</w:t>
      </w:r>
      <w:r>
        <w:rPr>
          <w:rStyle w:val="FootnoteReference"/>
        </w:rPr>
        <w:footnoteReference w:id="490"/>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Moje założenia wstępne obejmują: istnieje Władca i Stwórca, natchnął Tekst biblijny, obiecał zachować go przez tysiąc pokoleń (1 Księga Kronik 16,15), musi więc czynnie i nieustannie interesować się tym zachowaniem (od Adama minęło mniej niż 300 pokoleń, ma więc jeszcze trochę do zrobienia!). Gdyby zachowywał oryginalne sformułowania w jakiejś innej linii przekazu niż</w:t>
      </w:r>
      <w:r>
        <w:t xml:space="preserve"> </w:t>
      </w:r>
      <w:r>
        <w:rPr>
          <w:bCs/>
          <w:b/>
        </w:rPr>
        <w:t xml:space="preserve">f</w:t>
      </w:r>
      <w:r>
        <w:rPr>
          <w:vertAlign w:val="superscript"/>
          <w:bCs/>
          <w:b/>
        </w:rPr>
        <w:t xml:space="preserve">35</w:t>
      </w:r>
      <w:r>
        <w:t xml:space="preserve">, czy przekaz ten byłby mniej staranny niż ten, który wykazałem dla</w:t>
      </w:r>
      <w:r>
        <w:t xml:space="preserve"> </w:t>
      </w:r>
      <w:r>
        <w:rPr>
          <w:bCs/>
          <w:b/>
        </w:rPr>
        <w:t xml:space="preserve">f</w:t>
      </w:r>
      <w:r>
        <w:rPr>
          <w:vertAlign w:val="superscript"/>
          <w:bCs/>
          <w:b/>
        </w:rPr>
        <w:t xml:space="preserve">35</w:t>
      </w:r>
      <w:r>
        <w:t xml:space="preserve">? Nie sądzę. Każda linia przekazu charakteryzująca się wewnętrznym pomieszaniem zostaje więc zdyskwalifikowana — obejmuje to</w:t>
      </w:r>
      <w:r>
        <w:t xml:space="preserve"> </w:t>
      </w:r>
      <w:r>
        <w:rPr>
          <w:u w:val="single"/>
          <w:bCs/>
          <w:b/>
        </w:rPr>
        <w:t xml:space="preserve">wszystkie</w:t>
      </w:r>
      <w:r>
        <w:t xml:space="preserve"> </w:t>
      </w:r>
      <w:r>
        <w:t xml:space="preserve">inne linie przekazu, jakie dotąd widziałem!</w:t>
      </w:r>
      <w:r>
        <w:rPr>
          <w:rStyle w:val="FootnoteReference"/>
        </w:rPr>
        <w:footnoteReference w:id="491"/>
      </w:r>
    </w:p>
    <w:p>
      <w:pPr>
        <w:pStyle w:val="BodyText"/>
      </w:pPr>
      <w:r>
        <w:t xml:space="preserve">Na podstawie dostępnych dotąd dowodów twierdzę, co następuje:</w:t>
      </w:r>
    </w:p>
    <w:p>
      <w:pPr>
        <w:numPr>
          <w:ilvl w:val="0"/>
          <w:numId w:val="1077"/>
        </w:numPr>
      </w:pPr>
      <w:r>
        <w:t xml:space="preserve">Oryginalne sformułowania nigdy nie „zaginęły”, a ich przekaz na przestrzeni lat był zasadniczo normalny, ponieważ od początku uznawano je za materiał natchniony.</w:t>
      </w:r>
    </w:p>
    <w:p>
      <w:pPr>
        <w:numPr>
          <w:ilvl w:val="0"/>
          <w:numId w:val="1077"/>
        </w:numPr>
      </w:pPr>
      <w:r>
        <w:t xml:space="preserve">Ten normalny proces doprowadził do powstania linii przekazu.</w:t>
      </w:r>
    </w:p>
    <w:p>
      <w:pPr>
        <w:numPr>
          <w:ilvl w:val="0"/>
          <w:numId w:val="1077"/>
        </w:numPr>
      </w:pPr>
      <w:r>
        <w:t xml:space="preserve">Aby wyznaczyć takie linie, manuskrypty trzeba empirycznie grupować na podstawie wspólnej mozaiki odczytów.</w:t>
      </w:r>
    </w:p>
    <w:p>
      <w:pPr>
        <w:numPr>
          <w:ilvl w:val="0"/>
          <w:numId w:val="1077"/>
        </w:numPr>
      </w:pPr>
      <w:r>
        <w:t xml:space="preserve">Takie grupy lub rodziny trzeba ocenić pod względem niezależności i wiarygodności.</w:t>
      </w:r>
    </w:p>
    <w:p>
      <w:pPr>
        <w:numPr>
          <w:ilvl w:val="0"/>
          <w:numId w:val="1077"/>
        </w:numPr>
      </w:pPr>
      <w:r>
        <w:t xml:space="preserve">Największą jasno zdefiniowaną grupą jest Rodzina 35.</w:t>
      </w:r>
    </w:p>
    <w:p>
      <w:pPr>
        <w:numPr>
          <w:ilvl w:val="0"/>
          <w:numId w:val="1077"/>
        </w:numPr>
      </w:pPr>
      <w:r>
        <w:t xml:space="preserve">Rodzina 35 jest w sposób możliwy do wykazania niezależna od wszystkich innych linii przekazu w całym Nowym Testamencie.</w:t>
      </w:r>
    </w:p>
    <w:p>
      <w:pPr>
        <w:numPr>
          <w:ilvl w:val="0"/>
          <w:numId w:val="1077"/>
        </w:numPr>
      </w:pPr>
      <w:r>
        <w:t xml:space="preserve">Rodzina 35 jest w sposób możliwy do wykazania starożytna, sięga co najmniej III wieku.</w:t>
      </w:r>
      <w:r>
        <w:rPr>
          <w:rStyle w:val="FootnoteReference"/>
        </w:rPr>
        <w:footnoteReference w:id="492"/>
      </w:r>
    </w:p>
    <w:p>
      <w:pPr>
        <w:numPr>
          <w:ilvl w:val="0"/>
          <w:numId w:val="1077"/>
        </w:numPr>
      </w:pPr>
      <w:r>
        <w:t xml:space="preserve">Przedstawiciele Rodziny 35 pochodzą z całego obszaru śródziemnomorskiego, rozmieszczenie geograficzne jest niemal całkowite.</w:t>
      </w:r>
      <w:r>
        <w:rPr>
          <w:rStyle w:val="FootnoteReference"/>
        </w:rPr>
        <w:footnoteReference w:id="493"/>
      </w:r>
    </w:p>
    <w:p>
      <w:pPr>
        <w:numPr>
          <w:ilvl w:val="0"/>
          <w:numId w:val="1077"/>
        </w:numPr>
      </w:pPr>
      <w:r>
        <w:t xml:space="preserve">Rodzina 35 nie jest recenzją, nie powstała w żadnym momencie późniejszym od Autografów.</w:t>
      </w:r>
    </w:p>
    <w:p>
      <w:pPr>
        <w:numPr>
          <w:ilvl w:val="0"/>
          <w:numId w:val="1077"/>
        </w:numPr>
      </w:pPr>
      <w:r>
        <w:t xml:space="preserve">Rodzina 35 jest obiektywnie/empirycznie zdefiniowaną jednostką w całym Nowym Testamencie, ma możliwy do wykazania, diagnostyczny profil od Ewangelii Mateusza 1,1 do Objawienia Jana 22,21.</w:t>
      </w:r>
    </w:p>
    <w:p>
      <w:pPr>
        <w:numPr>
          <w:ilvl w:val="0"/>
          <w:numId w:val="1077"/>
        </w:numPr>
      </w:pPr>
      <w:r>
        <w:t xml:space="preserve">Archetypalną formę Rodziny 35 można wykazać — została wykazana (zob. „Profil” wyżej, w Części II).</w:t>
      </w:r>
    </w:p>
    <w:p>
      <w:pPr>
        <w:numPr>
          <w:ilvl w:val="0"/>
          <w:numId w:val="1077"/>
        </w:numPr>
      </w:pPr>
      <w:r>
        <w:t xml:space="preserve">Tekst Oryginalny jest ostatecznym archetypem, każdy kandydat musi być również archetypem — rzeczywistym, najzupełniej prawdziwym, obiektywnie weryfikowalnym archetypem — istnieje tylko jeden (jak dotąd), Rodzina 35.</w:t>
      </w:r>
      <w:r>
        <w:rPr>
          <w:rStyle w:val="FootnoteReference"/>
        </w:rPr>
        <w:footnoteReference w:id="494"/>
      </w:r>
    </w:p>
    <w:p>
      <w:pPr>
        <w:numPr>
          <w:ilvl w:val="0"/>
          <w:numId w:val="1077"/>
        </w:numPr>
      </w:pPr>
      <w:r>
        <w:t xml:space="preserve">Troska Boga o zachowanie Tekstu biblijnego jest oczywista, uważam, że fragmenty takie jak 1 Księga Kronik 16,15, Księga Psalmów 119,89, Księga Izajasza 40,8, Ewangelia Mateusza 5,18, Ewangelia Łukasza 16,17 i 21,33, Ewangelia Jana 10,35,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077"/>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077"/>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077"/>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495"/>
      </w:r>
    </w:p>
    <w:p>
      <w:pPr>
        <w:pStyle w:val="FirstParagraph"/>
      </w:pPr>
      <w:r>
        <w:t xml:space="preserve">Twierdzę, że wykazałem wyższość Rodziny 35 na podstawie</w:t>
      </w:r>
      <w:r>
        <w:t xml:space="preserve"> </w:t>
      </w:r>
      <w:r>
        <w:rPr>
          <w:u w:val="single"/>
        </w:rPr>
        <w:t xml:space="preserve">liczebności (liczby przedstawicieli), niezależności, wieku, rozmieszczenia geograficznego, profilu (ustalonego empirycznie), staranności (zob. „Współczynnik staranności kopisty”</w:t>
      </w:r>
      <w:r>
        <w:t xml:space="preserve"> </w:t>
      </w:r>
      <w:r>
        <w:t xml:space="preserve">w Części II) i zakresu (wszystkie 27 ksiąg). Rzucam wyzwanie każdemu bez wyjątku, aby uczynił to samo dla jakiejkolwiek innej linii przekazu!</w:t>
      </w:r>
    </w:p>
    <w:bookmarkEnd w:id="496"/>
    <w:bookmarkEnd w:id="497"/>
    <w:bookmarkEnd w:id="498"/>
    <w:bookmarkStart w:id="583" w:name="dodatek"/>
    <w:p>
      <w:pPr>
        <w:pStyle w:val="Heading1"/>
      </w:pPr>
      <w:r>
        <w:t xml:space="preserve">DODATEK</w:t>
      </w:r>
    </w:p>
    <w:bookmarkStart w:id="501" w:name="nagromadzone-błędy-czternastu-stuleci"/>
    <w:p>
      <w:pPr>
        <w:pStyle w:val="Heading2"/>
      </w:pPr>
      <w:r>
        <w:t xml:space="preserve">„Nagromadzone błędy czternastu stuleci”</w:t>
      </w:r>
    </w:p>
    <w:p>
      <w:pPr>
        <w:pStyle w:val="FirstParagraph"/>
      </w:pPr>
      <w:r>
        <w:t xml:space="preserve">Manuskrypt Ewangelii GA 1700 jest najpóźniejszym datowanym manuskryptem reprezentującym Rodzinę 35, jaki zwrócił moją uwagę. Jest datowany na 1623 rok po Chr. i przechowywany w Bibliotece Narodowej Grecji. Pragnę wyrazić szczere podziękowania Center for the Study of New Testament Manuscripts za udostępnienie cyfrowej kopii tego manuskryptu. Choć pochodzi z XVII wieku, pismo jest bardzo czytelne. Dokonałem pełnego kolacjonowania tego manuskryptu dla Ewangelii Jana i zwracam uwagę na wynik. Chcę jednak przeanalizować ten wynik na tle poniższego cytatu zaczerpniętego z przedmowy do Revised Standard Version, s. ix.</w:t>
      </w:r>
    </w:p>
    <w:p>
      <w:pPr>
        <w:pStyle w:val="BlockText"/>
      </w:pPr>
      <w:r>
        <w:t xml:space="preserve">King James Version Nowego Testamentu opierała się na tekście greckim oszpeconym błędami, zawierającym nagromadzone błędy czternastu stuleci kopiowania manuskryptów… Posiadamy obecnie znacznie więcej starożytnych manuskryptów Nowego Testamentu i jesteśmy o wiele lepiej wyposażeni, by dążyć do odzyskania oryginalnych sformułowań tekstu greckiego.</w:t>
      </w:r>
    </w:p>
    <w:p>
      <w:pPr>
        <w:pStyle w:val="FirstParagraph"/>
      </w:pPr>
      <w:r>
        <w:t xml:space="preserve">Pierwszą rzeczą, która mnie tutaj interesuje, jest zarzut, że TR zawiera „nagromadzone błędy czternastu stuleci kopiowania manuskryptów”. Jeśli jest to prawdą, manuskrypt z XVII wieku powinien być prawdziwym koszem „nagromadzonych błędów”. Zobaczmy więc, jak radzi sobie GA 1700.</w:t>
      </w:r>
    </w:p>
    <w:p>
      <w:pPr>
        <w:pStyle w:val="BodyText"/>
      </w:pPr>
      <w:r>
        <w:t xml:space="preserve">Na początek ma nie mniej niż 136 odstępstw od archetypu rodziny (w Ewangelii Jana), co czyni go zdecydowanie najgorszym spośród 54 przedstawicieli rodziny, których skolacjonowałem dla tej księgi, drugi najgorszy ma „tylko” 41 odstępstw. Chociaż z powodu niedbałości i domieszki 1700 jest marginalnym członkiem Rodziny 35 w Ewangelii Jana, mimo wszystko wyraźnie jest jej członkiem. Spośród 12 odczytów, które klasyfikuję jako +++, pomija jeden, spośród 17 odczytów klasyfikowanych jako ++-- pomija jeden, spośród 17 odczytów klasyfikowanych jako ++ pomija jeden, spośród 15 odczytów klasyfikowanych jako +-- nie pomija żadnego, spośród 12 odczytów klasyfikowanych jako + pomija trzy, łącznie sześć z 44. Choć w żadnym razie nie jest to rzecz o nieskazitelnym pięknie, należy do rodziny.</w:t>
      </w:r>
      <w:r>
        <w:rPr>
          <w:rStyle w:val="FootnoteReference"/>
        </w:rPr>
        <w:footnoteReference w:id="499"/>
      </w:r>
    </w:p>
    <w:p>
      <w:pPr>
        <w:pStyle w:val="BodyText"/>
      </w:pPr>
      <w:r>
        <w:t xml:space="preserve">Wymienię teraz 136 odstępstw, podając wybrane dalsze poświadczenie wariantu 1700, wszystkie skolacjonowane przeze mnie manuskrypty</w:t>
      </w:r>
      <w:r>
        <w:t xml:space="preserve"> </w:t>
      </w:r>
      <w:r>
        <w:rPr>
          <w:bCs/>
          <w:b/>
        </w:rPr>
        <w:t xml:space="preserve">f</w:t>
      </w:r>
      <w:r>
        <w:rPr>
          <w:vertAlign w:val="superscript"/>
          <w:bCs/>
          <w:b/>
        </w:rPr>
        <w:t xml:space="preserve">35</w:t>
      </w:r>
      <w:r>
        <w:t xml:space="preserve"> </w:t>
      </w:r>
      <w:r>
        <w:t xml:space="preserve">są wymienione najpierw, a po nawiasach znajduje się wszystko inne. Moje wykazy dowodów są selektywne, wystarczają do mojego celu. Pierwszy odczyt należy do archetypu rodziny, drugi do GA 1700,</w:t>
      </w:r>
      <w:r>
        <w:rPr>
          <w:rStyle w:val="FootnoteReference"/>
        </w:rPr>
        <w:footnoteReference w:id="500"/>
      </w:r>
      <w:r>
        <w:t xml:space="preserve"> </w:t>
      </w:r>
      <w:r>
        <w:t xml:space="preserve">jeśli nie wymieniono żadnych dalszych manuskryptów, traktuję wariant jako odczyt singularny — spośród 136 łącznie co najmniej 54 są singularne, co wskazuje, że kopista był dość niedbały (powinno być oczywiste, że odczyt singularny nie może być „nagromadzonym błędem”, jest błędem prywatnym). Pozostałe 82 dają jednak do myślenia. Oto wykaz, który ponumerowałem, by ułatwić późniejszą dyskusję (numery pogrubione oznaczają odczyty singularne):</w:t>
      </w:r>
    </w:p>
    <w:p>
      <w:pPr>
        <w:numPr>
          <w:ilvl w:val="0"/>
          <w:numId w:val="1078"/>
        </w:numPr>
      </w:pPr>
      <w:r>
        <w:t xml:space="preserve">1,5 σκοτια || σκοτεια (2%) P</w:t>
      </w:r>
      <w:r>
        <w:rPr>
          <w:vertAlign w:val="superscript"/>
        </w:rPr>
        <w:t xml:space="preserve">75</w:t>
      </w:r>
      <w:r>
        <w:t xml:space="preserve"> </w:t>
      </w:r>
      <w:r>
        <w:t xml:space="preserve">C, 579 (jest to po prostu alternatywna pisownia, a zatem nie właściwy wariant, powtarza się w 12,35 i 20,1).</w:t>
      </w:r>
    </w:p>
    <w:p>
      <w:pPr>
        <w:numPr>
          <w:ilvl w:val="0"/>
          <w:numId w:val="1078"/>
        </w:numPr>
      </w:pPr>
      <w:r>
        <w:t xml:space="preserve">1,18 εις τον κολπον || εν τοις κολποις () 565 (ten przypadek jest dziwny, oba wyrażenia najwyraźniej uznawano za synonimiczne, jeśli nie można ustalić zależności, obaj kopiści dokonali zmiany niezależnie).</w:t>
      </w:r>
    </w:p>
    <w:p>
      <w:pPr>
        <w:pStyle w:val="FirstParagraph"/>
      </w:pPr>
      <w:r>
        <w:rPr>
          <w:bCs/>
          <w:b/>
        </w:rPr>
        <w:t xml:space="preserve">3.</w:t>
      </w:r>
      <w:r>
        <w:t xml:space="preserve"> </w:t>
      </w:r>
      <w:r>
        <w:t xml:space="preserve">1,19 οτε || οταν (odczyt singularny, który nie wpływa na znaczenie).</w:t>
      </w:r>
    </w:p>
    <w:p>
      <w:pPr>
        <w:numPr>
          <w:ilvl w:val="0"/>
          <w:numId w:val="1079"/>
        </w:numPr>
      </w:pPr>
      <w:r>
        <w:t xml:space="preserve">1,28 βιθαβαρα || βηθανια (65%) P</w:t>
      </w:r>
      <w:r>
        <w:rPr>
          <w:vertAlign w:val="superscript"/>
        </w:rPr>
        <w:t xml:space="preserve">66,75</w:t>
      </w:r>
      <w:r>
        <w:t xml:space="preserve"> </w:t>
      </w:r>
      <w:r>
        <w:t xml:space="preserve">ℵ A, B, C, W, Θ, 28, 579, 1424 (jest to jedno z miejsc, w których 1700 odchodzi od rodziny, nazwa miejsca rzuca się w oczy, a wariant jest odczytem dominującego typu lekcjonarza, mnich przyzwyczajony do słyszenia wariantu naturalnie zmieniłby tekst).</w:t>
      </w:r>
    </w:p>
    <w:p>
      <w:pPr>
        <w:numPr>
          <w:ilvl w:val="0"/>
          <w:numId w:val="1079"/>
        </w:numPr>
      </w:pPr>
      <w:r>
        <w:t xml:space="preserve">1,38 λεγεται || λεγετε 553, 1617, 2352 () W (formy są praktycznie synonimiczne, a zmiany dokonano przypuszczalnie niezależnie, fakt, że W również ma tę zmianę, jest jedynie ciekawostką).</w:t>
      </w:r>
    </w:p>
    <w:p>
      <w:pPr>
        <w:numPr>
          <w:ilvl w:val="0"/>
          <w:numId w:val="1079"/>
        </w:numPr>
      </w:pPr>
      <w:r>
        <w:t xml:space="preserve">1,40</w:t>
      </w:r>
      <w:r>
        <w:rPr>
          <w:vertAlign w:val="superscript"/>
        </w:rPr>
        <w:t xml:space="preserve">a</w:t>
      </w:r>
      <w:r>
        <w:t xml:space="preserve"> </w:t>
      </w:r>
      <w:r>
        <w:t xml:space="preserve">ην || 1 δε (2%) A, W, Λ, f</w:t>
      </w:r>
      <w:r>
        <w:rPr>
          <w:vertAlign w:val="superscript"/>
        </w:rPr>
        <w:t xml:space="preserve">13</w:t>
      </w:r>
      <w:r>
        <w:t xml:space="preserve">, 579, 1424 (dodatek jest „naturalny” i mógł powstać niezależnie, znaczenie nie zostaje naruszone, 1700 często zgadza się z 1424).</w:t>
      </w:r>
    </w:p>
    <w:p>
      <w:pPr>
        <w:pStyle w:val="FirstParagraph"/>
      </w:pPr>
      <w:r>
        <w:rPr>
          <w:bCs/>
          <w:b/>
        </w:rPr>
        <w:t xml:space="preserve">7.</w:t>
      </w:r>
      <w:r>
        <w:t xml:space="preserve"> </w:t>
      </w:r>
      <w:r>
        <w:t xml:space="preserve">1,40</w:t>
      </w:r>
      <w:r>
        <w:rPr>
          <w:vertAlign w:val="superscript"/>
        </w:rPr>
        <w:t xml:space="preserve">b</w:t>
      </w:r>
      <w:r>
        <w:t xml:space="preserve"> </w:t>
      </w:r>
      <w:r>
        <w:t xml:space="preserve">των δυο των ακουσαντων || ~ 3412 (odczyt singularny, który nie wpływa na znaczenie).</w:t>
      </w:r>
    </w:p>
    <w:p>
      <w:pPr>
        <w:numPr>
          <w:ilvl w:val="0"/>
          <w:numId w:val="1080"/>
        </w:numPr>
        <w:pStyle w:val="Compact"/>
      </w:pPr>
      <w:r>
        <w:t xml:space="preserve">1,42 εμβλεψας || 1 δε 1384, 1667 (20%) P</w:t>
      </w:r>
      <w:r>
        <w:rPr>
          <w:vertAlign w:val="superscript"/>
        </w:rPr>
        <w:t xml:space="preserve">75</w:t>
      </w:r>
      <w:r>
        <w:t xml:space="preserve"> </w:t>
      </w:r>
      <w:r>
        <w:t xml:space="preserve">Θ, Λ, f</w:t>
      </w:r>
      <w:r>
        <w:rPr>
          <w:vertAlign w:val="superscript"/>
        </w:rPr>
        <w:t xml:space="preserve">13</w:t>
      </w:r>
      <w:r>
        <w:t xml:space="preserve">, 1071, 1424 (dodatek jest „naturalny” i mógł powstać niezależnie, znaczenie nie zostaje naruszone).</w:t>
      </w:r>
    </w:p>
    <w:p>
      <w:pPr>
        <w:pStyle w:val="FirstParagraph"/>
      </w:pPr>
      <w:r>
        <w:rPr>
          <w:bCs/>
          <w:b/>
        </w:rPr>
        <w:t xml:space="preserve">9.</w:t>
      </w:r>
      <w:r>
        <w:t xml:space="preserve"> </w:t>
      </w:r>
      <w:r>
        <w:t xml:space="preserve">1,45 ευρηκαμεν || 1 τον (odczyt singularny, który nie wpływa na znaczenie).</w:t>
      </w:r>
    </w:p>
    <w:p>
      <w:pPr>
        <w:numPr>
          <w:ilvl w:val="0"/>
          <w:numId w:val="1081"/>
        </w:numPr>
      </w:pPr>
      <w:r>
        <w:t xml:space="preserve">1,50 μειζω || μειζονα () P</w:t>
      </w:r>
      <w:r>
        <w:rPr>
          <w:vertAlign w:val="superscript"/>
        </w:rPr>
        <w:t xml:space="preserve">66</w:t>
      </w:r>
      <w:r>
        <w:t xml:space="preserve"> </w:t>
      </w:r>
      <w:r>
        <w:t xml:space="preserve">ℵ (kopista przypuszczalnie nie miał dostępu do żadnego z wczesnych manuskryptów, jest to więc niezależna zmiana, zmiana rodzaju podyktowana wyobrażonym desygnatem, znaczenie nie zostaje naruszone).</w:t>
      </w:r>
    </w:p>
    <w:p>
      <w:pPr>
        <w:numPr>
          <w:ilvl w:val="0"/>
          <w:numId w:val="1081"/>
        </w:numPr>
      </w:pPr>
      <w:r>
        <w:t xml:space="preserve">2,5 λεγη || λεγει 1559, 1667 (30%) Θ,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2,10 συ || 1 δε (2%) ℵ, Λ, f</w:t>
      </w:r>
      <w:r>
        <w:rPr>
          <w:vertAlign w:val="superscript"/>
        </w:rPr>
        <w:t xml:space="preserve">13</w:t>
      </w:r>
      <w:r>
        <w:t xml:space="preserve">, 1071, 1346 (dodatek jest „naturalny” i mógł powstać niezależnie, znaczenie nie zostaje naruszone).</w:t>
      </w:r>
    </w:p>
    <w:p>
      <w:pPr>
        <w:numPr>
          <w:ilvl w:val="0"/>
          <w:numId w:val="1081"/>
        </w:numPr>
      </w:pPr>
      <w:r>
        <w:t xml:space="preserve">2,15 φραγελλιον || φραγγελιον 141, 685, 1694, 2466 (jest to po prostu alternatywna pisownia, a zatem nie właściwy wariant).</w:t>
      </w:r>
    </w:p>
    <w:p>
      <w:pPr>
        <w:numPr>
          <w:ilvl w:val="0"/>
          <w:numId w:val="1081"/>
        </w:numPr>
      </w:pPr>
      <w:r>
        <w:t xml:space="preserve">2,17 καταφαγεται || κατεφαγε (5%) 69, 1071 (jest to różnica czasu, która nie wpływa na znaczenie).</w:t>
      </w:r>
    </w:p>
    <w:p>
      <w:pPr>
        <w:numPr>
          <w:ilvl w:val="0"/>
          <w:numId w:val="1081"/>
        </w:numPr>
      </w:pPr>
      <w:r>
        <w:t xml:space="preserve">3,15 εχη || εχει 824, 1713, 2322 (40%) Θ, Λ, f</w:t>
      </w:r>
      <w:r>
        <w:rPr>
          <w:vertAlign w:val="superscript"/>
        </w:rPr>
        <w:t xml:space="preserve">13</w:t>
      </w:r>
      <w:r>
        <w:t xml:space="preserve">, 579, 1071, 1346, 1424 (oczekiwany jest tryb łączący, lecz tryb oznajmujący jest możliwy, prawdopodobnie nie jest to itacyzm, znaczenie nie zostaje naruszone).</w:t>
      </w:r>
    </w:p>
    <w:p>
      <w:pPr>
        <w:numPr>
          <w:ilvl w:val="0"/>
          <w:numId w:val="1081"/>
        </w:numPr>
      </w:pPr>
      <w:r>
        <w:t xml:space="preserve">3,16 εχη || εχει 824, 1686, 1559, 2322 (30%)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3,22 μετ αυτων || μετα των μαθητων αυτου () 28 (w kontekście wyrażenia są synonimiczne, znaczenie nie zostaje naruszone, zmiana jest prawdopodobnie niezależna, co czyniłoby ją odczytem „singularnym”).</w:t>
      </w:r>
    </w:p>
    <w:p>
      <w:pPr>
        <w:numPr>
          <w:ilvl w:val="0"/>
          <w:numId w:val="1081"/>
        </w:numPr>
      </w:pPr>
      <w:r>
        <w:t xml:space="preserve">3,24 την || --- () Θ, f</w:t>
      </w:r>
      <w:r>
        <w:rPr>
          <w:vertAlign w:val="superscript"/>
        </w:rPr>
        <w:t xml:space="preserve">1</w:t>
      </w:r>
      <w:r>
        <w:t xml:space="preserve">, 565 (zmiana mogła powstać niezależnie, znaczenie nie zostaje naruszone).</w:t>
      </w:r>
    </w:p>
    <w:p>
      <w:pPr>
        <w:numPr>
          <w:ilvl w:val="0"/>
          <w:numId w:val="1081"/>
        </w:numPr>
      </w:pPr>
      <w:r>
        <w:t xml:space="preserve">3,28 μοι μαρτυρειτε || ~ 21 928, 1334, 1572, 1667 (zwykłe odwrócenie szyku wyrazów, które nie wpływa na znaczenie, mogło z powodzeniem powstać niezależnie).</w:t>
      </w:r>
    </w:p>
    <w:p>
      <w:pPr>
        <w:pStyle w:val="FirstParagraph"/>
      </w:pPr>
      <w:r>
        <w:rPr>
          <w:bCs/>
          <w:b/>
        </w:rPr>
        <w:t xml:space="preserve">20.</w:t>
      </w:r>
      <w:r>
        <w:t xml:space="preserve"> </w:t>
      </w:r>
      <w:r>
        <w:t xml:space="preserve">3,36 οψεται || οψετε (formy są praktycznie synonimiczne, znaczenie nie zostaje naruszone).</w:t>
      </w:r>
    </w:p>
    <w:p>
      <w:pPr>
        <w:numPr>
          <w:ilvl w:val="0"/>
          <w:numId w:val="1082"/>
        </w:numPr>
        <w:pStyle w:val="Compact"/>
      </w:pPr>
      <w:r>
        <w:t xml:space="preserve">4,14 διψηση || διψησει (10%) P</w:t>
      </w:r>
      <w:r>
        <w:rPr>
          <w:vertAlign w:val="superscript"/>
        </w:rPr>
        <w:t xml:space="preserve">75</w:t>
      </w:r>
      <w:r>
        <w:t xml:space="preserve"> </w:t>
      </w:r>
      <w:r>
        <w:t xml:space="preserve">ℵ A, B, Θ, f</w:t>
      </w:r>
      <w:r>
        <w:rPr>
          <w:vertAlign w:val="superscript"/>
        </w:rPr>
        <w:t xml:space="preserve">13</w:t>
      </w:r>
      <w:r>
        <w:t xml:space="preserve">, 28, 1071 (oczekiwany jest tryb łączący, lecz tryb oznajmujący jest możliwy, prawdopodobnie nie jest to itacyzm, znaczenie nie zostaje naruszone).</w:t>
      </w:r>
    </w:p>
    <w:p>
      <w:pPr>
        <w:pStyle w:val="FirstParagraph"/>
      </w:pPr>
      <w:r>
        <w:rPr>
          <w:bCs/>
          <w:b/>
        </w:rPr>
        <w:t xml:space="preserve">22.</w:t>
      </w:r>
      <w:r>
        <w:t xml:space="preserve"> </w:t>
      </w:r>
      <w:r>
        <w:t xml:space="preserve">4,17 οτι || --- (cytat bezpośredni lub pośredni, znaczenie nie zostaje naruszone).</w:t>
      </w:r>
    </w:p>
    <w:p>
      <w:pPr>
        <w:pStyle w:val="BodyText"/>
      </w:pPr>
      <w:r>
        <w:rPr>
          <w:bCs/>
          <w:b/>
        </w:rPr>
        <w:t xml:space="preserve">23.</w:t>
      </w:r>
      <w:r>
        <w:t xml:space="preserve"> </w:t>
      </w:r>
      <w:r>
        <w:t xml:space="preserve">4,20 εστιν ο τοπος οπου δει προσκυνειν || ~ 56 εκει 123 (dwa sposoby powiedzenia tego samego).</w:t>
      </w:r>
    </w:p>
    <w:p>
      <w:pPr>
        <w:numPr>
          <w:ilvl w:val="0"/>
          <w:numId w:val="1083"/>
        </w:numPr>
      </w:pPr>
      <w:r>
        <w:t xml:space="preserve">4,36 χαιρη || χαιρει (30%) Θ, Λ, f</w:t>
      </w:r>
      <w:r>
        <w:rPr>
          <w:vertAlign w:val="superscript"/>
        </w:rPr>
        <w:t xml:space="preserve">13</w:t>
      </w:r>
      <w:r>
        <w:t xml:space="preserve">, 28, 579, 1071, 1424 (oczekiwany jest tryb łączący, lecz tryb oznajmujący jest możliwy, prawdopodobnie nie jest to itacyzm, znaczenie nie zostaje naruszone).</w:t>
      </w:r>
    </w:p>
    <w:p>
      <w:pPr>
        <w:numPr>
          <w:ilvl w:val="0"/>
          <w:numId w:val="1083"/>
        </w:numPr>
      </w:pPr>
      <w:r>
        <w:t xml:space="preserve">4,43 τας || --- () 1424 (mogło to powstać niezależnie, znaczenie nie zostaje naruszone).</w:t>
      </w:r>
    </w:p>
    <w:p>
      <w:pPr>
        <w:numPr>
          <w:ilvl w:val="0"/>
          <w:numId w:val="1083"/>
        </w:numPr>
      </w:pPr>
      <w:r>
        <w:t xml:space="preserve">4,48 ουν || --- () P^66*^ (przypuszczalnie powstało to niezależnie, znaczenie nie zostaje naruszone).</w:t>
      </w:r>
    </w:p>
    <w:p>
      <w:pPr>
        <w:numPr>
          <w:ilvl w:val="0"/>
          <w:numId w:val="1083"/>
        </w:numPr>
      </w:pPr>
      <w:r>
        <w:t xml:space="preserve">5,2 εβραιστι || εβραιστη 1339, 2466 (2%) f</w:t>
      </w:r>
      <w:r>
        <w:rPr>
          <w:vertAlign w:val="superscript"/>
        </w:rPr>
        <w:t xml:space="preserve">13</w:t>
      </w:r>
      <w:r>
        <w:t xml:space="preserve">, 28, 579, 1071, 1424 (jest to po prostu alternatywna pisownia, a zatem nie właściwy wariant).</w:t>
      </w:r>
    </w:p>
    <w:p>
      <w:pPr>
        <w:numPr>
          <w:ilvl w:val="0"/>
          <w:numId w:val="1083"/>
        </w:numPr>
      </w:pPr>
      <w:r>
        <w:t xml:space="preserve">5,31 εαν || 1 γαρ 2352 () 28 (dodatek jest „naturalny” i mógł powstać niezależnie, znaczenie nie zostaje naruszone).</w:t>
      </w:r>
    </w:p>
    <w:p>
      <w:pPr>
        <w:pStyle w:val="FirstParagraph"/>
      </w:pPr>
      <w:r>
        <w:rPr>
          <w:bCs/>
          <w:b/>
        </w:rPr>
        <w:t xml:space="preserve">29.</w:t>
      </w:r>
      <w:r>
        <w:t xml:space="preserve"> </w:t>
      </w:r>
      <w:r>
        <w:t xml:space="preserve">5,34 την || --- (odczyt singularny, który nie wpływa na znaczenie).</w:t>
      </w:r>
    </w:p>
    <w:p>
      <w:pPr>
        <w:pStyle w:val="BodyText"/>
      </w:pPr>
      <w:r>
        <w:rPr>
          <w:bCs/>
          <w:b/>
        </w:rPr>
        <w:t xml:space="preserve">30.</w:t>
      </w:r>
      <w:r>
        <w:t xml:space="preserve"> </w:t>
      </w:r>
      <w:r>
        <w:t xml:space="preserve">5,36 με απεσταλκεν || ~ 21 (zwykłe odwrócenie szyku wyrazów, które nie wpływa na znaczenie).</w:t>
      </w:r>
    </w:p>
    <w:p>
      <w:pPr>
        <w:pStyle w:val="BodyText"/>
      </w:pPr>
      <w:r>
        <w:rPr>
          <w:bCs/>
          <w:b/>
        </w:rPr>
        <w:t xml:space="preserve">31.</w:t>
      </w:r>
      <w:r>
        <w:t xml:space="preserve"> </w:t>
      </w:r>
      <w:r>
        <w:t xml:space="preserve">5,39</w:t>
      </w:r>
      <w:r>
        <w:rPr>
          <w:vertAlign w:val="superscript"/>
        </w:rPr>
        <w:t xml:space="preserve">a</w:t>
      </w:r>
      <w:r>
        <w:t xml:space="preserve"> </w:t>
      </w:r>
      <w:r>
        <w:t xml:space="preserve">ερευνατε || ερευναται (poprawiony odczyt singularny).</w:t>
      </w:r>
    </w:p>
    <w:p>
      <w:pPr>
        <w:numPr>
          <w:ilvl w:val="0"/>
          <w:numId w:val="1084"/>
        </w:numPr>
        <w:pStyle w:val="Compact"/>
      </w:pPr>
      <w:r>
        <w:t xml:space="preserve">5,39</w:t>
      </w:r>
      <w:r>
        <w:rPr>
          <w:vertAlign w:val="superscript"/>
        </w:rPr>
        <w:t xml:space="preserve">b</w:t>
      </w:r>
      <w:r>
        <w:t xml:space="preserve"> </w:t>
      </w:r>
      <w:r>
        <w:t xml:space="preserve">αυταις || αυτοις () 1071 (oczywisty błąd pisowni, który czytelnik automatycznie by poprawił, przy niedbałości kopisty mógł on powtórzyć błąd ze swojego egzemplarza).</w:t>
      </w:r>
    </w:p>
    <w:p>
      <w:pPr>
        <w:pStyle w:val="FirstParagraph"/>
      </w:pPr>
      <w:r>
        <w:rPr>
          <w:bCs/>
          <w:b/>
        </w:rPr>
        <w:t xml:space="preserve">33.</w:t>
      </w:r>
      <w:r>
        <w:t xml:space="preserve"> </w:t>
      </w:r>
      <w:r>
        <w:t xml:space="preserve">6,2 αυτου τα σημεια || ~ 231 (zwykłe odwrócenie szyku wyrazów, które nie wpływa na znaczenie).</w:t>
      </w:r>
    </w:p>
    <w:p>
      <w:pPr>
        <w:numPr>
          <w:ilvl w:val="0"/>
          <w:numId w:val="1085"/>
        </w:numPr>
      </w:pPr>
      <w:r>
        <w:t xml:space="preserve">6,19</w:t>
      </w:r>
      <w:r>
        <w:rPr>
          <w:vertAlign w:val="superscript"/>
        </w:rPr>
        <w:t xml:space="preserve">a</w:t>
      </w:r>
      <w:r>
        <w:t xml:space="preserve"> </w:t>
      </w:r>
      <w:r>
        <w:t xml:space="preserve">ως || ωσει (1%) A, D, f</w:t>
      </w:r>
      <w:r>
        <w:rPr>
          <w:vertAlign w:val="superscript"/>
        </w:rPr>
        <w:t xml:space="preserve">1</w:t>
      </w:r>
      <w:r>
        <w:t xml:space="preserve">, 565 (zmiana jest „łatwa” i mogła powstać niezależnie, znaczenie nie zostaje naruszone).</w:t>
      </w:r>
    </w:p>
    <w:p>
      <w:pPr>
        <w:numPr>
          <w:ilvl w:val="0"/>
          <w:numId w:val="1085"/>
        </w:numPr>
      </w:pPr>
      <w:r>
        <w:t xml:space="preserve">6,19</w:t>
      </w:r>
      <w:r>
        <w:rPr>
          <w:vertAlign w:val="superscript"/>
        </w:rPr>
        <w:t xml:space="preserve">b</w:t>
      </w:r>
      <w:r>
        <w:t xml:space="preserve"> </w:t>
      </w:r>
      <w:r>
        <w:t xml:space="preserve">γινομενον || γενομενον 128, 685 () G, 1424 (zmiana czasu, która nie wpływa na znaczenie, w rękopisach kursywnych</w:t>
      </w:r>
      <w:r>
        <w:t xml:space="preserve"> </w:t>
      </w:r>
      <w:r>
        <w:rPr>
          <w:iCs/>
          <w:i/>
        </w:rPr>
        <w:t xml:space="preserve">epsilon</w:t>
      </w:r>
      <w:r>
        <w:t xml:space="preserve"> </w:t>
      </w:r>
      <w:r>
        <w:t xml:space="preserve">i</w:t>
      </w:r>
      <w:r>
        <w:t xml:space="preserve"> </w:t>
      </w:r>
      <w:r>
        <w:rPr>
          <w:iCs/>
          <w:i/>
        </w:rPr>
        <w:t xml:space="preserve">jota</w:t>
      </w:r>
      <w:r>
        <w:t xml:space="preserve"> </w:t>
      </w:r>
      <w:r>
        <w:t xml:space="preserve">często łatwo ze sobą pomylić).</w:t>
      </w:r>
    </w:p>
    <w:p>
      <w:pPr>
        <w:numPr>
          <w:ilvl w:val="0"/>
          <w:numId w:val="1085"/>
        </w:numPr>
      </w:pPr>
      <w:r>
        <w:t xml:space="preserve">6,21 λαβειν αυτον || ~ 21 () D (zwykłe odwrócenie szyku wyrazów, przypuszczalnie niezależne, które nie wpływa na znaczenie).</w:t>
      </w:r>
    </w:p>
    <w:p>
      <w:pPr>
        <w:numPr>
          <w:ilvl w:val="0"/>
          <w:numId w:val="1085"/>
        </w:numPr>
      </w:pPr>
      <w:r>
        <w:t xml:space="preserve">6,22 ενεβησαν || ανεβησαν (12,9%) (chociaż czasowniki są odmienne, w kontekście działają jako synonimy, znaczenie nie zostaje naruszone).</w:t>
      </w:r>
    </w:p>
    <w:p>
      <w:pPr>
        <w:numPr>
          <w:ilvl w:val="0"/>
          <w:numId w:val="1085"/>
        </w:numPr>
      </w:pPr>
      <w:r>
        <w:t xml:space="preserve">6,27 την βρωσιν</w:t>
      </w:r>
      <w:r>
        <w:rPr>
          <w:vertAlign w:val="superscript"/>
        </w:rPr>
        <w:t xml:space="preserve">2</w:t>
      </w:r>
      <w:r>
        <w:t xml:space="preserve"> </w:t>
      </w:r>
      <w:r>
        <w:t xml:space="preserve">|| --- (2%) ℵ, 28, 1071 (mogło to powstać niezależnie, ponieważ wyrażenie jest powtórzeniem, jego pominięcie nie wpływa na znaczenie, jest to możliwy przypadek</w:t>
      </w:r>
      <w:r>
        <w:t xml:space="preserve"> </w:t>
      </w:r>
      <w:r>
        <w:rPr>
          <w:iCs/>
          <w:i/>
        </w:rPr>
        <w:t xml:space="preserve">homoioarcton</w:t>
      </w:r>
      <w:r>
        <w:t xml:space="preserve">).</w:t>
      </w:r>
    </w:p>
    <w:p>
      <w:pPr>
        <w:numPr>
          <w:ilvl w:val="0"/>
          <w:numId w:val="1085"/>
        </w:numPr>
      </w:pPr>
      <w:r>
        <w:t xml:space="preserve">6,30 συ || --- 201 (10%) W, f</w:t>
      </w:r>
      <w:r>
        <w:rPr>
          <w:vertAlign w:val="superscript"/>
        </w:rPr>
        <w:t xml:space="preserve">13</w:t>
      </w:r>
      <w:r>
        <w:t xml:space="preserve">, 579 (mogło to powstać niezależnie, znaczenie nie zostaje naruszone).</w:t>
      </w:r>
    </w:p>
    <w:p>
      <w:pPr>
        <w:pStyle w:val="FirstParagraph"/>
      </w:pPr>
      <w:r>
        <w:rPr>
          <w:bCs/>
          <w:b/>
        </w:rPr>
        <w:t xml:space="preserve">40.</w:t>
      </w:r>
      <w:r>
        <w:t xml:space="preserve"> </w:t>
      </w:r>
      <w:r>
        <w:t xml:space="preserve">6,32</w:t>
      </w:r>
      <w:r>
        <w:rPr>
          <w:vertAlign w:val="superscript"/>
        </w:rPr>
        <w:t xml:space="preserve">a</w:t>
      </w:r>
      <w:r>
        <w:t xml:space="preserve"> </w:t>
      </w:r>
      <w:r>
        <w:t xml:space="preserve">υμιν</w:t>
      </w:r>
      <w:r>
        <w:rPr>
          <w:vertAlign w:val="superscript"/>
        </w:rPr>
        <w:t xml:space="preserve">2</w:t>
      </w:r>
      <w:r>
        <w:t xml:space="preserve"> </w:t>
      </w:r>
      <w:r>
        <w:t xml:space="preserve">|| ημιν (itacyzm dający nonsens, nie właściwy wariant).</w:t>
      </w:r>
    </w:p>
    <w:p>
      <w:pPr>
        <w:numPr>
          <w:ilvl w:val="0"/>
          <w:numId w:val="1086"/>
        </w:numPr>
      </w:pPr>
      <w:r>
        <w:t xml:space="preserve">6,32</w:t>
      </w:r>
      <w:r>
        <w:rPr>
          <w:vertAlign w:val="superscript"/>
        </w:rPr>
        <w:t xml:space="preserve">b</w:t>
      </w:r>
      <w:r>
        <w:t xml:space="preserve"> </w:t>
      </w:r>
      <w:r>
        <w:t xml:space="preserve">αρτον</w:t>
      </w:r>
      <w:r>
        <w:rPr>
          <w:vertAlign w:val="superscript"/>
        </w:rPr>
        <w:t xml:space="preserve">2</w:t>
      </w:r>
      <w:r>
        <w:t xml:space="preserve"> </w:t>
      </w:r>
      <w:r>
        <w:t xml:space="preserve">|| 1 τον () P</w:t>
      </w:r>
      <w:r>
        <w:rPr>
          <w:vertAlign w:val="superscript"/>
        </w:rPr>
        <w:t xml:space="preserve">75v</w:t>
      </w:r>
      <w:r>
        <w:t xml:space="preserve"> </w:t>
      </w:r>
      <w:r>
        <w:t xml:space="preserve">(mogło to powstać niezależnie, znaczenie nie zostaje naruszone).</w:t>
      </w:r>
    </w:p>
    <w:p>
      <w:pPr>
        <w:numPr>
          <w:ilvl w:val="0"/>
          <w:numId w:val="1086"/>
        </w:numPr>
      </w:pPr>
      <w:r>
        <w:t xml:space="preserve">6,37 εκβαλω || εκβαλλω 18, 1617, 2466 (1%) G (zmiana czasu, która nie wpływa na znaczenie, ponieważ jednak formy wymawiano tak samo, zmiany można było dokonać niezależnie, bez zastanowienia).</w:t>
      </w:r>
    </w:p>
    <w:p>
      <w:pPr>
        <w:numPr>
          <w:ilvl w:val="0"/>
          <w:numId w:val="1086"/>
        </w:numPr>
      </w:pPr>
      <w:r>
        <w:t xml:space="preserve">6,40 εχη || εχει (8%) P</w:t>
      </w:r>
      <w:r>
        <w:rPr>
          <w:vertAlign w:val="superscript"/>
        </w:rPr>
        <w:t xml:space="preserve">66c</w:t>
      </w:r>
      <w:r>
        <w:t xml:space="preserve">, Λ</w:t>
      </w:r>
      <w:r>
        <w:rPr>
          <w:vertAlign w:val="superscript"/>
        </w:rPr>
        <w:t xml:space="preserve">c</w:t>
      </w:r>
      <w:r>
        <w:t xml:space="preserve">, f</w:t>
      </w:r>
      <w:r>
        <w:rPr>
          <w:vertAlign w:val="superscript"/>
        </w:rPr>
        <w:t xml:space="preserve">13</w:t>
      </w:r>
      <w:r>
        <w:t xml:space="preserve">, 28, 579, 1071, 1424 (oczekiwany jest tryb łączący, lecz tryb oznajmujący jest możliwy, prawdopodobnie nie jest to itacyzm, znaczenie nie zostaje naruszone).</w:t>
      </w:r>
    </w:p>
    <w:p>
      <w:pPr>
        <w:pStyle w:val="FirstParagraph"/>
      </w:pPr>
      <w:r>
        <w:rPr>
          <w:bCs/>
          <w:b/>
        </w:rPr>
        <w:t xml:space="preserve">44.</w:t>
      </w:r>
      <w:r>
        <w:t xml:space="preserve"> </w:t>
      </w:r>
      <w:r>
        <w:t xml:space="preserve">6,45 ερχεται || ερχετε (poprawiony odczyt singularny).</w:t>
      </w:r>
    </w:p>
    <w:p>
      <w:pPr>
        <w:pStyle w:val="BodyText"/>
      </w:pPr>
      <w:r>
        <w:rPr>
          <w:bCs/>
          <w:b/>
        </w:rPr>
        <w:t xml:space="preserve">45.</w:t>
      </w:r>
      <w:r>
        <w:t xml:space="preserve"> </w:t>
      </w:r>
      <w:r>
        <w:t xml:space="preserve">6,50 καταβαινων || καταβαινον (itacyzm, który niepoprawnie zmienia rodzaj).</w:t>
      </w:r>
    </w:p>
    <w:p>
      <w:pPr>
        <w:numPr>
          <w:ilvl w:val="0"/>
          <w:numId w:val="1087"/>
        </w:numPr>
        <w:pStyle w:val="Compact"/>
      </w:pPr>
      <w:r>
        <w:t xml:space="preserve">6,54 αυτον || 1 εν 1339, 1496, 1617, 1637 (25%) C, Λ, f</w:t>
      </w:r>
      <w:r>
        <w:rPr>
          <w:vertAlign w:val="superscript"/>
        </w:rPr>
        <w:t xml:space="preserve">13</w:t>
      </w:r>
      <w:r>
        <w:t xml:space="preserve">, 28, 1071 (dodatek jest „naturalny” i mógł powstać niezależnie, znaczenie nie zostaje naruszone).</w:t>
      </w:r>
    </w:p>
    <w:p>
      <w:pPr>
        <w:pStyle w:val="FirstParagraph"/>
      </w:pPr>
      <w:r>
        <w:rPr>
          <w:bCs/>
          <w:b/>
        </w:rPr>
        <w:t xml:space="preserve">47.</w:t>
      </w:r>
      <w:r>
        <w:t xml:space="preserve"> </w:t>
      </w:r>
      <w:r>
        <w:t xml:space="preserve">6,63 ωφελει || ωφελη (itacyzm).</w:t>
      </w:r>
    </w:p>
    <w:p>
      <w:pPr>
        <w:numPr>
          <w:ilvl w:val="0"/>
          <w:numId w:val="1088"/>
        </w:numPr>
      </w:pPr>
      <w:r>
        <w:t xml:space="preserve">6,65 αυτω || --- () ℵ* (mogło to powstać niezależnie, znaczenie nie zostaje naruszone).</w:t>
      </w:r>
    </w:p>
    <w:p>
      <w:pPr>
        <w:numPr>
          <w:ilvl w:val="0"/>
          <w:numId w:val="1088"/>
        </w:numPr>
      </w:pPr>
      <w:r>
        <w:t xml:space="preserve">6,67 τοις || τους () H, Y (błąd pisowni, który przypuszczalnie powstał niezależnie).</w:t>
      </w:r>
    </w:p>
    <w:p>
      <w:pPr>
        <w:pStyle w:val="FirstParagraph"/>
      </w:pPr>
      <w:r>
        <w:rPr>
          <w:bCs/>
          <w:b/>
        </w:rPr>
        <w:t xml:space="preserve">50.</w:t>
      </w:r>
      <w:r>
        <w:t xml:space="preserve"> </w:t>
      </w:r>
      <w:r>
        <w:t xml:space="preserve">6,68 απελευσομεθα || πορευσομεθα (odczyt singularny, być może egzemplarz był rozmazany, czasowniki są w tym kontekście synonimiczne, znaczenie nie zostaje naruszone).</w:t>
      </w:r>
    </w:p>
    <w:p>
      <w:pPr>
        <w:pStyle w:val="BodyText"/>
      </w:pPr>
      <w:r>
        <w:rPr>
          <w:bCs/>
          <w:b/>
        </w:rPr>
        <w:t xml:space="preserve">51.</w:t>
      </w:r>
      <w:r>
        <w:t xml:space="preserve"> </w:t>
      </w:r>
      <w:r>
        <w:t xml:space="preserve">7,1 ο ιησους μετα ταυτα || ~ 3412 (zwykłe odwrócenie szyku wyrazów, które nie wpływa na znaczenie).</w:t>
      </w:r>
    </w:p>
    <w:p>
      <w:pPr>
        <w:numPr>
          <w:ilvl w:val="0"/>
          <w:numId w:val="1089"/>
        </w:numPr>
      </w:pPr>
      <w:r>
        <w:t xml:space="preserve">7,28 αληθινος || αληθης () P</w:t>
      </w:r>
      <w:r>
        <w:rPr>
          <w:vertAlign w:val="superscript"/>
        </w:rPr>
        <w:t xml:space="preserve">66</w:t>
      </w:r>
      <w:r>
        <w:t xml:space="preserve"> </w:t>
      </w:r>
      <w:r>
        <w:t xml:space="preserve">ℵ (mogło to powstać niezależnie, znaczenie nie zostaje naruszone).</w:t>
      </w:r>
    </w:p>
    <w:p>
      <w:pPr>
        <w:numPr>
          <w:ilvl w:val="0"/>
          <w:numId w:val="1089"/>
        </w:numPr>
      </w:pPr>
      <w:r>
        <w:t xml:space="preserve">7,30 την χειρα || τας χειρας (1%) W, f</w:t>
      </w:r>
      <w:r>
        <w:rPr>
          <w:vertAlign w:val="superscript"/>
        </w:rPr>
        <w:t xml:space="preserve">1</w:t>
      </w:r>
      <w:r>
        <w:t xml:space="preserve">, 1071 (liczba pojedyncza lub mnoga w tym kontekście nie wpływa na znaczenie).</w:t>
      </w:r>
    </w:p>
    <w:p>
      <w:pPr>
        <w:pStyle w:val="FirstParagraph"/>
      </w:pPr>
      <w:r>
        <w:rPr>
          <w:bCs/>
          <w:b/>
        </w:rPr>
        <w:t xml:space="preserve">54.</w:t>
      </w:r>
      <w:r>
        <w:t xml:space="preserve"> </w:t>
      </w:r>
      <w:r>
        <w:t xml:space="preserve">7,31 ων || ωνπερ (odczyt singularny, formy są w tym kontekście synonimiczne, znaczenie nie zostaje naruszone).</w:t>
      </w:r>
    </w:p>
    <w:p>
      <w:pPr>
        <w:numPr>
          <w:ilvl w:val="0"/>
          <w:numId w:val="1090"/>
        </w:numPr>
      </w:pPr>
      <w:r>
        <w:t xml:space="preserve">7,39 ο || ου 201, 480, 547, 1384 (70%) P</w:t>
      </w:r>
      <w:r>
        <w:rPr>
          <w:vertAlign w:val="superscript"/>
        </w:rPr>
        <w:t xml:space="preserve">66</w:t>
      </w:r>
      <w:r>
        <w:t xml:space="preserve"> </w:t>
      </w:r>
      <w:r>
        <w:t xml:space="preserve">ℵ, D, W, Θ, f</w:t>
      </w:r>
      <w:r>
        <w:rPr>
          <w:vertAlign w:val="superscript"/>
        </w:rPr>
        <w:t xml:space="preserve">1,13</w:t>
      </w:r>
      <w:r>
        <w:t xml:space="preserve">, 28, 579, 1424 (jest to jedno z miejsc, w których 1700 odchodzi od rodziny, dopełniacz dostosowuje się do przypadka desygnatu, lecz biernik poprawnie podaje dopełnienie bliższe czasownika, znaczenie nie zostaje naruszone).</w:t>
      </w:r>
    </w:p>
    <w:p>
      <w:pPr>
        <w:numPr>
          <w:ilvl w:val="0"/>
          <w:numId w:val="1090"/>
        </w:numPr>
      </w:pPr>
      <w:r>
        <w:t xml:space="preserve">7,46 ουτως || --- 897 () 28 (mogło to powstać niezależnie, znaczenie nie zostaje naruszone).</w:t>
      </w:r>
    </w:p>
    <w:p>
      <w:pPr>
        <w:numPr>
          <w:ilvl w:val="0"/>
          <w:numId w:val="1090"/>
        </w:numPr>
      </w:pPr>
      <w:r>
        <w:t xml:space="preserve">7,50 ων || --- () L (mogło to powstać niezależnie, znaczenie nie zostaje naruszone).</w:t>
      </w:r>
    </w:p>
    <w:p>
      <w:pPr>
        <w:numPr>
          <w:ilvl w:val="0"/>
          <w:numId w:val="1090"/>
        </w:numPr>
      </w:pPr>
      <w:r>
        <w:t xml:space="preserve">8,4 αυτοφωρω || αυτοφορω 1145, 1334, 1559, 2352, 2466, I.2110 (60%) 124, 1346 (jest to jedno z miejsc, w których 1700 odchodzi od rodziny, są to odmienne pisownie tego samego słowa, znaczenie nie zostaje naruszone).</w:t>
      </w:r>
    </w:p>
    <w:p>
      <w:pPr>
        <w:numPr>
          <w:ilvl w:val="0"/>
          <w:numId w:val="1090"/>
        </w:numPr>
      </w:pPr>
      <w:r>
        <w:t xml:space="preserve">8,33 οτι || --- () W, f</w:t>
      </w:r>
      <w:r>
        <w:rPr>
          <w:vertAlign w:val="superscript"/>
        </w:rPr>
        <w:t xml:space="preserve">1</w:t>
      </w:r>
      <w:r>
        <w:t xml:space="preserve">, 565 (mogło to powstać niezależnie, znaczenie nie zostaje naruszone).</w:t>
      </w:r>
    </w:p>
    <w:p>
      <w:pPr>
        <w:pStyle w:val="FirstParagraph"/>
      </w:pPr>
      <w:r>
        <w:rPr>
          <w:bCs/>
          <w:b/>
        </w:rPr>
        <w:t xml:space="preserve">60.</w:t>
      </w:r>
      <w:r>
        <w:t xml:space="preserve"> </w:t>
      </w:r>
      <w:r>
        <w:t xml:space="preserve">8,36 ο υιος υμας || ~ 312 (zwykłe odwrócenie szyku wyrazów, które nie wpływa na znaczenie).</w:t>
      </w:r>
    </w:p>
    <w:p>
      <w:pPr>
        <w:numPr>
          <w:ilvl w:val="0"/>
          <w:numId w:val="1091"/>
        </w:numPr>
        <w:pStyle w:val="Compact"/>
      </w:pPr>
      <w:r>
        <w:t xml:space="preserve">8,48 σαμαρειτης || σαμαρειτις 1559, 1617 (1%) 28, 1424 (są to odmienne pisownie tego samego słowa, znaczenie nie zostaje naruszone).</w:t>
      </w:r>
    </w:p>
    <w:p>
      <w:pPr>
        <w:pStyle w:val="FirstParagraph"/>
      </w:pPr>
      <w:r>
        <w:rPr>
          <w:bCs/>
          <w:b/>
        </w:rPr>
        <w:t xml:space="preserve">62.</w:t>
      </w:r>
      <w:r>
        <w:t xml:space="preserve"> </w:t>
      </w:r>
      <w:r>
        <w:t xml:space="preserve">8,52 εγνωκαμεν || εγνωμεν (odczyt singularny, prawdopodobnie niedbały błąd, który przypadkiem zmienia czas, znaczenie nie zostaje naruszone).</w:t>
      </w:r>
    </w:p>
    <w:p>
      <w:pPr>
        <w:pStyle w:val="BodyText"/>
      </w:pPr>
      <w:r>
        <w:rPr>
          <w:bCs/>
          <w:b/>
        </w:rPr>
        <w:t xml:space="preserve">63.</w:t>
      </w:r>
      <w:r>
        <w:t xml:space="preserve"> </w:t>
      </w:r>
      <w:r>
        <w:t xml:space="preserve">8,57 ουν || --- (odczyt singularny, kopista wielokrotnie pomija ten spójnik i można się zastanawiać, dlaczego, znaczenie nie zostaje naruszone).</w:t>
      </w:r>
    </w:p>
    <w:p>
      <w:pPr>
        <w:numPr>
          <w:ilvl w:val="0"/>
          <w:numId w:val="1092"/>
        </w:numPr>
      </w:pPr>
      <w:r>
        <w:t xml:space="preserve">9,20 αυτοις || --- (5%) P</w:t>
      </w:r>
      <w:r>
        <w:rPr>
          <w:vertAlign w:val="superscript"/>
        </w:rPr>
        <w:t xml:space="preserve">66,75</w:t>
      </w:r>
      <w:r>
        <w:t xml:space="preserve"> </w:t>
      </w:r>
      <w:r>
        <w:t xml:space="preserve">ℵ, B, W, f</w:t>
      </w:r>
      <w:r>
        <w:rPr>
          <w:vertAlign w:val="superscript"/>
        </w:rPr>
        <w:t xml:space="preserve">13</w:t>
      </w:r>
      <w:r>
        <w:t xml:space="preserve"> </w:t>
      </w:r>
      <w:r>
        <w:t xml:space="preserve">(mogło to powstać niezależnie, znaczenie nie zostaje naruszone).</w:t>
      </w:r>
    </w:p>
    <w:p>
      <w:pPr>
        <w:numPr>
          <w:ilvl w:val="0"/>
          <w:numId w:val="1092"/>
        </w:numPr>
      </w:pPr>
      <w:r>
        <w:t xml:space="preserve">9,21</w:t>
      </w:r>
      <w:r>
        <w:rPr>
          <w:vertAlign w:val="superscript"/>
        </w:rPr>
        <w:t xml:space="preserve">a</w:t>
      </w:r>
      <w:r>
        <w:t xml:space="preserve"> </w:t>
      </w:r>
      <w:r>
        <w:t xml:space="preserve">ηνοιξεν || ανεωξεν () Θ, 579 (alternatywne pisownie tej samej formy, znaczenie nie zostaje naruszone).</w:t>
      </w:r>
    </w:p>
    <w:p>
      <w:pPr>
        <w:pStyle w:val="FirstParagraph"/>
      </w:pPr>
      <w:r>
        <w:rPr>
          <w:bCs/>
          <w:b/>
        </w:rPr>
        <w:t xml:space="preserve">66.</w:t>
      </w:r>
      <w:r>
        <w:t xml:space="preserve"> </w:t>
      </w:r>
      <w:r>
        <w:t xml:space="preserve">9,21</w:t>
      </w:r>
      <w:r>
        <w:rPr>
          <w:vertAlign w:val="superscript"/>
        </w:rPr>
        <w:t xml:space="preserve">b</w:t>
      </w:r>
      <w:r>
        <w:t xml:space="preserve"> </w:t>
      </w:r>
      <w:r>
        <w:t xml:space="preserve">ημεις || --- (odczyt singularny, znaczenie nie zostaje naruszone).</w:t>
      </w:r>
    </w:p>
    <w:p>
      <w:pPr>
        <w:numPr>
          <w:ilvl w:val="0"/>
          <w:numId w:val="1093"/>
        </w:numPr>
        <w:pStyle w:val="Compact"/>
      </w:pPr>
      <w:r>
        <w:t xml:space="preserve">9,24 ουν || --- () 579 (mogło to powstać niezależnie, znaczenie nie zostaje naruszone).</w:t>
      </w:r>
    </w:p>
    <w:p>
      <w:pPr>
        <w:pStyle w:val="FirstParagraph"/>
      </w:pPr>
      <w:r>
        <w:rPr>
          <w:bCs/>
          <w:b/>
        </w:rPr>
        <w:t xml:space="preserve">68.</w:t>
      </w:r>
      <w:r>
        <w:t xml:space="preserve"> </w:t>
      </w:r>
      <w:r>
        <w:t xml:space="preserve">9,35 ο ιησους || --- (odczyt singularny, możliwy przypadek</w:t>
      </w:r>
      <w:r>
        <w:t xml:space="preserve"> </w:t>
      </w:r>
      <w:r>
        <w:rPr>
          <w:iCs/>
          <w:i/>
        </w:rPr>
        <w:t xml:space="preserve">homoioarcton</w:t>
      </w:r>
      <w:r>
        <w:t xml:space="preserve">, znaczenie nie zostaje naruszone).</w:t>
      </w:r>
    </w:p>
    <w:p>
      <w:pPr>
        <w:pStyle w:val="BodyText"/>
      </w:pPr>
      <w:r>
        <w:rPr>
          <w:bCs/>
          <w:b/>
        </w:rPr>
        <w:t xml:space="preserve">69.</w:t>
      </w:r>
      <w:r>
        <w:t xml:space="preserve"> </w:t>
      </w:r>
      <w:r>
        <w:t xml:space="preserve">10,1 αναβαινων || αναβαινον (itacyzm, który niepoprawnie zmienia rodzaj).</w:t>
      </w:r>
    </w:p>
    <w:p>
      <w:pPr>
        <w:pStyle w:val="BodyText"/>
      </w:pPr>
      <w:r>
        <w:rPr>
          <w:bCs/>
          <w:b/>
        </w:rPr>
        <w:t xml:space="preserve">70.</w:t>
      </w:r>
      <w:r>
        <w:t xml:space="preserve"> </w:t>
      </w:r>
      <w:r>
        <w:t xml:space="preserve">10,5 ακολουθησωσιν || ακουσωσιν (odczyt singularny, być może egzemplarz był rozmazany, czasowniki są w tym kontekście praktycznie synonimiczne, znaczenie nie zostaje naruszone).</w:t>
      </w:r>
    </w:p>
    <w:p>
      <w:pPr>
        <w:numPr>
          <w:ilvl w:val="0"/>
          <w:numId w:val="1094"/>
        </w:numPr>
      </w:pPr>
      <w:r>
        <w:t xml:space="preserve">10,13 μελει || μελλει 83 (30%) 1424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numPr>
          <w:ilvl w:val="0"/>
          <w:numId w:val="1094"/>
        </w:numPr>
      </w:pPr>
      <w:r>
        <w:t xml:space="preserve">10,16 ακουσουσιν || ακουσωσιν (38,1%) P</w:t>
      </w:r>
      <w:r>
        <w:rPr>
          <w:vertAlign w:val="superscript"/>
        </w:rPr>
        <w:t xml:space="preserve">66</w:t>
      </w:r>
      <w:r>
        <w:t xml:space="preserve"> </w:t>
      </w:r>
      <w:r>
        <w:t xml:space="preserve">ℵ, A, W, Θ, Λ, f</w:t>
      </w:r>
      <w:r>
        <w:rPr>
          <w:vertAlign w:val="superscript"/>
        </w:rPr>
        <w:t xml:space="preserve">13</w:t>
      </w:r>
      <w:r>
        <w:t xml:space="preserve">, 28, 579, 1071, 1424 (tryb oznajmujący czasu przyszłego albo aoryst trybu łączącego, w tym kontekście pełnią tę samą funkcję).</w:t>
      </w:r>
    </w:p>
    <w:p>
      <w:pPr>
        <w:numPr>
          <w:ilvl w:val="0"/>
          <w:numId w:val="1094"/>
        </w:numPr>
      </w:pPr>
      <w:r>
        <w:t xml:space="preserve">10,18 αλλ εγω τιθημι αυτην απ εμαυτου || --- () D (są to przypuszczalnie niezależne przypadki</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numPr>
          <w:ilvl w:val="0"/>
          <w:numId w:val="1094"/>
        </w:numPr>
      </w:pPr>
      <w:r>
        <w:t xml:space="preserve">10,20 μαινεται || μενεται () P</w:t>
      </w:r>
      <w:r>
        <w:rPr>
          <w:vertAlign w:val="superscript"/>
        </w:rPr>
        <w:t xml:space="preserve">66</w:t>
      </w:r>
      <w:r>
        <w:t xml:space="preserve"> </w:t>
      </w:r>
      <w:r>
        <w:t xml:space="preserve">A, Θ, f</w:t>
      </w:r>
      <w:r>
        <w:rPr>
          <w:vertAlign w:val="superscript"/>
        </w:rPr>
        <w:t xml:space="preserve">13</w:t>
      </w:r>
      <w:r>
        <w:t xml:space="preserve"> </w:t>
      </w:r>
      <w:r>
        <w:t xml:space="preserve">(przypuszczalnie itacyzm, który niepoprawnie zmienia czasownik, dając nonsens).</w:t>
      </w:r>
    </w:p>
    <w:p>
      <w:pPr>
        <w:pStyle w:val="FirstParagraph"/>
      </w:pPr>
      <w:r>
        <w:rPr>
          <w:bCs/>
          <w:b/>
        </w:rPr>
        <w:t xml:space="preserve">75.</w:t>
      </w:r>
      <w:r>
        <w:t xml:space="preserve"> </w:t>
      </w:r>
      <w:r>
        <w:t xml:space="preserve">10,24 ουν || --- (odczyt singularny, kopista wielokrotnie pomija ten spójnik i można się zastanawiać, dlaczego, znaczenie nie zostaje naruszone).</w:t>
      </w:r>
    </w:p>
    <w:p>
      <w:pPr>
        <w:numPr>
          <w:ilvl w:val="0"/>
          <w:numId w:val="1095"/>
        </w:numPr>
      </w:pPr>
      <w:r>
        <w:t xml:space="preserve">10,40 οπου || ου () P</w:t>
      </w:r>
      <w:r>
        <w:rPr>
          <w:vertAlign w:val="superscript"/>
        </w:rPr>
        <w:t xml:space="preserve">66</w:t>
      </w:r>
      <w:r>
        <w:t xml:space="preserve"> </w:t>
      </w:r>
      <w:r>
        <w:t xml:space="preserve">(mogło to powstać niezależnie, niedbały błąd dający nonsens).</w:t>
      </w:r>
    </w:p>
    <w:p>
      <w:pPr>
        <w:numPr>
          <w:ilvl w:val="0"/>
          <w:numId w:val="1095"/>
        </w:numPr>
      </w:pPr>
      <w:r>
        <w:t xml:space="preserve">11,2 εαυτης || αυτης 547, 789, 1461 (60%) P</w:t>
      </w:r>
      <w:r>
        <w:rPr>
          <w:vertAlign w:val="superscript"/>
        </w:rPr>
        <w:t xml:space="preserve">45,66,75</w:t>
      </w:r>
      <w:r>
        <w:t xml:space="preserve"> </w:t>
      </w:r>
      <w:r>
        <w:t xml:space="preserve">ℵ, A, B, D, W, Θ, Λ, f</w:t>
      </w:r>
      <w:r>
        <w:rPr>
          <w:vertAlign w:val="superscript"/>
        </w:rPr>
        <w:t xml:space="preserve">1</w:t>
      </w:r>
      <w:r>
        <w:t xml:space="preserve">, 28, 579, 1071, 1424 (jest to jedno z miejsc, w których 1700 odchodzi od rodziny, są to dwa sposoby powiedzenia tego samego, znaczenie nie zostaje naruszone).</w:t>
      </w:r>
    </w:p>
    <w:p>
      <w:pPr>
        <w:pStyle w:val="FirstParagraph"/>
      </w:pPr>
      <w:r>
        <w:rPr>
          <w:bCs/>
          <w:b/>
        </w:rPr>
        <w:t xml:space="preserve">78.</w:t>
      </w:r>
      <w:r>
        <w:t xml:space="preserve"> </w:t>
      </w:r>
      <w:r>
        <w:t xml:space="preserve">11,5 την</w:t>
      </w:r>
      <w:r>
        <w:rPr>
          <w:vertAlign w:val="superscript"/>
        </w:rPr>
        <w:t xml:space="preserve">1</w:t>
      </w:r>
      <w:r>
        <w:t xml:space="preserve"> </w:t>
      </w:r>
      <w:r>
        <w:t xml:space="preserve">|| --- (odczyt singularny, znaczenie nie zostaje naruszone).</w:t>
      </w:r>
    </w:p>
    <w:p>
      <w:pPr>
        <w:pStyle w:val="BodyText"/>
      </w:pPr>
      <w:r>
        <w:rPr>
          <w:bCs/>
          <w:b/>
        </w:rPr>
        <w:t xml:space="preserve">79.</w:t>
      </w:r>
      <w:r>
        <w:t xml:space="preserve"> </w:t>
      </w:r>
      <w:r>
        <w:t xml:space="preserve">11,9 οτι το φως του κοσμου τουτου βλεπει || --- (odczyt singularny, przypuszczalnie przypadek</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pStyle w:val="BodyText"/>
      </w:pPr>
      <w:r>
        <w:rPr>
          <w:bCs/>
          <w:b/>
        </w:rPr>
        <w:t xml:space="preserve">80.</w:t>
      </w:r>
      <w:r>
        <w:t xml:space="preserve"> </w:t>
      </w:r>
      <w:r>
        <w:t xml:space="preserve">11,12 κυριε || --- (odczyt singularny, znaczenie nie zostaje naruszone).</w:t>
      </w:r>
    </w:p>
    <w:p>
      <w:pPr>
        <w:numPr>
          <w:ilvl w:val="0"/>
          <w:numId w:val="1096"/>
        </w:numPr>
        <w:pStyle w:val="Compact"/>
      </w:pPr>
      <w:r>
        <w:t xml:space="preserve">11,19 παραμυθησωνται || παραμυθησονται 1686 (15%) 579, 1071 (tryb oznajmujący czasu przyszłego albo aoryst trybu łączącego, w tym kontekście pełnią tę samą funkcję).</w:t>
      </w:r>
    </w:p>
    <w:p>
      <w:pPr>
        <w:pStyle w:val="FirstParagraph"/>
      </w:pPr>
      <w:r>
        <w:rPr>
          <w:bCs/>
          <w:b/>
        </w:rPr>
        <w:t xml:space="preserve">82.</w:t>
      </w:r>
      <w:r>
        <w:t xml:space="preserve"> </w:t>
      </w:r>
      <w:r>
        <w:t xml:space="preserve">11,28 εφωνησεν || ελαλησε (odczyt singularny obejmujący synonim, znaczenie nie zostaje naruszone).</w:t>
      </w:r>
    </w:p>
    <w:p>
      <w:pPr>
        <w:pStyle w:val="BodyText"/>
      </w:pPr>
      <w:r>
        <w:rPr>
          <w:bCs/>
          <w:b/>
        </w:rPr>
        <w:t xml:space="preserve">83.</w:t>
      </w:r>
      <w:r>
        <w:t xml:space="preserve"> </w:t>
      </w:r>
      <w:r>
        <w:t xml:space="preserve">11,38 εμβριμωμενος || 1 τω πνευματι (odczyt singularny, znaczenie nie zostaje naruszone).</w:t>
      </w:r>
    </w:p>
    <w:p>
      <w:pPr>
        <w:pStyle w:val="BodyText"/>
      </w:pPr>
      <w:r>
        <w:rPr>
          <w:bCs/>
          <w:b/>
        </w:rPr>
        <w:t xml:space="preserve">84.</w:t>
      </w:r>
      <w:r>
        <w:t xml:space="preserve"> </w:t>
      </w:r>
      <w:r>
        <w:t xml:space="preserve">11,39 ηδη || ηδει (itacyzm dający nonsens).</w:t>
      </w:r>
    </w:p>
    <w:p>
      <w:pPr>
        <w:pStyle w:val="BodyText"/>
      </w:pPr>
      <w:r>
        <w:rPr>
          <w:bCs/>
          <w:b/>
        </w:rPr>
        <w:t xml:space="preserve">85.</w:t>
      </w:r>
      <w:r>
        <w:t xml:space="preserve"> </w:t>
      </w:r>
      <w:r>
        <w:t xml:space="preserve">11,53 ινα αποκτεινωσιν || ιναποκτεινωσιν (niedbały błąd dający nonsens, czytelnik automatycznie uzupełniłby brakującą samogłoskę).</w:t>
      </w:r>
    </w:p>
    <w:p>
      <w:pPr>
        <w:pStyle w:val="BodyText"/>
      </w:pPr>
      <w:r>
        <w:rPr>
          <w:bCs/>
          <w:b/>
        </w:rPr>
        <w:t xml:space="preserve">86.</w:t>
      </w:r>
      <w:r>
        <w:t xml:space="preserve"> </w:t>
      </w:r>
      <w:r>
        <w:t xml:space="preserve">12,2 ανακειμενων συν || συνανακειμενων (10%) W, 28, 1071 || συνανακειμενων συν (odczyt singularny, lecz zbudowany na zależności, znaczenie nie zostaje naruszone).</w:t>
      </w:r>
    </w:p>
    <w:p>
      <w:pPr>
        <w:numPr>
          <w:ilvl w:val="0"/>
          <w:numId w:val="1097"/>
        </w:numPr>
        <w:pStyle w:val="Compact"/>
      </w:pPr>
      <w:r>
        <w:t xml:space="preserve">12,6 εμελεν || εμελλεν</w:t>
      </w:r>
      <w:r>
        <w:t xml:space="preserve"> </w:t>
      </w:r>
      <w:r>
        <w:rPr>
          <w:bCs/>
          <w:b/>
        </w:rPr>
        <w:t xml:space="preserve">f</w:t>
      </w:r>
      <w:r>
        <w:rPr>
          <w:vertAlign w:val="superscript"/>
          <w:bCs/>
          <w:b/>
        </w:rPr>
        <w:t xml:space="preserve">35pt</w:t>
      </w:r>
      <w:r>
        <w:t xml:space="preserve"> </w:t>
      </w:r>
      <w:r>
        <w:t xml:space="preserve">(60%) f</w:t>
      </w:r>
      <w:r>
        <w:rPr>
          <w:vertAlign w:val="superscript"/>
        </w:rPr>
        <w:t xml:space="preserve">13</w:t>
      </w:r>
      <w:r>
        <w:t xml:space="preserve">, 28, 1424 (jest to jedno z miejsc, w których 1700 odchodzi od rodziny,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pStyle w:val="FirstParagraph"/>
      </w:pPr>
      <w:r>
        <w:rPr>
          <w:bCs/>
          <w:b/>
        </w:rPr>
        <w:t xml:space="preserve">88.</w:t>
      </w:r>
      <w:r>
        <w:t xml:space="preserve"> </w:t>
      </w:r>
      <w:r>
        <w:t xml:space="preserve">12,7 αυτο || αυαυτο (kopista powtórzył sylabę, przechodząc z jednego wiersza do następnego).</w:t>
      </w:r>
    </w:p>
    <w:p>
      <w:pPr>
        <w:numPr>
          <w:ilvl w:val="0"/>
          <w:numId w:val="1098"/>
        </w:numPr>
        <w:pStyle w:val="Compact"/>
      </w:pPr>
      <w:r>
        <w:t xml:space="preserve">12,26</w:t>
      </w:r>
      <w:r>
        <w:rPr>
          <w:vertAlign w:val="superscript"/>
        </w:rPr>
        <w:t xml:space="preserve">a</w:t>
      </w:r>
      <w:r>
        <w:t xml:space="preserve"> </w:t>
      </w:r>
      <w:r>
        <w:t xml:space="preserve">διακονη || διακονει () 28, 1071, 1424 (oczekiwany jest tryb łączący, lecz tryb oznajmujący jest możliwy, w kontekście znaczenie nie zostaje naruszone).</w:t>
      </w:r>
    </w:p>
    <w:p>
      <w:pPr>
        <w:pStyle w:val="FirstParagraph"/>
      </w:pPr>
      <w:r>
        <w:rPr>
          <w:bCs/>
          <w:b/>
        </w:rPr>
        <w:t xml:space="preserve">90.</w:t>
      </w:r>
      <w:r>
        <w:t xml:space="preserve"> </w:t>
      </w:r>
      <w:r>
        <w:t xml:space="preserve">12,26</w:t>
      </w:r>
      <w:r>
        <w:rPr>
          <w:vertAlign w:val="superscript"/>
        </w:rPr>
        <w:t xml:space="preserve">b</w:t>
      </w:r>
      <w:r>
        <w:t xml:space="preserve"> </w:t>
      </w:r>
      <w:r>
        <w:t xml:space="preserve">διακονη || διακονει (odczyt singularny, zob. wyżej).</w:t>
      </w:r>
    </w:p>
    <w:p>
      <w:pPr>
        <w:numPr>
          <w:ilvl w:val="0"/>
          <w:numId w:val="1099"/>
        </w:numPr>
        <w:pStyle w:val="Compact"/>
      </w:pPr>
      <w:r>
        <w:t xml:space="preserve">12,37 αυτου σημεια || ~ 21 () Λ, f</w:t>
      </w:r>
      <w:r>
        <w:rPr>
          <w:vertAlign w:val="superscript"/>
        </w:rPr>
        <w:t xml:space="preserve">13</w:t>
      </w:r>
      <w:r>
        <w:t xml:space="preserve">, 579 (zwykłe odwrócenie szyku wyrazów, które nie wpływa na znaczenie).</w:t>
      </w:r>
    </w:p>
    <w:p>
      <w:pPr>
        <w:pStyle w:val="FirstParagraph"/>
      </w:pPr>
      <w:r>
        <w:rPr>
          <w:bCs/>
          <w:b/>
        </w:rPr>
        <w:t xml:space="preserve">92.</w:t>
      </w:r>
      <w:r>
        <w:t xml:space="preserve"> </w:t>
      </w:r>
      <w:r>
        <w:t xml:space="preserve">12,42 ωμολογουν || ομολογουν (odczyt singularny, itacyzm dający alternatywną pisownię, znaczenie nie zostaje naruszone).</w:t>
      </w:r>
    </w:p>
    <w:p>
      <w:pPr>
        <w:numPr>
          <w:ilvl w:val="0"/>
          <w:numId w:val="1100"/>
        </w:numPr>
        <w:pStyle w:val="Compact"/>
      </w:pPr>
      <w:r>
        <w:t xml:space="preserve">13,26 ω || ο () 579, 1071, 1424 (itacyzm, który niepoprawnie zmienia rodzaj).</w:t>
      </w:r>
    </w:p>
    <w:p>
      <w:pPr>
        <w:pStyle w:val="FirstParagraph"/>
      </w:pPr>
      <w:r>
        <w:rPr>
          <w:bCs/>
          <w:b/>
        </w:rPr>
        <w:t xml:space="preserve">94.</w:t>
      </w:r>
      <w:r>
        <w:t xml:space="preserve"> </w:t>
      </w:r>
      <w:r>
        <w:t xml:space="preserve">13,27 ουν || --- (odczyt singularny, kopista wielokrotnie pomija ten spójnik i można się zastanawiać, dlaczego, znaczenie nie zostaje naruszone).</w:t>
      </w:r>
    </w:p>
    <w:p>
      <w:pPr>
        <w:numPr>
          <w:ilvl w:val="0"/>
          <w:numId w:val="1101"/>
        </w:numPr>
      </w:pPr>
      <w:r>
        <w:t xml:space="preserve">13,29 εχομεν || εχωμεν () 579 (zmiana trybu nie wpływa na znaczenie).</w:t>
      </w:r>
    </w:p>
    <w:p>
      <w:pPr>
        <w:numPr>
          <w:ilvl w:val="0"/>
          <w:numId w:val="1101"/>
        </w:numPr>
      </w:pPr>
      <w:r>
        <w:t xml:space="preserve">13,30-31 ην δε νυξ οτε εξηλθεν || --- () G (wyraźny przypadek</w:t>
      </w:r>
      <w:r>
        <w:t xml:space="preserve"> </w:t>
      </w:r>
      <w:r>
        <w:rPr>
          <w:iCs/>
          <w:i/>
        </w:rPr>
        <w:t xml:space="preserve">homoioteleuton</w:t>
      </w:r>
      <w:r>
        <w:t xml:space="preserve">, który powstał niezależnie).</w:t>
      </w:r>
    </w:p>
    <w:p>
      <w:pPr>
        <w:numPr>
          <w:ilvl w:val="0"/>
          <w:numId w:val="1101"/>
        </w:numPr>
      </w:pPr>
      <w:r>
        <w:t xml:space="preserve">14,13 αιτησητε || αιτησηται 1145 () P</w:t>
      </w:r>
      <w:r>
        <w:rPr>
          <w:vertAlign w:val="superscript"/>
        </w:rPr>
        <w:t xml:space="preserve">66</w:t>
      </w:r>
      <w:r>
        <w:t xml:space="preserve"> </w:t>
      </w:r>
      <w:r>
        <w:t xml:space="preserve">D, W (kopista sam się poprawił).</w:t>
      </w:r>
    </w:p>
    <w:p>
      <w:pPr>
        <w:numPr>
          <w:ilvl w:val="0"/>
          <w:numId w:val="1101"/>
        </w:numPr>
      </w:pPr>
      <w:r>
        <w:t xml:space="preserve">14,23 ποιησομεν || ποιησωμεν 1667, 1686 (5%) Λ, 28, 1424 (tryb oznajmujący czasu przyszłego albo aoryst trybu łączącego, w tym kontekście pełnią tę samą funkcję).</w:t>
      </w:r>
    </w:p>
    <w:p>
      <w:pPr>
        <w:numPr>
          <w:ilvl w:val="0"/>
          <w:numId w:val="1101"/>
        </w:numPr>
      </w:pPr>
      <w:r>
        <w:t xml:space="preserve">15,2 φερη || φερει 553 () 124, 788, 1346 (oczekiwany jest tryb łączący, lecz tryb oznajmujący jest możliwy, w kontekście znaczenie nie zostaje naruszone).</w:t>
      </w:r>
    </w:p>
    <w:p>
      <w:pPr>
        <w:numPr>
          <w:ilvl w:val="0"/>
          <w:numId w:val="1101"/>
        </w:numPr>
      </w:pPr>
      <w:r>
        <w:t xml:space="preserve">15,7 αιτησεσθε || αιτησησθε () 1424 (tryb oznajmujący czasu przyszłego albo aoryst trybu łączącego, w tym kontekście pełnią tę samą funkcję).</w:t>
      </w:r>
    </w:p>
    <w:p>
      <w:pPr>
        <w:pStyle w:val="FirstParagraph"/>
      </w:pPr>
      <w:r>
        <w:rPr>
          <w:bCs/>
          <w:b/>
        </w:rPr>
        <w:t xml:space="preserve">101.</w:t>
      </w:r>
      <w:r>
        <w:t xml:space="preserve"> </w:t>
      </w:r>
      <w:r>
        <w:t xml:space="preserve">15,8 φερητε || φερηται (poprawiony odczyt singularny).</w:t>
      </w:r>
    </w:p>
    <w:p>
      <w:pPr>
        <w:pStyle w:val="BodyText"/>
      </w:pPr>
      <w:r>
        <w:rPr>
          <w:bCs/>
          <w:b/>
        </w:rPr>
        <w:t xml:space="preserve">102.</w:t>
      </w:r>
      <w:r>
        <w:t xml:space="preserve"> </w:t>
      </w:r>
      <w:r>
        <w:t xml:space="preserve">15,11 η χαρα</w:t>
      </w:r>
      <w:r>
        <w:rPr>
          <w:vertAlign w:val="superscript"/>
        </w:rPr>
        <w:t xml:space="preserve">1</w:t>
      </w:r>
      <w:r>
        <w:t xml:space="preserve"> </w:t>
      </w:r>
      <w:r>
        <w:t xml:space="preserve">|| --- (odczyt singularny powstały zarówno wskutek</w:t>
      </w:r>
      <w:r>
        <w:t xml:space="preserve"> </w:t>
      </w:r>
      <w:r>
        <w:rPr>
          <w:iCs/>
          <w:i/>
        </w:rPr>
        <w:t xml:space="preserve">homoioarcton</w:t>
      </w:r>
      <w:r>
        <w:t xml:space="preserve">, jak i</w:t>
      </w:r>
      <w:r>
        <w:t xml:space="preserve"> </w:t>
      </w:r>
      <w:r>
        <w:rPr>
          <w:iCs/>
          <w:i/>
        </w:rPr>
        <w:t xml:space="preserve">homoioteleuton</w:t>
      </w:r>
      <w:r>
        <w:t xml:space="preserve">, nie właściwy wariant).</w:t>
      </w:r>
    </w:p>
    <w:p>
      <w:pPr>
        <w:numPr>
          <w:ilvl w:val="0"/>
          <w:numId w:val="1102"/>
        </w:numPr>
        <w:pStyle w:val="Compact"/>
      </w:pPr>
      <w:r>
        <w:t xml:space="preserve">15,15 υμας λεγω || ~ 21 (1%) P</w:t>
      </w:r>
      <w:r>
        <w:rPr>
          <w:vertAlign w:val="superscript"/>
        </w:rPr>
        <w:t xml:space="preserve">66</w:t>
      </w:r>
      <w:r>
        <w:t xml:space="preserve"> </w:t>
      </w:r>
      <w:r>
        <w:t xml:space="preserve">ℵ, A, B, 579, 1071, 1424 (zwykłe odwrócenie szyku wyrazów, które nie wpływa na znaczenie).</w:t>
      </w:r>
    </w:p>
    <w:p>
      <w:pPr>
        <w:pStyle w:val="FirstParagraph"/>
      </w:pPr>
      <w:r>
        <w:rPr>
          <w:bCs/>
          <w:b/>
        </w:rPr>
        <w:t xml:space="preserve">104.</w:t>
      </w:r>
      <w:r>
        <w:t xml:space="preserve"> </w:t>
      </w:r>
      <w:r>
        <w:t xml:space="preserve">15,18 γινωσκετε || --- (niedbały odczyt singularny dający nonsens).</w:t>
      </w:r>
    </w:p>
    <w:p>
      <w:pPr>
        <w:pStyle w:val="BodyText"/>
      </w:pPr>
      <w:r>
        <w:rPr>
          <w:bCs/>
          <w:b/>
        </w:rPr>
        <w:t xml:space="preserve">105.</w:t>
      </w:r>
      <w:r>
        <w:t xml:space="preserve"> </w:t>
      </w:r>
      <w:r>
        <w:t xml:space="preserve">15,20 ουκ εστιν δουλος μειζων του κυριου αυτου || --- (niedbały odczyt singularny, być może pomijający cały wiersz w egzemplarzu, lecz powstały tekst ma dobry sens).</w:t>
      </w:r>
    </w:p>
    <w:p>
      <w:pPr>
        <w:pStyle w:val="BodyText"/>
      </w:pPr>
      <w:r>
        <w:rPr>
          <w:bCs/>
          <w:b/>
        </w:rPr>
        <w:t xml:space="preserve">106.</w:t>
      </w:r>
      <w:r>
        <w:t xml:space="preserve"> </w:t>
      </w:r>
      <w:r>
        <w:t xml:space="preserve">15,25 οτι εμισησαν με δωρεαν || --- (kolejny niedbały odczyt singularny, być może wskutek</w:t>
      </w:r>
      <w:r>
        <w:t xml:space="preserve"> </w:t>
      </w:r>
      <w:r>
        <w:rPr>
          <w:iCs/>
          <w:i/>
        </w:rPr>
        <w:t xml:space="preserve">homoioarcton</w:t>
      </w:r>
      <w:r>
        <w:t xml:space="preserve">, powstały tekst ma sens, lecz jest nieco niepełny).</w:t>
      </w:r>
    </w:p>
    <w:p>
      <w:pPr>
        <w:pStyle w:val="BodyText"/>
      </w:pPr>
      <w:r>
        <w:rPr>
          <w:bCs/>
          <w:b/>
        </w:rPr>
        <w:t xml:space="preserve">107.</w:t>
      </w:r>
      <w:r>
        <w:t xml:space="preserve"> </w:t>
      </w:r>
      <w:r>
        <w:t xml:space="preserve">16,7</w:t>
      </w:r>
      <w:r>
        <w:rPr>
          <w:vertAlign w:val="superscript"/>
        </w:rPr>
        <w:t xml:space="preserve">a</w:t>
      </w:r>
      <w:r>
        <w:t xml:space="preserve"> </w:t>
      </w:r>
      <w:r>
        <w:t xml:space="preserve">αλλ εγω την αληθειαν λεγω υμιν || --- (kolejny niedbały odczyt singularny, powstały tekst ma sens, zauważ, że kopista najwyraźniej miał zły dzień).</w:t>
      </w:r>
    </w:p>
    <w:p>
      <w:pPr>
        <w:pStyle w:val="BodyText"/>
      </w:pPr>
      <w:r>
        <w:rPr>
          <w:bCs/>
          <w:b/>
        </w:rPr>
        <w:t xml:space="preserve">108.</w:t>
      </w:r>
      <w:r>
        <w:t xml:space="preserve"> </w:t>
      </w:r>
      <w:r>
        <w:t xml:space="preserve">16,7</w:t>
      </w:r>
      <w:r>
        <w:rPr>
          <w:vertAlign w:val="superscript"/>
        </w:rPr>
        <w:t xml:space="preserve">b</w:t>
      </w:r>
      <w:r>
        <w:t xml:space="preserve"> </w:t>
      </w:r>
      <w:r>
        <w:t xml:space="preserve">υμας</w:t>
      </w:r>
      <w:r>
        <w:rPr>
          <w:vertAlign w:val="superscript"/>
        </w:rPr>
        <w:t xml:space="preserve">1</w:t>
      </w:r>
      <w:r>
        <w:t xml:space="preserve"> </w:t>
      </w:r>
      <w:r>
        <w:t xml:space="preserve">|| 1 και (odczyt singularny, znaczenie nie zostaje naruszone).</w:t>
      </w:r>
    </w:p>
    <w:p>
      <w:pPr>
        <w:numPr>
          <w:ilvl w:val="0"/>
          <w:numId w:val="1103"/>
        </w:numPr>
        <w:pStyle w:val="Compact"/>
      </w:pPr>
      <w:r>
        <w:t xml:space="preserve">16,21</w:t>
      </w:r>
      <w:r>
        <w:rPr>
          <w:vertAlign w:val="superscript"/>
        </w:rPr>
        <w:t xml:space="preserve">a</w:t>
      </w:r>
      <w:r>
        <w:t xml:space="preserve"> </w:t>
      </w:r>
      <w:r>
        <w:t xml:space="preserve">τικτη || τικτει 553 (10%) Λ, 28, 1346, 1424 (oczekiwany jest tryb łączący, lecz tryb oznajmujący jest możliwy, prawdopodobnie nie jest to itacyzm, znaczenie nie zostaje naruszone).</w:t>
      </w:r>
    </w:p>
    <w:p>
      <w:pPr>
        <w:pStyle w:val="FirstParagraph"/>
      </w:pPr>
      <w:r>
        <w:rPr>
          <w:bCs/>
          <w:b/>
        </w:rPr>
        <w:t xml:space="preserve">110.</w:t>
      </w:r>
      <w:r>
        <w:t xml:space="preserve"> </w:t>
      </w:r>
      <w:r>
        <w:t xml:space="preserve">16,21</w:t>
      </w:r>
      <w:r>
        <w:rPr>
          <w:vertAlign w:val="superscript"/>
        </w:rPr>
        <w:t xml:space="preserve">b</w:t>
      </w:r>
      <w:r>
        <w:t xml:space="preserve"> </w:t>
      </w:r>
      <w:r>
        <w:t xml:space="preserve">γεννηση || γεννησει (odczyt singularny, tryb oznajmujący czasu przyszłego albo aoryst trybu łączącego, w tym kontekście pełnią tę samą funkcję).</w:t>
      </w:r>
    </w:p>
    <w:p>
      <w:pPr>
        <w:numPr>
          <w:ilvl w:val="0"/>
          <w:numId w:val="1104"/>
        </w:numPr>
      </w:pPr>
      <w:r>
        <w:t xml:space="preserve">16,33 εχητε || εχετε (1%) Λ, 28, 1071 (oczekiwany jest tryb łączący, lecz tryb oznajmujący jest możliwy, prawdopodobnie nie jest to itacyzm, znaczenie nie zostaje naruszone).</w:t>
      </w:r>
    </w:p>
    <w:p>
      <w:pPr>
        <w:numPr>
          <w:ilvl w:val="0"/>
          <w:numId w:val="1104"/>
        </w:numPr>
      </w:pPr>
      <w:r>
        <w:t xml:space="preserve">17,10 δεδοξασμαι || δεδοξασμε (2%) P</w:t>
      </w:r>
      <w:r>
        <w:rPr>
          <w:vertAlign w:val="superscript"/>
        </w:rPr>
        <w:t xml:space="preserve">66c</w:t>
      </w:r>
      <w:r>
        <w:t xml:space="preserve"> </w:t>
      </w:r>
      <w:r>
        <w:t xml:space="preserve">ℵ, Θ, 1346, 1424 (itacyzm dający nonsens, czytelnik automatycznie dokonałby poprawki).</w:t>
      </w:r>
    </w:p>
    <w:p>
      <w:pPr>
        <w:numPr>
          <w:ilvl w:val="0"/>
          <w:numId w:val="1104"/>
        </w:numPr>
      </w:pPr>
      <w:r>
        <w:t xml:space="preserve">17,23 γινωσκη || γινωσκει 553, 1686 (2%) Λ, f</w:t>
      </w:r>
      <w:r>
        <w:rPr>
          <w:vertAlign w:val="superscript"/>
        </w:rPr>
        <w:t xml:space="preserve">13</w:t>
      </w:r>
      <w:r>
        <w:t xml:space="preserve">, 28, 579, 1071 (oczekiwany jest tryb łączący, lecz tryb oznajmujący jest możliwy, prawdopodobnie nie jest to itacyzm, znaczenie nie zostaje naruszone).</w:t>
      </w:r>
    </w:p>
    <w:p>
      <w:pPr>
        <w:numPr>
          <w:ilvl w:val="0"/>
          <w:numId w:val="1104"/>
        </w:numPr>
      </w:pPr>
      <w:r>
        <w:t xml:space="preserve">18,13 αυτον || --- (2%) P</w:t>
      </w:r>
      <w:r>
        <w:rPr>
          <w:vertAlign w:val="superscript"/>
        </w:rPr>
        <w:t xml:space="preserve">66</w:t>
      </w:r>
      <w:r>
        <w:t xml:space="preserve"> </w:t>
      </w:r>
      <w:r>
        <w:t xml:space="preserve">ℵ, B, C, D, W, 579, 1071 (powtórzenie zaimka nie jest konieczne dla sensu, znaczenie nie zostaje naruszone).</w:t>
      </w:r>
    </w:p>
    <w:p>
      <w:pPr>
        <w:pStyle w:val="FirstParagraph"/>
      </w:pPr>
      <w:r>
        <w:rPr>
          <w:bCs/>
          <w:b/>
        </w:rPr>
        <w:t xml:space="preserve">115.</w:t>
      </w:r>
      <w:r>
        <w:t xml:space="preserve"> </w:t>
      </w:r>
      <w:r>
        <w:t xml:space="preserve">18,15 τω ιησου</w:t>
      </w:r>
      <w:r>
        <w:rPr>
          <w:vertAlign w:val="superscript"/>
        </w:rPr>
        <w:t xml:space="preserve">1</w:t>
      </w:r>
      <w:r>
        <w:t xml:space="preserve"> </w:t>
      </w:r>
      <w:r>
        <w:t xml:space="preserve">|| αυτω (odczyt singularny, znaczenie nie zostaje naruszone).</w:t>
      </w:r>
    </w:p>
    <w:p>
      <w:pPr>
        <w:pStyle w:val="BodyText"/>
      </w:pPr>
      <w:r>
        <w:rPr>
          <w:bCs/>
          <w:b/>
        </w:rPr>
        <w:t xml:space="preserve">116.</w:t>
      </w:r>
      <w:r>
        <w:t xml:space="preserve"> </w:t>
      </w:r>
      <w:r>
        <w:t xml:space="preserve">18,17 συ || --- (odczyt singularny, znaczenie nie zostaje naruszone).</w:t>
      </w:r>
    </w:p>
    <w:p>
      <w:pPr>
        <w:numPr>
          <w:ilvl w:val="0"/>
          <w:numId w:val="1105"/>
        </w:numPr>
        <w:pStyle w:val="Compact"/>
      </w:pPr>
      <w:r>
        <w:t xml:space="preserve">18,25 σιμων || --- 1435 () 1424 (znaczenie nie zostaje naruszone).</w:t>
      </w:r>
    </w:p>
    <w:p>
      <w:pPr>
        <w:pStyle w:val="FirstParagraph"/>
      </w:pPr>
      <w:r>
        <w:rPr>
          <w:bCs/>
          <w:b/>
        </w:rPr>
        <w:t xml:space="preserve">118.</w:t>
      </w:r>
      <w:r>
        <w:t xml:space="preserve"> </w:t>
      </w:r>
      <w:r>
        <w:t xml:space="preserve">18,36</w:t>
      </w:r>
      <w:r>
        <w:rPr>
          <w:vertAlign w:val="superscript"/>
        </w:rPr>
        <w:t xml:space="preserve">a</w:t>
      </w:r>
      <w:r>
        <w:t xml:space="preserve"> </w:t>
      </w:r>
      <w:r>
        <w:t xml:space="preserve">ηγωνιζοντο || ηγονιζοντο (odczyt singularny, itacyzm dający błędną pisownię, znaczenie nie zostaje naruszone).</w:t>
      </w:r>
    </w:p>
    <w:p>
      <w:pPr>
        <w:pStyle w:val="BodyText"/>
      </w:pPr>
      <w:r>
        <w:rPr>
          <w:bCs/>
          <w:b/>
        </w:rPr>
        <w:t xml:space="preserve">119.</w:t>
      </w:r>
      <w:r>
        <w:t xml:space="preserve"> </w:t>
      </w:r>
      <w:r>
        <w:t xml:space="preserve">18,36</w:t>
      </w:r>
      <w:r>
        <w:rPr>
          <w:vertAlign w:val="superscript"/>
        </w:rPr>
        <w:t xml:space="preserve">b</w:t>
      </w:r>
      <w:r>
        <w:t xml:space="preserve"> </w:t>
      </w:r>
      <w:r>
        <w:t xml:space="preserve">ουκ εστιν || --- (odczyt singularny, pominięcie tworzy sprzeczność wewnątrz wersetu, nie da się powiedzieć, dlaczego kopista to uczynił, chyba że jest to niezamierzony błąd, których jest niemało).</w:t>
      </w:r>
    </w:p>
    <w:p>
      <w:pPr>
        <w:numPr>
          <w:ilvl w:val="0"/>
          <w:numId w:val="1106"/>
        </w:numPr>
        <w:pStyle w:val="Compact"/>
      </w:pPr>
      <w:r>
        <w:t xml:space="preserve">18,37 αυτω || --- 201, 2322 (pominięcie nie wpływa na znaczenie).</w:t>
      </w:r>
    </w:p>
    <w:p>
      <w:pPr>
        <w:pStyle w:val="FirstParagraph"/>
      </w:pPr>
      <w:r>
        <w:rPr>
          <w:bCs/>
          <w:b/>
        </w:rPr>
        <w:t xml:space="preserve">121.</w:t>
      </w:r>
      <w:r>
        <w:t xml:space="preserve"> </w:t>
      </w:r>
      <w:r>
        <w:t xml:space="preserve">18,39</w:t>
      </w:r>
      <w:r>
        <w:rPr>
          <w:vertAlign w:val="superscript"/>
        </w:rPr>
        <w:t xml:space="preserve">a</w:t>
      </w:r>
      <w:r>
        <w:t xml:space="preserve"> </w:t>
      </w:r>
      <w:r>
        <w:t xml:space="preserve">συνηθεια || συνηθει (odczyt singularny, niedbały błąd pisowni).</w:t>
      </w:r>
    </w:p>
    <w:p>
      <w:pPr>
        <w:numPr>
          <w:ilvl w:val="0"/>
          <w:numId w:val="1107"/>
        </w:numPr>
        <w:pStyle w:val="Compact"/>
      </w:pPr>
      <w:r>
        <w:t xml:space="preserve">18,39</w:t>
      </w:r>
      <w:r>
        <w:rPr>
          <w:vertAlign w:val="superscript"/>
        </w:rPr>
        <w:t xml:space="preserve">b</w:t>
      </w:r>
      <w:r>
        <w:t xml:space="preserve"> </w:t>
      </w:r>
      <w:r>
        <w:t xml:space="preserve">ημιν || υμιν 928, 1334, 1572, 1667 (80%) ℵ, A, B, W, Θ, Λ, f</w:t>
      </w:r>
      <w:r>
        <w:rPr>
          <w:vertAlign w:val="superscript"/>
        </w:rPr>
        <w:t xml:space="preserve">1,13</w:t>
      </w:r>
      <w:r>
        <w:t xml:space="preserve">, 28, 579, 1071, 1346, 1424 (jest to jedno z miejsc, w których 1700 odchodzi od rodziny, pierwotna zmiana była prawdopodobnie celowa i wprowadziła nieprawdopodobieństwo, trudno uwierzyć, by cesarski Rzym uwolnił więźnia na podstawie żądania Żydów, zmiana ma jednak niewielki wpływ na całkowite znaczenie opisu).</w:t>
      </w:r>
    </w:p>
    <w:p>
      <w:pPr>
        <w:pStyle w:val="FirstParagraph"/>
      </w:pPr>
      <w:r>
        <w:rPr>
          <w:bCs/>
          <w:b/>
        </w:rPr>
        <w:t xml:space="preserve">123.</w:t>
      </w:r>
      <w:r>
        <w:t xml:space="preserve"> </w:t>
      </w:r>
      <w:r>
        <w:t xml:space="preserve">18,39</w:t>
      </w:r>
      <w:r>
        <w:rPr>
          <w:vertAlign w:val="superscript"/>
        </w:rPr>
        <w:t xml:space="preserve">c</w:t>
      </w:r>
      <w:r>
        <w:t xml:space="preserve"> </w:t>
      </w:r>
      <w:r>
        <w:t xml:space="preserve">υμιν</w:t>
      </w:r>
      <w:r>
        <w:rPr>
          <w:vertAlign w:val="superscript"/>
        </w:rPr>
        <w:t xml:space="preserve">2</w:t>
      </w:r>
      <w:r>
        <w:t xml:space="preserve"> </w:t>
      </w:r>
      <w:r>
        <w:t xml:space="preserve">|| 1 ινα (odczyt singularny, znaczenie nie zostaje naruszone).</w:t>
      </w:r>
    </w:p>
    <w:p>
      <w:pPr>
        <w:pStyle w:val="BodyText"/>
      </w:pPr>
      <w:r>
        <w:rPr>
          <w:bCs/>
          <w:b/>
        </w:rPr>
        <w:t xml:space="preserve">124.</w:t>
      </w:r>
      <w:r>
        <w:t xml:space="preserve"> </w:t>
      </w:r>
      <w:r>
        <w:t xml:space="preserve">19,1 ελαβεν || --- (odczyt singularny, możliwy przypadek</w:t>
      </w:r>
      <w:r>
        <w:t xml:space="preserve"> </w:t>
      </w:r>
      <w:r>
        <w:rPr>
          <w:iCs/>
          <w:i/>
        </w:rPr>
        <w:t xml:space="preserve">homoioteleuton</w:t>
      </w:r>
      <w:r>
        <w:t xml:space="preserve">, pominięcie czasownika pozostawia zdanie niepełne).</w:t>
      </w:r>
    </w:p>
    <w:p>
      <w:pPr>
        <w:numPr>
          <w:ilvl w:val="0"/>
          <w:numId w:val="1108"/>
        </w:numPr>
      </w:pPr>
      <w:r>
        <w:t xml:space="preserve">19,13 εβραιστι || εβραιστη () f</w:t>
      </w:r>
      <w:r>
        <w:rPr>
          <w:vertAlign w:val="superscript"/>
        </w:rPr>
        <w:t xml:space="preserve">13</w:t>
      </w:r>
      <w:r>
        <w:t xml:space="preserve">, 28</w:t>
      </w:r>
      <w:r>
        <w:rPr>
          <w:vertAlign w:val="superscript"/>
        </w:rPr>
        <w:t xml:space="preserve">s</w:t>
      </w:r>
      <w:r>
        <w:t xml:space="preserve">, 579, 1346, 1424 (jest to po prostu alternatywna pisownia, a zatem nie właściwy wariant).</w:t>
      </w:r>
    </w:p>
    <w:p>
      <w:pPr>
        <w:numPr>
          <w:ilvl w:val="0"/>
          <w:numId w:val="1108"/>
        </w:numPr>
      </w:pPr>
      <w:r>
        <w:t xml:space="preserve">19,15 εχομεν || εχωμεν 1686 () Λ, 579, 1346 (tryb oznajmujący jest wyraźnie poprawny, może to więc być itacyzm).</w:t>
      </w:r>
    </w:p>
    <w:p>
      <w:pPr>
        <w:numPr>
          <w:ilvl w:val="0"/>
          <w:numId w:val="1108"/>
        </w:numPr>
      </w:pPr>
      <w:r>
        <w:t xml:space="preserve">19,17 εβραιστι || εβραιστη () 579, 1071, 1424 (jest to po prostu alternatywna pisownia, a zatem nie właściwy wariant).</w:t>
      </w:r>
    </w:p>
    <w:p>
      <w:pPr>
        <w:pStyle w:val="FirstParagraph"/>
      </w:pPr>
      <w:r>
        <w:rPr>
          <w:bCs/>
          <w:b/>
        </w:rPr>
        <w:t xml:space="preserve">128.</w:t>
      </w:r>
      <w:r>
        <w:t xml:space="preserve"> </w:t>
      </w:r>
      <w:r>
        <w:t xml:space="preserve">19,24 ιματισμον || ιματις (odczyt singularny, niedbały błąd, czytelnik automatycznie dokonałby poprawki).</w:t>
      </w:r>
    </w:p>
    <w:p>
      <w:pPr>
        <w:pStyle w:val="BodyText"/>
      </w:pPr>
      <w:r>
        <w:rPr>
          <w:bCs/>
          <w:b/>
        </w:rPr>
        <w:t xml:space="preserve">129.</w:t>
      </w:r>
      <w:r>
        <w:t xml:space="preserve"> </w:t>
      </w:r>
      <w:r>
        <w:t xml:space="preserve">19,25</w:t>
      </w:r>
      <w:r>
        <w:rPr>
          <w:vertAlign w:val="superscript"/>
        </w:rPr>
        <w:t xml:space="preserve">a</w:t>
      </w:r>
      <w:r>
        <w:t xml:space="preserve"> </w:t>
      </w:r>
      <w:r>
        <w:t xml:space="preserve">ειστηκεισαν || ειστηκει (odczyt singularny, zmiana sprawia, że podmiot czasownika jest w liczbie pojedynczej zamiast mnogiej, co wynika z częściowego odczytania wersetu, czytelnik dokonałby koniecznej poprawki).</w:t>
      </w:r>
    </w:p>
    <w:p>
      <w:pPr>
        <w:numPr>
          <w:ilvl w:val="0"/>
          <w:numId w:val="1109"/>
        </w:numPr>
      </w:pPr>
      <w:r>
        <w:t xml:space="preserve">19,25</w:t>
      </w:r>
      <w:r>
        <w:rPr>
          <w:vertAlign w:val="superscript"/>
        </w:rPr>
        <w:t xml:space="preserve">b</w:t>
      </w:r>
      <w:r>
        <w:t xml:space="preserve"> </w:t>
      </w:r>
      <w:r>
        <w:t xml:space="preserve">μαγδαληνη || μαγδαλινη 1384 () 1071 (jest to po prostu alternatywna pisownia, a zatem nie właściwy wariant).</w:t>
      </w:r>
    </w:p>
    <w:p>
      <w:pPr>
        <w:numPr>
          <w:ilvl w:val="0"/>
          <w:numId w:val="1109"/>
        </w:numPr>
      </w:pPr>
      <w:r>
        <w:t xml:space="preserve">19,28 τουτο || ταυτα () U (niezależny błąd, który nie wpływa na znaczenie).</w:t>
      </w:r>
    </w:p>
    <w:p>
      <w:pPr>
        <w:numPr>
          <w:ilvl w:val="0"/>
          <w:numId w:val="1109"/>
        </w:numPr>
      </w:pPr>
      <w:r>
        <w:t xml:space="preserve">20,5 κειμενα || --- () Λ (pominięcie nie zmienia znaczenia).</w:t>
      </w:r>
    </w:p>
    <w:p>
      <w:pPr>
        <w:numPr>
          <w:ilvl w:val="0"/>
          <w:numId w:val="1109"/>
        </w:numPr>
      </w:pPr>
      <w:r>
        <w:t xml:space="preserve">20,11 τω μνημειω || το μνημειον (50%) Θ, Λ, f</w:t>
      </w:r>
      <w:r>
        <w:rPr>
          <w:vertAlign w:val="superscript"/>
        </w:rPr>
        <w:t xml:space="preserve">13</w:t>
      </w:r>
      <w:r>
        <w:t xml:space="preserve">, 579, 1071, 1346, 1424 (przyimek łączy się zarówno z celownikiem, jak i biernikiem, w kontekście znaczenie nie zostaje naruszone).</w:t>
      </w:r>
    </w:p>
    <w:p>
      <w:pPr>
        <w:numPr>
          <w:ilvl w:val="0"/>
          <w:numId w:val="1109"/>
        </w:numPr>
      </w:pPr>
      <w:r>
        <w:t xml:space="preserve">20,19 αυτοις || --- () ℵ (niezależne pominięcie, które nie zmienia znaczenia).</w:t>
      </w:r>
    </w:p>
    <w:p>
      <w:pPr>
        <w:numPr>
          <w:ilvl w:val="0"/>
          <w:numId w:val="1109"/>
        </w:numPr>
      </w:pPr>
      <w:r>
        <w:t xml:space="preserve">21,13 ουν || --- (2%) P</w:t>
      </w:r>
      <w:r>
        <w:rPr>
          <w:vertAlign w:val="superscript"/>
        </w:rPr>
        <w:t xml:space="preserve">122</w:t>
      </w:r>
      <w:r>
        <w:t xml:space="preserve"> </w:t>
      </w:r>
      <w:r>
        <w:t xml:space="preserve">ℵ, B, C, D, W, f</w:t>
      </w:r>
      <w:r>
        <w:rPr>
          <w:vertAlign w:val="superscript"/>
        </w:rPr>
        <w:t xml:space="preserve">1</w:t>
      </w:r>
      <w:r>
        <w:t xml:space="preserve"> </w:t>
      </w:r>
      <w:r>
        <w:t xml:space="preserve">(przypuszczalnie niezależny błąd, zważywszy na skłonność kopisty do pomijania tego spójnika, znaczenie nie zostaje naruszone).</w:t>
      </w:r>
    </w:p>
    <w:p>
      <w:pPr>
        <w:numPr>
          <w:ilvl w:val="0"/>
          <w:numId w:val="1109"/>
        </w:numPr>
      </w:pPr>
      <w:r>
        <w:t xml:space="preserve">21,15 ο ιησους || --- () 1424 (błąd, który nie wpływa na znaczenie).</w:t>
      </w:r>
    </w:p>
    <w:p>
      <w:pPr>
        <w:pStyle w:val="FirstParagraph"/>
      </w:pPr>
      <w:r>
        <w:t xml:space="preserve">Jak na przedstawiciela Rodziny 35 jest to rozczarowujący manuskrypt, przeanalizujmy jednak szczegółowo zróżnicowanie. Spośród 136 odstępstw od archetypu rodziny 54 to odczyty singularne, z nielicznymi wyjątkami nie wpływają one na znaczenie, łącznie z pewną liczbą takich, które nie są właściwymi wariantami — to, co wyżej nazwałem „niedbałym odczytem singularnym”, uważam za niezamierzony błąd, a zatem nie właściwy wariant. Jeśli żaden inny znany manuskrypt nie ma danej zmiany, wówczas coś stworzonego w XVII wieku nie jest wariantem. 136 - 54 = 82, zwróćmy więc uwagę na 82. Spośród nich dziewięć to zwykłe alternatywne pisownie, a zatem nie właściwe warianty (są to: 1, 13, 27, 58, 61, 65, 125, 127, 130). 82 - 9 = 73, spośród nich 16 to odstępstwa wspólne z wczesnymi kodeksami, przy których trudno uwierzyć, by mogła istnieć zależność, co z punktu widzenia kopisty 1700 czyni je odczytami singularnymi (10, 26, 36, 41, 48, 49, 52, 57, 73, 76, 96, 97, 131, 132, 134, 135). Powiedziałbym, że poprawnym wnioskiem, jaki należy wyprowadzić z przedstawionych nam dowodów, jest to, iż kopiści, którzy sporządzili te wczesne manuskrypty, również byli niedbali i oszpecili swoją pracę głupimi błędami. 73 - 16 = 57 (znacznie mniej niż połowa całości).</w:t>
      </w:r>
    </w:p>
    <w:p>
      <w:pPr>
        <w:pStyle w:val="BodyText"/>
      </w:pPr>
      <w:r>
        <w:t xml:space="preserve">Patrząc na dowody, wydaje się jasne, że GA 1700 zawiera pewną domieszkę. Spośród 66 odczytów niesingularnych (136 - 54 - 16 = 66) 1700 dzieli wariant z 1424 trzydzieści razy, z 1071 dwadzieścia osiem razy, z 28 dwadzieścia cztery razy, z f</w:t>
      </w:r>
      <w:r>
        <w:rPr>
          <w:vertAlign w:val="superscript"/>
        </w:rPr>
        <w:t xml:space="preserve">13</w:t>
      </w:r>
      <w:r>
        <w:t xml:space="preserve"> </w:t>
      </w:r>
      <w:r>
        <w:t xml:space="preserve">dwadzieścia dwa razy, z 579 dwadzieścia jeden razy, z Λ dziewiętnaście razy.</w:t>
      </w:r>
      <w:r>
        <w:t xml:space="preserve"> </w:t>
      </w:r>
      <w:r>
        <w:rPr>
          <w:bCs/>
          <w:b/>
        </w:rPr>
        <w:t xml:space="preserve">Jednak</w:t>
      </w:r>
      <w:r>
        <w:t xml:space="preserve"> </w:t>
      </w:r>
      <w:r>
        <w:t xml:space="preserve">analiza 66 wariantów, a właściwie całych 136, ujawnia następującą informację, zarazem zdumiewającą i znaczącą: tylko o dwóch właściwych wariantach można powiedzieć, że w jakikolwiek sposób zmieniają znaczenie — 4 i 122! Zanim jednak przyjrzę się im dokładniej, powinienem wspomnieć, że 1700 dzieli wariant z ℵ siedemnaście razy, z P</w:t>
      </w:r>
      <w:r>
        <w:rPr>
          <w:vertAlign w:val="superscript"/>
        </w:rPr>
        <w:t xml:space="preserve">66</w:t>
      </w:r>
      <w:r>
        <w:t xml:space="preserve"> </w:t>
      </w:r>
      <w:r>
        <w:t xml:space="preserve">i W po piętnaście razy, z A dziewięć razy, z B i D po osiem razy, lecz jak już argumentowałem, trudno twierdzić, że istnieje zależność, błędy po prostu popełniono niezależnie (z wyjątkiem nielicznych miejsc, w których występuje masowa zgodność).</w:t>
      </w:r>
    </w:p>
    <w:p>
      <w:pPr>
        <w:pStyle w:val="BodyText"/>
      </w:pPr>
      <w:r>
        <w:t xml:space="preserve">Przeanalizuję teraz pozycje 4 i 122. Czy miejscem, w którym Jan chrzcił, była Bitabara czy Betania? Niezależnie od tego, którą nazwę wybierzemy, nie znamy dokładnego miejsca poza tym, że znajdowało się po wschodniej stronie rzeki Jordan. (Mapy, które umieszczają je po zachodniej stronie, wprowadzają swoich czytelników w błąd). Kto od samego początku w Azji Mniejszej lub Europie znałby dokładne miejsce, niezależnie od jego nazwy? Wynika z tego, że wybór nazwy nie ma znaczenia dla istoty narracji, ważne jest</w:t>
      </w:r>
      <w:r>
        <w:t xml:space="preserve"> </w:t>
      </w:r>
      <w:r>
        <w:rPr>
          <w:u w:val="single"/>
        </w:rPr>
        <w:t xml:space="preserve">co się wydarzyło, a nie gdzie się wydarzyło</w:t>
      </w:r>
      <w:r>
        <w:t xml:space="preserve">.</w:t>
      </w:r>
    </w:p>
    <w:p>
      <w:pPr>
        <w:pStyle w:val="BodyText"/>
      </w:pPr>
      <w:r>
        <w:t xml:space="preserve">Czy Piłat powiedział: „Mamy zwyczaj”, czy „Macie zwyczaj” (122)? Poświadczenie manuskryptów na rzecz „wy” wynosi 80%. Ale naprawdę, jak Żydzi mogli mieć zwyczaj nakładający zobowiązanie na ich zdobywców? Trudno uwierzyć, by cesarski Rzym uwolnił więźnia na podstawie żądania Żydów, dlatego odczyt Rodziny 35 jest niewątpliwie poprawny. Niezależnie od tego wybór zaimka ma niewielkie znaczenie dla istoty narracji, którą jest to, że Żydzi wybrali Barabasza zamiast Jezusa.</w:t>
      </w:r>
    </w:p>
    <w:p>
      <w:pPr>
        <w:pStyle w:val="BodyText"/>
      </w:pPr>
      <w:r>
        <w:t xml:space="preserve">Chociaż jako przedstawiciel Rodziny 35 GA 1700 jest dość żałosny, mimo wszystko ktoś czytający 1700 w celach pobożnościowych nie zostałby w żadnym miejscu wprowadzony w błąd co do zamierzonego znaczenia! Twierdzę, że wniosek ten ma wielkie znaczenie. Pomimo 136 odstępstw 1700 jest adekwatną kopią Ewangelii Jana do wszystkich celów praktycznych. Co zatem ze wszystkimi tymi paskudnymi „nagromadzonymi błędami”, o których mówi przedmowa RSV? Uznaję możliwość, że 1700 może zawierać do 57 odziedziczonych błędów, błędów przejętych z egzemplarza, ponieważ jednak miałyby one niewielki wpływ albo nie miałyby żadnego wpływu na przekład na język angielski, nie odpowiadają celowi RSV przy wspominaniu o „nagromadzonych błędach”.</w:t>
      </w:r>
    </w:p>
    <w:p>
      <w:pPr>
        <w:pStyle w:val="BodyText"/>
      </w:pPr>
      <w:r>
        <w:t xml:space="preserve">Wracając do przedmowy RSV, zwracam teraz uwagę na ostatnie zdanie: „Posiadamy obecnie znacznie więcej starożytnych manuskryptów Nowego Testamentu i jesteśmy o wiele lepiej wyposażeni, by dążyć do odzyskania oryginalnych sformułowań tekstu greckiego”. Użycie czasownika „odzyskać” wskazuje, że uważali oryginalne sformułowania za zaginione. Powiązanie „o wiele lepiej wyposażeni” z „więcej starożytnych manuskryptów” wskazuje, że uznawali starsze za lepsze. Komitet, który opracował RSV, użył w istocie tekstu greckiego silnie opartego na Kodeksie Watykańskim i Synajskim. Dziesiątki lat wcześniej Herman C. Hoskier opublikował jednak</w:t>
      </w:r>
      <w:r>
        <w:t xml:space="preserve"> </w:t>
      </w:r>
      <w:r>
        <w:rPr>
          <w:iCs/>
          <w:i/>
        </w:rPr>
        <w:t xml:space="preserve">Codex B and its Allies, a Study and an Indictment</w:t>
      </w:r>
      <w:r>
        <w:t xml:space="preserve"> </w:t>
      </w:r>
      <w:r>
        <w:t xml:space="preserve">(Londyn: Bernard Quaritch, 2 tomy, 1914). Obiektywnie wykazał, że wymienione kodeksy nie są dobrymi kopiami. Komitet RSV najwyraźniej zignorował pracę Hoskiera. Powiedziałbym, że temu, kto napisał przedmowę RSV, brakowało uczciwości. Rzekome „nagromadzone błędy” były jedynie zasłoną dymną, która miała zwieść czytelnika i bronić użycia radykalnie odmiennego tekstu greckiego, tekstu zawierającego błędy rzeczowe i jawne sprzeczności, a także setki poważnych zmian. Powiedziałbym, że każdy, kto nadal wierzy zarzutom zawartym w cytacie z przedmowy RSV, w istocie przyjmuje</w:t>
      </w:r>
      <w:r>
        <w:t xml:space="preserve"> </w:t>
      </w:r>
      <w:r>
        <w:rPr>
          <w:bCs/>
          <w:b/>
        </w:rPr>
        <w:t xml:space="preserve">kaczki dziennikarskie</w:t>
      </w:r>
      <w:r>
        <w:t xml:space="preserve">.</w:t>
      </w:r>
    </w:p>
    <w:bookmarkEnd w:id="501"/>
    <w:bookmarkStart w:id="503" w:name="ocena-podstawowej-zasady"/>
    <w:p>
      <w:pPr>
        <w:pStyle w:val="Heading2"/>
      </w:pPr>
      <w:r>
        <w:t xml:space="preserve">Ocena „podstawowej zasady”</w:t>
      </w:r>
    </w:p>
    <w:p>
      <w:pPr>
        <w:pStyle w:val="FirstParagraph"/>
      </w:pPr>
      <w:r>
        <w:t xml:space="preserve">Każdy, kto studiuje krytykę tekstu Nowego Testamentu, napotka następujące stwierdzenie: podstawowa zasada krytyki tekstu brzmi: wybierz odczyt, który najlepiej wyjaśnia powstanie pozostałych (lub coś podobnego). Niewtajemniczony czytelnik prawdopodobnie nie dostrzeże, że stwierdzenie to zależy od pewnych założeń wstępnych (które mogą być błędne). Krytyka tekstu istnieje tylko w odniesieniu do tekstów, których oryginalne sformułowania uważa się za „zaginione”. Nikt nie prowadzi krytyki tekstu dzisiejszej gazety ani zeszłotygodniowego magazynu informacyjnego. Nikt nie prowadzi nawet krytyki tekstu King James Version z 1611 roku, ponieważ nadal mamy jej drukowane egzemplarze. Każdy obeznany z terenem wie, że przez ostatnich mniej więcej 140 lat świat akademicki był zdominowany przez pogląd, iż oryginalne sformułowania tekstu Nowego Testamentu rzeczywiście „zaginęły”. Pogląd ten opiera się wprost na teorii Horta. Teoria ta zaprzecza: 1) że pisma Nowego Testamentu były natchnione przez Boga, 2) że wczesny Kościół uznawał je za Pismo, 3) że otaczano je jakąkolwiek szczególną troską lub ochroną. W rezultacie, zanim przesądność i łatwowierność chrześcijan wyniosły pisma Nowego Testamentu do statusu „Pisma”, oryginalne sformułowania bezpowrotnie „zaginęły”, w tym sensie, że nikt nie wiedział, jakie były. Dlatego też, jak głosi teoria, nie można odzyskać oryginalnych sformułowań za pomocą obiektywnych kryteriów, odwołują się więc do kryteriów subiektywnych. (Dla każdego myślącego człowieka powinno być oczywiste, że stawia to krytyka ponad tekstem. Zauważ ponadto, że nie istnieje sposób, by wiedzieć, czy je znaleźli).</w:t>
      </w:r>
    </w:p>
    <w:p>
      <w:pPr>
        <w:pStyle w:val="BodyText"/>
      </w:pPr>
      <w:r>
        <w:t xml:space="preserve">Pogląd, że oryginalne sformułowania tekstu Nowego Testamentu „zaginęły”, odrzuca (albo przynajmniej ignoruje) dowody historyczne pokazujące, że przekaz pism Nowego Testamentu od początku był zasadniczo normalny. Pogląd ten odrzuca również zdecydowaną większość (90%-95%) zachowanych manuskryptów Nowego Testamentu reprezentujących tradycję bizantyjską.</w:t>
      </w:r>
      <w:r>
        <w:rPr>
          <w:rStyle w:val="FootnoteReference"/>
        </w:rPr>
        <w:footnoteReference w:id="502"/>
      </w:r>
      <w:r>
        <w:t xml:space="preserve"> </w:t>
      </w:r>
      <w:r>
        <w:t xml:space="preserve">Co pozostaje krytykom do pracy po uczynieniu tego? Pozostaje im garść stosunkowo wczesnych manuskryptów, które są tak odmienne, że nie można ich pogrupować. Nie tylko nie zgadzają się z większością, nie zgadzają się także między sobą. Przetrwały, ponieważ są tak złe, że nikt nie chciał ich używać. Nie mają ani „rodziców”, ani „dzieci”, co oznacza, że były prywatnymi wytworami, nie zaś uczciwymi kopiami, nie należą do linii przekazu.</w:t>
      </w:r>
    </w:p>
    <w:p>
      <w:pPr>
        <w:pStyle w:val="BodyText"/>
      </w:pPr>
      <w:r>
        <w:t xml:space="preserve">Co zatem robią krytycy, gdy tych kilka manuskryptów nie zgadza się między sobą? Pytają: który odczyt najlepiej wyjaśnia powstanie pozostałych? Jakich kryteriów używają, by dojść do wniosku? Zadają pytania takie jak te:</w:t>
      </w:r>
    </w:p>
    <w:p>
      <w:pPr>
        <w:numPr>
          <w:ilvl w:val="0"/>
          <w:numId w:val="1110"/>
        </w:numPr>
      </w:pPr>
      <w:r>
        <w:t xml:space="preserve">Który manuskrypt jest najstarszy?</w:t>
      </w:r>
    </w:p>
    <w:p>
      <w:pPr>
        <w:numPr>
          <w:ilvl w:val="0"/>
          <w:numId w:val="1110"/>
        </w:numPr>
      </w:pPr>
      <w:r>
        <w:t xml:space="preserve">Który manuskrypt jest „najlepszy”?</w:t>
      </w:r>
    </w:p>
    <w:p>
      <w:pPr>
        <w:numPr>
          <w:ilvl w:val="0"/>
          <w:numId w:val="1110"/>
        </w:numPr>
      </w:pPr>
      <w:r>
        <w:t xml:space="preserve">Który odczyt jest krótszy?</w:t>
      </w:r>
    </w:p>
    <w:p>
      <w:pPr>
        <w:numPr>
          <w:ilvl w:val="0"/>
          <w:numId w:val="1110"/>
        </w:numPr>
      </w:pPr>
      <w:r>
        <w:t xml:space="preserve">Który odczyt jest „trudniejszy”?</w:t>
      </w:r>
    </w:p>
    <w:p>
      <w:pPr>
        <w:numPr>
          <w:ilvl w:val="0"/>
          <w:numId w:val="1110"/>
        </w:numPr>
      </w:pPr>
      <w:r>
        <w:t xml:space="preserve">Który odczyt najlepiej zgadza się ze stylem i celem autora?</w:t>
      </w:r>
    </w:p>
    <w:p>
      <w:pPr>
        <w:pStyle w:val="FirstParagraph"/>
      </w:pPr>
      <w:r>
        <w:t xml:space="preserve">Pytanie 1) opiera się na analogii strumienia, którego woda będzie najczystsza u źródła, im większa odległość od źródła, tym więcej zanieczyszczeń będzie zawierać woda. W odniesieniu do manuskryptów Nowego Testamentu analogia ta jest jednak z pewnością fałszywa. Powszechnie uznaje się, że większość szkód poniesionych przez tekst Nowego Testamentu nastąpiła do roku 200, daty przypisywanej naszym najwcześniejszym manuskryptom o jakichkolwiek rozmiarach (P</w:t>
      </w:r>
      <w:r>
        <w:rPr>
          <w:vertAlign w:val="superscript"/>
        </w:rPr>
        <w:t xml:space="preserve">66</w:t>
      </w:r>
      <w:r>
        <w:t xml:space="preserve">). Nasze najwcześniejsze manuskrypty mogły być zatem pełne „szkód”.</w:t>
      </w:r>
    </w:p>
    <w:p>
      <w:pPr>
        <w:pStyle w:val="BodyText"/>
      </w:pPr>
      <w:r>
        <w:t xml:space="preserve">Pytanie 2): na ogół ogłaszają Kodeks B (Watykański, 03) „najlepszym” zachowanym manuskryptem. Na czym opierają swoje twierdzenie? Hort na podstawie swoich subiektywnych preferencji (łącznie z wczesną datą) ogłosił B zdecydowanie „najlepszym” manuskryptem, a późniejsi krytycy na ogół podporządkowali się temu dictum. Czy istnieje jednak jakaś obiektywna podstawa tego twierdzenia? O ile mi wiadomo, nie istnieje, dostępne obiektywne dowody mówią coś przeciwnego. (Moja ocena odnosi się także do wszystkich pozostałych wczesnych manuskryptów).</w:t>
      </w:r>
    </w:p>
    <w:p>
      <w:pPr>
        <w:pStyle w:val="BodyText"/>
      </w:pPr>
      <w:r>
        <w:t xml:space="preserve">Pytania 3) i 4) są całkowicie naturalistyczne, wykluczają jakiekolwiek rozważania teologiczne czy nadprzyrodzone. Hort przeniósł je z procedury aleksandryjskiej szkoły służącej ustaleniu oryginalnych sformułowań Homera. Każdy, kto skolacjonował jakąkolwiek liczbę manuskryptów Nowego Testamentu, jak uczyniłem to ja, wie, że kryteria te są fałszywe. W odniesieniu do Nowego Testamentu kryterium „trudniejszego” odczytu jest w oczywisty sposób przewrotne.</w:t>
      </w:r>
    </w:p>
    <w:p>
      <w:pPr>
        <w:pStyle w:val="BodyText"/>
      </w:pPr>
      <w:r>
        <w:t xml:space="preserve">Pytanie 5) jest całkowicie subiektywne, zależne od kaprysu krytyka, jego uprzedzenia, orientacji teoretycznej, osobistej przewrotności czy czegokolwiek innego. Kryterium to jest nie do przyjęcia już na pierwszy rzut oka. Dlaczego jakiemukolwiek słudze Szatana miałoby się pozwalać ustalać sformułowania Tekstu na podstawie jego osobistych preferencji?</w:t>
      </w:r>
    </w:p>
    <w:p>
      <w:pPr>
        <w:pStyle w:val="BodyText"/>
      </w:pPr>
      <w:r>
        <w:t xml:space="preserve">Każdy, kto szanuje obiektywne dowody, powinien odrzucić pięć omówionych wyżej kryteriów. Każdy, kto szanuje obiektywne dowody, powinien rozumieć, że przekaz Tekstu Nowego Testamentu był zasadniczo normalny i że masie zachowanych manuskryptów należy się należny jej szacunek. Wszystkie zachowane manuskrypty zasługują na skolacjonowanie, co pozwoli nam pogrupować je empirycznie. Empirycznie zdefiniowane rodziny trzeba następnie porównać i ocenić. Kaczka dziennikarska: „manuskrypty należy ważyć, a nie liczyć”, jest wykrętem.</w:t>
      </w:r>
    </w:p>
    <w:bookmarkEnd w:id="503"/>
    <w:bookmarkStart w:id="513" w:name="X09968b1681931da011a246d7f4596e729af125f"/>
    <w:p>
      <w:pPr>
        <w:pStyle w:val="Heading2"/>
      </w:pPr>
      <w:r>
        <w:t xml:space="preserve">Podgrupy</w:t>
      </w:r>
      <w:r>
        <w:t xml:space="preserve"> </w:t>
      </w:r>
      <w:r>
        <w:rPr>
          <w:bCs/>
          <w:b/>
        </w:rPr>
        <w:t xml:space="preserve">f</w:t>
      </w:r>
      <w:r>
        <w:rPr>
          <w:vertAlign w:val="superscript"/>
          <w:bCs/>
          <w:b/>
        </w:rPr>
        <w:t xml:space="preserve">35</w:t>
      </w:r>
      <w:r>
        <w:t xml:space="preserve"> </w:t>
      </w:r>
      <w:r>
        <w:t xml:space="preserve">w Listach Ogólnych</w:t>
      </w:r>
      <w:r>
        <w:rPr>
          <w:rStyle w:val="FootnoteReference"/>
        </w:rPr>
        <w:footnoteReference w:id="504"/>
      </w:r>
    </w:p>
    <w:p>
      <w:pPr>
        <w:pStyle w:val="BodyText"/>
      </w:pPr>
      <w:r>
        <w:t xml:space="preserve">W czterech większych księgach istnieje czternaście znaczących podziałów w Rodzinie (w trzech krótszych nie ma żadnego), jak następuje: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Miejsce</w:t>
            </w:r>
          </w:p>
        </w:tc>
        <w:tc>
          <w:tcPr/>
          <w:p>
            <w:pPr>
              <w:pStyle w:val="Compact"/>
              <w:jc w:val="left"/>
            </w:pPr>
            <w:r>
              <w:t xml:space="preserve">Odczyty</w:t>
            </w:r>
          </w:p>
        </w:tc>
      </w:tr>
      <w:tr>
        <w:tc>
          <w:tcPr/>
          <w:p>
            <w:pPr>
              <w:pStyle w:val="Compact"/>
              <w:jc w:val="left"/>
            </w:pPr>
            <w:r>
              <w:t xml:space="preserve">List Jakuba 2,13</w:t>
            </w:r>
          </w:p>
        </w:tc>
        <w:tc>
          <w:tcPr/>
          <w:p>
            <w:pPr>
              <w:pStyle w:val="Compact"/>
              <w:jc w:val="left"/>
            </w:pPr>
            <w:r>
              <w:t xml:space="preserve">ελεον 432</w:t>
            </w:r>
            <w:r>
              <w:rPr>
                <w:vertAlign w:val="superscript"/>
              </w:rPr>
              <w:t xml:space="preserve">alt</w:t>
            </w:r>
            <w:r>
              <w:t xml:space="preserve">, 1766</w:t>
            </w:r>
            <w:r>
              <w:rPr>
                <w:vertAlign w:val="superscript"/>
              </w:rPr>
              <w:t xml:space="preserve">c</w:t>
            </w:r>
            <w:r>
              <w:t xml:space="preserve">ελεος 328, 394 {432, 604}</w:t>
            </w:r>
            <w:r>
              <w:rPr>
                <w:rStyle w:val="FootnoteReference"/>
              </w:rPr>
              <w:footnoteReference w:id="505"/>
            </w:r>
            <w:r>
              <w:t xml:space="preserve"> </w:t>
            </w:r>
            <w:r>
              <w:t xml:space="preserve">634, 664, 928, 986, 1247, 1249, 1482, 1548, 1619</w:t>
            </w:r>
            <w:r>
              <w:rPr>
                <w:vertAlign w:val="superscript"/>
              </w:rPr>
              <w:t xml:space="preserve">c</w:t>
            </w:r>
            <w:r>
              <w:t xml:space="preserve">, 1636, 1725, 1732</w:t>
            </w:r>
            <w:r>
              <w:rPr>
                <w:vertAlign w:val="superscript"/>
              </w:rPr>
              <w:t xml:space="preserve">alt</w:t>
            </w:r>
            <w:r>
              <w:t xml:space="preserve">, 1749, 1752, 1766, 1897, 2080, 2221, 2289, 2587, 2704</w:t>
            </w:r>
          </w:p>
        </w:tc>
      </w:tr>
      <w:tr>
        <w:tc>
          <w:tcPr/>
          <w:p>
            <w:pPr>
              <w:pStyle w:val="Compact"/>
              <w:jc w:val="left"/>
            </w:pPr>
            <w:r>
              <w:t xml:space="preserve">List Jakuba 2,14</w:t>
            </w:r>
          </w:p>
        </w:tc>
        <w:tc>
          <w:tcPr/>
          <w:p>
            <w:pPr>
              <w:pStyle w:val="Compact"/>
              <w:jc w:val="left"/>
            </w:pPr>
            <w:r>
              <w:t xml:space="preserve">εχει</w:t>
            </w:r>
            <w:r>
              <w:t xml:space="preserve">εχη 141, 328, 386, 394, 604, 634, 664, 801, 928, 986, 1075, 1247, 1249, 1250, 1482, 1508, 1548, 1656, 1704, 1737, 1746, 1748, 1749, 1752, 1766, 1855, 1876, 1899, 2218, 2221, 2289, 2431, 2501, 2587, 2626, 2704</w:t>
            </w:r>
          </w:p>
        </w:tc>
      </w:tr>
      <w:tr>
        <w:tc>
          <w:tcPr/>
          <w:p>
            <w:pPr>
              <w:pStyle w:val="Compact"/>
              <w:jc w:val="left"/>
            </w:pPr>
            <w:r>
              <w:t xml:space="preserve">1 List Piotra 1,23</w:t>
            </w:r>
          </w:p>
        </w:tc>
        <w:tc>
          <w:tcPr/>
          <w:p>
            <w:pPr>
              <w:pStyle w:val="Compact"/>
              <w:jc w:val="left"/>
            </w:pPr>
            <w:r>
              <w:t xml:space="preserve">αλλ</w:t>
            </w:r>
            <w:r>
              <w:t xml:space="preserve">αλλα {149, 201} {432, 604} 757, 824, 1072, 1075, 1248, 1250, 1503, 1548, 1617, 1618, 1619, 1628, 1636, 1637, 1656, 1740, 1745, 1746, 1748, 1754, 1763, 1768, 1864, 1892, 2352, 2431, 2777</w:t>
            </w:r>
          </w:p>
        </w:tc>
      </w:tr>
      <w:tr>
        <w:tc>
          <w:tcPr/>
          <w:p>
            <w:pPr>
              <w:pStyle w:val="Compact"/>
              <w:jc w:val="left"/>
            </w:pPr>
            <w:r>
              <w:t xml:space="preserve">1 List Piotra 2,11</w:t>
            </w:r>
          </w:p>
        </w:tc>
        <w:tc>
          <w:tcPr/>
          <w:p>
            <w:pPr>
              <w:pStyle w:val="Compact"/>
              <w:jc w:val="left"/>
            </w:pPr>
            <w:r>
              <w:t xml:space="preserve">απεχεσθαι 1072</w:t>
            </w:r>
            <w:r>
              <w:rPr>
                <w:vertAlign w:val="superscript"/>
              </w:rPr>
              <w:t xml:space="preserve">alt</w:t>
            </w:r>
            <w:r>
              <w:t xml:space="preserve">απεχεσθε {149, 201} 204, 604</w:t>
            </w:r>
            <w:r>
              <w:rPr>
                <w:vertAlign w:val="superscript"/>
              </w:rPr>
              <w:t xml:space="preserve">c</w:t>
            </w:r>
            <w:r>
              <w:t xml:space="preserve">, 757</w:t>
            </w:r>
            <w:r>
              <w:rPr>
                <w:vertAlign w:val="superscript"/>
              </w:rPr>
              <w:t xml:space="preserve">alt</w:t>
            </w:r>
            <w:r>
              <w:t xml:space="preserve">, 824, 1072, 1248, 1503</w:t>
            </w:r>
            <w:r>
              <w:rPr>
                <w:vertAlign w:val="superscript"/>
              </w:rPr>
              <w:t xml:space="preserve">c</w:t>
            </w:r>
            <w:r>
              <w:t xml:space="preserve">, 1548, 1617, 1618, 1619</w:t>
            </w:r>
            <w:r>
              <w:rPr>
                <w:vertAlign w:val="superscript"/>
              </w:rPr>
              <w:t xml:space="preserve">alt</w:t>
            </w:r>
            <w:r>
              <w:t xml:space="preserve">, 1628</w:t>
            </w:r>
            <w:r>
              <w:rPr>
                <w:vertAlign w:val="superscript"/>
              </w:rPr>
              <w:t xml:space="preserve">alt</w:t>
            </w:r>
            <w:r>
              <w:t xml:space="preserve">, 1637</w:t>
            </w:r>
            <w:r>
              <w:rPr>
                <w:vertAlign w:val="superscript"/>
              </w:rPr>
              <w:t xml:space="preserve">c</w:t>
            </w:r>
            <w:r>
              <w:t xml:space="preserve">, 1745</w:t>
            </w:r>
            <w:r>
              <w:rPr>
                <w:vertAlign w:val="superscript"/>
              </w:rPr>
              <w:t xml:space="preserve">alt</w:t>
            </w:r>
            <w:r>
              <w:t xml:space="preserve">, 1746, 1748, 1864</w:t>
            </w:r>
            <w:r>
              <w:rPr>
                <w:vertAlign w:val="superscript"/>
              </w:rPr>
              <w:t xml:space="preserve">alt</w:t>
            </w:r>
            <w:r>
              <w:t xml:space="preserve">, 1899, 2352, 2431, 2704, 2777</w:t>
            </w:r>
          </w:p>
        </w:tc>
      </w:tr>
      <w:tr>
        <w:tc>
          <w:tcPr/>
          <w:p>
            <w:pPr>
              <w:pStyle w:val="Compact"/>
              <w:jc w:val="left"/>
            </w:pPr>
            <w:r>
              <w:t xml:space="preserve">1 List Piotra 2,24</w:t>
            </w:r>
          </w:p>
        </w:tc>
        <w:tc>
          <w:tcPr/>
          <w:p>
            <w:pPr>
              <w:pStyle w:val="Compact"/>
              <w:jc w:val="left"/>
            </w:pPr>
            <w:r>
              <w:t xml:space="preserve">απογενομενοι</w:t>
            </w:r>
            <w:r>
              <w:t xml:space="preserve">απογεννωμενοι (328)</w:t>
            </w:r>
            <w:r>
              <w:rPr>
                <w:rStyle w:val="FootnoteReference"/>
              </w:rPr>
              <w:footnoteReference w:id="506"/>
            </w:r>
            <w:r>
              <w:t xml:space="preserve"> </w:t>
            </w:r>
            <w:r>
              <w:t xml:space="preserve">394 {432 (604)} 664, 928, 986, 1247, 1249, 1482, 1508, 1548, 1752, 1763, 1766, 1768, 1855, 2289, 2587 (2704)</w:t>
            </w:r>
          </w:p>
        </w:tc>
      </w:tr>
      <w:tr>
        <w:tc>
          <w:tcPr/>
          <w:p>
            <w:pPr>
              <w:pStyle w:val="Compact"/>
              <w:jc w:val="left"/>
            </w:pPr>
            <w:r>
              <w:t xml:space="preserve">1 List Piotra 3,6</w:t>
            </w:r>
          </w:p>
        </w:tc>
        <w:tc>
          <w:tcPr/>
          <w:p>
            <w:pPr>
              <w:pStyle w:val="Compact"/>
              <w:jc w:val="left"/>
            </w:pPr>
            <w:r>
              <w:t xml:space="preserve">εγενηθητε 1766</w:t>
            </w:r>
            <w:r>
              <w:rPr>
                <w:vertAlign w:val="superscript"/>
              </w:rPr>
              <w:t xml:space="preserve">v</w:t>
            </w:r>
            <w:r>
              <w:t xml:space="preserve">εγεννηθητε 604, 664, 801, 1247, 1250, 1618, 1637, 1732, 1748, 1752, 1763, 1876, 1899, 2289, 2431, 2587, 2626, 2704, 2777</w:t>
            </w:r>
          </w:p>
        </w:tc>
      </w:tr>
      <w:tr>
        <w:tc>
          <w:tcPr/>
          <w:p>
            <w:pPr>
              <w:pStyle w:val="Compact"/>
              <w:jc w:val="left"/>
            </w:pPr>
            <w:r>
              <w:t xml:space="preserve">1 List Piotra 4,2</w:t>
            </w:r>
          </w:p>
        </w:tc>
        <w:tc>
          <w:tcPr/>
          <w:p>
            <w:pPr>
              <w:pStyle w:val="Compact"/>
              <w:jc w:val="left"/>
            </w:pPr>
            <w:r>
              <w:t xml:space="preserve">του 2261</w:t>
            </w:r>
            <w:r>
              <w:rPr>
                <w:vertAlign w:val="superscript"/>
              </w:rPr>
              <w:t xml:space="preserve">c</w:t>
            </w:r>
            <w:r>
              <w:t xml:space="preserve">--- {149, 201} {432, 604} 757, 824, 1072, 1075, 1101, 1248, 1503, 1508</w:t>
            </w:r>
            <w:r>
              <w:rPr>
                <w:vertAlign w:val="superscript"/>
              </w:rPr>
              <w:t xml:space="preserve">c</w:t>
            </w:r>
            <w:r>
              <w:t xml:space="preserve">, 1548, 1617, 1618, 1619, 1628, 1636, 1637, 1656, 1737, 1740, 1745, 1746, 1748, 1754, 1761, 1766, 1768, 1864, 1892, 1899, 2218, 2261, 2352, 2431, 2501, 2777</w:t>
            </w:r>
          </w:p>
        </w:tc>
      </w:tr>
      <w:tr>
        <w:tc>
          <w:tcPr/>
          <w:p>
            <w:pPr>
              <w:pStyle w:val="Compact"/>
              <w:jc w:val="left"/>
            </w:pPr>
            <w:r>
              <w:t xml:space="preserve">1 List Piotra 4,11</w:t>
            </w:r>
          </w:p>
        </w:tc>
        <w:tc>
          <w:tcPr/>
          <w:p>
            <w:pPr>
              <w:pStyle w:val="Compact"/>
              <w:jc w:val="left"/>
            </w:pPr>
            <w:r>
              <w:t xml:space="preserve">ως 1748</w:t>
            </w:r>
            <w:r>
              <w:rPr>
                <w:vertAlign w:val="superscript"/>
              </w:rPr>
              <w:t xml:space="preserve">?</w:t>
            </w:r>
            <w:r>
              <w:t xml:space="preserve">ης 141</w:t>
            </w:r>
            <w:r>
              <w:rPr>
                <w:vertAlign w:val="superscript"/>
              </w:rPr>
              <w:t xml:space="preserve">c</w:t>
            </w:r>
            <w:r>
              <w:t xml:space="preserve"> </w:t>
            </w:r>
            <w:r>
              <w:t xml:space="preserve">{149, 201} {432, 604} 757, 824, 1072, 1075, 1248, 1503, 1508, 1617, 1618, 1619, 1628, 1636, 1637, 1656, 1737, 1740, 1745, 1746, 1754, 1864, 1892, 2218, 2352, 2431, 2777</w:t>
            </w:r>
          </w:p>
        </w:tc>
      </w:tr>
      <w:tr>
        <w:tc>
          <w:tcPr/>
          <w:p>
            <w:pPr>
              <w:pStyle w:val="Compact"/>
              <w:jc w:val="left"/>
            </w:pPr>
            <w:r>
              <w:t xml:space="preserve">1 List Piotra 5,7</w:t>
            </w:r>
          </w:p>
        </w:tc>
        <w:tc>
          <w:tcPr/>
          <w:p>
            <w:pPr>
              <w:pStyle w:val="Compact"/>
              <w:jc w:val="left"/>
            </w:pPr>
            <w:r>
              <w:t xml:space="preserve">μελει 824</w:t>
            </w:r>
            <w:r>
              <w:rPr>
                <w:vertAlign w:val="superscript"/>
              </w:rPr>
              <w:t xml:space="preserve">c</w:t>
            </w:r>
            <w:r>
              <w:t xml:space="preserve">, 1726</w:t>
            </w:r>
            <w:r>
              <w:rPr>
                <w:vertAlign w:val="superscript"/>
              </w:rPr>
              <w:t xml:space="preserve">c</w:t>
            </w:r>
            <w:r>
              <w:t xml:space="preserve">μελλει 141 {432, 604} 801, 824, 986, 1247, 1248, 1249, 1250, 1508, 1617, 1726, 1748, 1752, 1763, 1768, 1876, 1892, 1899, 2261, 2352, 2431, 2501, 2626</w:t>
            </w:r>
          </w:p>
        </w:tc>
      </w:tr>
      <w:tr>
        <w:tc>
          <w:tcPr/>
          <w:p>
            <w:pPr>
              <w:pStyle w:val="Compact"/>
              <w:jc w:val="left"/>
            </w:pPr>
            <w:r>
              <w:t xml:space="preserve">1 List Piotra 5,8</w:t>
            </w:r>
          </w:p>
        </w:tc>
        <w:tc>
          <w:tcPr/>
          <w:p>
            <w:pPr>
              <w:pStyle w:val="Compact"/>
              <w:jc w:val="left"/>
            </w:pPr>
            <w:r>
              <w:t xml:space="preserve">καταπιειν 394</w:t>
            </w:r>
            <w:r>
              <w:rPr>
                <w:vertAlign w:val="superscript"/>
              </w:rPr>
              <w:t xml:space="preserve">c</w:t>
            </w:r>
            <w:r>
              <w:t xml:space="preserve">καταπιη 328, 394, 604, 664, 928, 986, 1075, 1247, 1249, 1482</w:t>
            </w:r>
            <w:r>
              <w:rPr>
                <w:vertAlign w:val="superscript"/>
              </w:rPr>
              <w:t xml:space="preserve">v</w:t>
            </w:r>
            <w:r>
              <w:t xml:space="preserve">, 1508, 1737, 1748, 1749, 1752, 1761, 1763, 1766, 1855, 1892</w:t>
            </w:r>
            <w:r>
              <w:rPr>
                <w:vertAlign w:val="superscript"/>
              </w:rPr>
              <w:t xml:space="preserve">c</w:t>
            </w:r>
            <w:r>
              <w:t xml:space="preserve">, 1899, 2218, 2221</w:t>
            </w:r>
            <w:r>
              <w:rPr>
                <w:vertAlign w:val="superscript"/>
              </w:rPr>
              <w:t xml:space="preserve">c</w:t>
            </w:r>
            <w:r>
              <w:t xml:space="preserve">, 2255</w:t>
            </w:r>
            <w:r>
              <w:rPr>
                <w:vertAlign w:val="superscript"/>
              </w:rPr>
              <w:t xml:space="preserve">v</w:t>
            </w:r>
            <w:r>
              <w:t xml:space="preserve">, 2289, 2431, 2587</w:t>
            </w:r>
            <w:r>
              <w:rPr>
                <w:vertAlign w:val="superscript"/>
              </w:rPr>
              <w:t xml:space="preserve">c</w:t>
            </w:r>
            <w:r>
              <w:t xml:space="preserve">, 2704</w:t>
            </w:r>
          </w:p>
        </w:tc>
      </w:tr>
      <w:tr>
        <w:tc>
          <w:tcPr/>
          <w:p>
            <w:pPr>
              <w:pStyle w:val="Compact"/>
              <w:jc w:val="left"/>
            </w:pPr>
            <w:r>
              <w:t xml:space="preserve">2 List Piotra 2,14</w:t>
            </w:r>
          </w:p>
        </w:tc>
        <w:tc>
          <w:tcPr/>
          <w:p>
            <w:pPr>
              <w:pStyle w:val="Compact"/>
              <w:jc w:val="left"/>
            </w:pPr>
            <w:r>
              <w:t xml:space="preserve">πλεονεξιας</w:t>
            </w:r>
            <w:r>
              <w:t xml:space="preserve">πλεονεξιαν 394, 664, 801, 928, 1249, 1250, 1482, 1508, 1726, 1749, 1763, 1855, 1876, 2261, 2289, 2378, 2587, 2626, 2704</w:t>
            </w:r>
            <w:r>
              <w:rPr>
                <w:vertAlign w:val="superscript"/>
              </w:rPr>
              <w:t xml:space="preserve">v</w:t>
            </w:r>
          </w:p>
        </w:tc>
      </w:tr>
      <w:tr>
        <w:tc>
          <w:tcPr/>
          <w:p>
            <w:pPr>
              <w:pStyle w:val="Compact"/>
              <w:jc w:val="left"/>
            </w:pPr>
            <w:r>
              <w:t xml:space="preserve">2 List Piotra 3,3</w:t>
            </w:r>
          </w:p>
        </w:tc>
        <w:tc>
          <w:tcPr/>
          <w:p>
            <w:pPr>
              <w:pStyle w:val="Compact"/>
              <w:jc w:val="left"/>
            </w:pPr>
            <w:r>
              <w:t xml:space="preserve">γινωσκοντες</w:t>
            </w:r>
            <w:r>
              <w:t xml:space="preserve">γινωσκοντας 328, 394, 664, 928, 1247, 1249, 1482, 1508, 1749, 1752, 1855, 2255, 2289, 2587, 2704</w:t>
            </w:r>
          </w:p>
        </w:tc>
      </w:tr>
      <w:tr>
        <w:tc>
          <w:tcPr/>
          <w:p>
            <w:pPr>
              <w:pStyle w:val="Compact"/>
              <w:jc w:val="left"/>
            </w:pPr>
            <w:r>
              <w:t xml:space="preserve">1 List Jana 1,6</w:t>
            </w:r>
          </w:p>
        </w:tc>
        <w:tc>
          <w:tcPr/>
          <w:p>
            <w:pPr>
              <w:pStyle w:val="Compact"/>
              <w:jc w:val="left"/>
            </w:pPr>
            <w:r>
              <w:t xml:space="preserve">περιπατουμεν 18, 35, 141, 204, 386, 801, 824, 1100, 1101, 1250, 1636, 1704, 1725, 1726, 1732, 1733, 1754, 1761, 1858, 1865, 1876, 1897, 2080, 2221, 2261 [2378] 2466, 2554, 2626, 2723</w:t>
            </w:r>
            <w:r>
              <w:rPr>
                <w:rStyle w:val="FootnoteReference"/>
              </w:rPr>
              <w:footnoteReference w:id="507"/>
            </w:r>
            <w:r>
              <w:t xml:space="preserve">περιπατωμεν {149, 201} 328, 394 {432, 604} 634 (664) 757, 928, 986, 1072, 1075, 1247, 1248, 1249, 1482, 1503, 1508, 1548, 1617, 1618, 1619, 1628, 1637, 1656, 1737, 1740, 1745, 1748, 1749, 1752, 1763, 1766, 1768, 1855, 1864, 1892, 2218, 2255, 2289, 2352, 2431, 2501, 2587, 2704, 2777</w:t>
            </w:r>
          </w:p>
        </w:tc>
      </w:tr>
      <w:tr>
        <w:tc>
          <w:tcPr/>
          <w:p>
            <w:pPr>
              <w:pStyle w:val="Compact"/>
              <w:jc w:val="left"/>
            </w:pPr>
            <w:r>
              <w:t xml:space="preserve">1 List Jana 4,20</w:t>
            </w:r>
          </w:p>
        </w:tc>
        <w:tc>
          <w:tcPr/>
          <w:p>
            <w:pPr>
              <w:pStyle w:val="Compact"/>
              <w:jc w:val="left"/>
            </w:pPr>
            <w:r>
              <w:t xml:space="preserve">μισει</w:t>
            </w:r>
            <w:r>
              <w:t xml:space="preserve">μιση 328, 386, 394, 604, 634, 928, 1247, 1249, 1482, 1508, 1548, 1704, 1749, 1752, 1763, 1766, 1855, 2255, 2289, 2587, 2704</w:t>
            </w:r>
          </w:p>
        </w:tc>
      </w:tr>
    </w:tbl>
    <w:bookmarkStart w:id="512" w:name="X32f55039a9581ace38a35ae0ace4b9a1f9a6d41"/>
    <w:p>
      <w:pPr>
        <w:pStyle w:val="Heading3"/>
      </w:pPr>
      <w:r>
        <w:t xml:space="preserve">Dzielą się na dwie znaczące podgrupy, jak następuje</w:t>
      </w:r>
    </w:p>
    <w:bookmarkStart w:id="508" w:name="grupa-1"/>
    <w:p>
      <w:pPr>
        <w:pStyle w:val="Heading4"/>
      </w:pPr>
      <w:r>
        <w:t xml:space="preserve">Grupa 1</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Vatopediu</w:t>
            </w:r>
          </w:p>
        </w:tc>
        <w:tc>
          <w:tcPr/>
          <w:p>
            <w:pPr>
              <w:pStyle w:val="Compact"/>
              <w:jc w:val="left"/>
            </w:pPr>
            <w:r>
              <w:t xml:space="preserve">XII</w:t>
            </w:r>
          </w:p>
        </w:tc>
      </w:tr>
      <w:tr>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Vallicelliana</w:t>
            </w:r>
          </w:p>
        </w:tc>
        <w:tc>
          <w:tcPr/>
          <w:p>
            <w:pPr>
              <w:pStyle w:val="Compact"/>
              <w:jc w:val="left"/>
            </w:pPr>
            <w:r>
              <w:t xml:space="preserve">1330</w:t>
            </w:r>
          </w:p>
        </w:tc>
      </w:tr>
      <w:tr>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w:t>
            </w:r>
          </w:p>
        </w:tc>
        <w:tc>
          <w:tcPr/>
          <w:p>
            <w:pPr>
              <w:pStyle w:val="Compact"/>
              <w:jc w:val="left"/>
            </w:pPr>
            <w:r>
              <w:t xml:space="preserve">Zittau</w:t>
            </w:r>
          </w:p>
        </w:tc>
        <w:tc>
          <w:tcPr/>
          <w:p>
            <w:pPr>
              <w:pStyle w:val="Compact"/>
              <w:jc w:val="left"/>
            </w:pPr>
            <w:r>
              <w:t xml:space="preserve">XV</w:t>
            </w:r>
          </w:p>
        </w:tc>
      </w:tr>
      <w:tr>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Dionysiu</w:t>
            </w:r>
          </w:p>
        </w:tc>
        <w:tc>
          <w:tcPr/>
          <w:p>
            <w:pPr>
              <w:pStyle w:val="Compact"/>
              <w:jc w:val="left"/>
            </w:pPr>
            <w:r>
              <w:t xml:space="preserve">1304</w:t>
            </w:r>
          </w:p>
        </w:tc>
      </w:tr>
      <w:tr>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Synaj</w:t>
            </w:r>
          </w:p>
        </w:tc>
        <w:tc>
          <w:tcPr/>
          <w:p>
            <w:pPr>
              <w:pStyle w:val="Compact"/>
              <w:jc w:val="left"/>
            </w:pPr>
            <w:r>
              <w:t xml:space="preserve">1324</w:t>
            </w:r>
          </w:p>
        </w:tc>
      </w:tr>
      <w:tr>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M Lavras</w:t>
            </w:r>
          </w:p>
        </w:tc>
        <w:tc>
          <w:tcPr/>
          <w:p>
            <w:pPr>
              <w:pStyle w:val="Compact"/>
              <w:jc w:val="left"/>
            </w:pPr>
            <w:r>
              <w:t xml:space="preserve">1304</w:t>
            </w:r>
          </w:p>
        </w:tc>
      </w:tr>
      <w:tr>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Watykan</w:t>
            </w:r>
          </w:p>
        </w:tc>
        <w:tc>
          <w:tcPr/>
          <w:p>
            <w:pPr>
              <w:pStyle w:val="Compact"/>
              <w:jc w:val="left"/>
            </w:pPr>
            <w:r>
              <w:t xml:space="preserve">XI</w:t>
            </w:r>
          </w:p>
        </w:tc>
      </w:tr>
      <w:tr>
        <w:tc>
          <w:tcPr/>
          <w:p>
            <w:pPr>
              <w:pStyle w:val="Compact"/>
              <w:jc w:val="left"/>
            </w:pPr>
            <w:r>
              <w:t xml:space="preserve">328</w:t>
            </w:r>
          </w:p>
        </w:tc>
        <w:tc>
          <w:tcPr/>
          <w:p>
            <w:pPr>
              <w:pStyle w:val="Compact"/>
              <w:jc w:val="left"/>
            </w:pPr>
            <w:r>
              <w:t xml:space="preserve">328</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328</w:t>
            </w:r>
          </w:p>
        </w:tc>
        <w:tc>
          <w:tcPr/>
          <w:p>
            <w:pPr>
              <w:pStyle w:val="Compact"/>
              <w:jc w:val="left"/>
            </w:pPr>
            <w:r>
              <w:t xml:space="preserve">Lejda</w:t>
            </w:r>
          </w:p>
        </w:tc>
        <w:tc>
          <w:tcPr/>
          <w:p>
            <w:pPr>
              <w:pStyle w:val="Compact"/>
              <w:jc w:val="left"/>
            </w:pPr>
            <w:r>
              <w:t xml:space="preserve">XIII</w:t>
            </w:r>
          </w:p>
        </w:tc>
      </w:tr>
      <w:tr>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w:t>
            </w:r>
          </w:p>
        </w:tc>
        <w:tc>
          <w:tcPr/>
          <w:p>
            <w:pPr>
              <w:pStyle w:val="Compact"/>
              <w:jc w:val="left"/>
            </w:pPr>
            <w:r>
              <w:t xml:space="preserve">---</w:t>
            </w:r>
          </w:p>
        </w:tc>
        <w:tc>
          <w:tcPr/>
          <w:p>
            <w:pPr>
              <w:pStyle w:val="Compact"/>
              <w:jc w:val="left"/>
            </w:pPr>
            <w:r>
              <w:t xml:space="preserve">604</w:t>
            </w:r>
          </w:p>
        </w:tc>
        <w:tc>
          <w:tcPr/>
          <w:p>
            <w:pPr>
              <w:pStyle w:val="Compact"/>
              <w:jc w:val="left"/>
            </w:pPr>
            <w:r>
              <w:t xml:space="preserve">Paryż</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1749</w:t>
            </w:r>
          </w:p>
        </w:tc>
        <w:tc>
          <w:tcPr/>
          <w:p>
            <w:pPr>
              <w:pStyle w:val="Compact"/>
              <w:jc w:val="left"/>
            </w:pPr>
            <w:r>
              <w:t xml:space="preserve">1749</w:t>
            </w:r>
          </w:p>
        </w:tc>
        <w:tc>
          <w:tcPr/>
          <w:p>
            <w:pPr>
              <w:pStyle w:val="Compact"/>
              <w:jc w:val="left"/>
            </w:pPr>
            <w:r>
              <w:t xml:space="preserve">---</w:t>
            </w:r>
          </w:p>
        </w:tc>
        <w:tc>
          <w:tcPr/>
          <w:p>
            <w:pPr>
              <w:pStyle w:val="Compact"/>
              <w:jc w:val="left"/>
            </w:pPr>
            <w:r>
              <w:t xml:space="preserve">---</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M Lavras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Iviron</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1766</w:t>
            </w:r>
          </w:p>
        </w:tc>
        <w:tc>
          <w:tcPr/>
          <w:p>
            <w:pPr>
              <w:pStyle w:val="Compact"/>
              <w:jc w:val="left"/>
            </w:pPr>
            <w:r>
              <w:t xml:space="preserve">1766</w:t>
            </w:r>
          </w:p>
        </w:tc>
        <w:tc>
          <w:tcPr/>
          <w:p>
            <w:pPr>
              <w:pStyle w:val="Compact"/>
              <w:jc w:val="left"/>
            </w:pPr>
            <w:r>
              <w:t xml:space="preserve">1766</w:t>
            </w:r>
          </w:p>
        </w:tc>
        <w:tc>
          <w:tcPr/>
          <w:p>
            <w:pPr>
              <w:pStyle w:val="Compact"/>
              <w:jc w:val="left"/>
            </w:pPr>
            <w:r>
              <w:t xml:space="preserve">---</w:t>
            </w:r>
          </w:p>
        </w:tc>
        <w:tc>
          <w:tcPr/>
          <w:p>
            <w:pPr>
              <w:pStyle w:val="Compact"/>
              <w:jc w:val="left"/>
            </w:pPr>
            <w:r>
              <w:t xml:space="preserve">1766</w:t>
            </w:r>
          </w:p>
        </w:tc>
        <w:tc>
          <w:tcPr/>
          <w:p>
            <w:pPr>
              <w:pStyle w:val="Compact"/>
              <w:jc w:val="left"/>
            </w:pPr>
            <w:r>
              <w:t xml:space="preserve">---</w:t>
            </w:r>
          </w:p>
        </w:tc>
        <w:tc>
          <w:tcPr/>
          <w:p>
            <w:pPr>
              <w:pStyle w:val="Compact"/>
              <w:jc w:val="left"/>
            </w:pPr>
            <w:r>
              <w:t xml:space="preserve">---</w:t>
            </w:r>
          </w:p>
        </w:tc>
        <w:tc>
          <w:tcPr/>
          <w:p>
            <w:pPr>
              <w:pStyle w:val="Compact"/>
              <w:jc w:val="left"/>
            </w:pPr>
            <w:r>
              <w:t xml:space="preserve">1766</w:t>
            </w:r>
          </w:p>
        </w:tc>
        <w:tc>
          <w:tcPr/>
          <w:p>
            <w:pPr>
              <w:pStyle w:val="Compact"/>
              <w:jc w:val="left"/>
            </w:pPr>
            <w:r>
              <w:t xml:space="preserve">Sofia</w:t>
            </w:r>
          </w:p>
        </w:tc>
        <w:tc>
          <w:tcPr/>
          <w:p>
            <w:pPr>
              <w:pStyle w:val="Compact"/>
              <w:jc w:val="left"/>
            </w:pPr>
            <w:r>
              <w:t xml:space="preserve">1344</w:t>
            </w:r>
          </w:p>
        </w:tc>
      </w:tr>
    </w:tbl>
    <w:p>
      <w:pPr>
        <w:pStyle w:val="BodyText"/>
      </w:pPr>
      <w:r>
        <w:t xml:space="preserve">Uważam, że tych siedemnaście manuskryptów reprezentuje znaczącą podgrupę występującą we wszystkich czterech większych księgach. Zauważ, że rozmieszczenie geograficzne jest ograniczone, brakuje Konstantynopola, Jerozolimy, Patmos, Trikali oraz siedmiu spośród dziesięciu klasztorów na górze Athos (które sprawdziłem) (spośród dwudziestu manuskryptów M Lavras są tu tylko trzy). Prawdopodobieństwo, że grupa ta mogłaby reprezentować archetyp, jest znikome. Dodaję teraz „maruderów”, aby uzupełnić obraz każdego wariantu.</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986</w:t>
            </w:r>
          </w:p>
        </w:tc>
        <w:tc>
          <w:tcPr/>
          <w:p>
            <w:pPr>
              <w:pStyle w:val="Compact"/>
              <w:jc w:val="left"/>
            </w:pPr>
            <w:r>
              <w:t xml:space="preserve">986</w:t>
            </w:r>
          </w:p>
        </w:tc>
        <w:tc>
          <w:tcPr/>
          <w:p>
            <w:pPr>
              <w:pStyle w:val="Compact"/>
              <w:jc w:val="left"/>
            </w:pPr>
            <w:r>
              <w:t xml:space="preserve">986</w:t>
            </w:r>
          </w:p>
        </w:tc>
        <w:tc>
          <w:tcPr/>
          <w:p>
            <w:pPr>
              <w:pStyle w:val="Compact"/>
              <w:jc w:val="left"/>
            </w:pPr>
            <w:r>
              <w:t xml:space="preserve">---</w:t>
            </w:r>
          </w:p>
        </w:tc>
        <w:tc>
          <w:tcPr/>
          <w:p>
            <w:pPr>
              <w:pStyle w:val="Compact"/>
              <w:jc w:val="left"/>
            </w:pPr>
            <w:r>
              <w:t xml:space="preserve">986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Esfigmenu</w:t>
            </w:r>
          </w:p>
        </w:tc>
        <w:tc>
          <w:tcPr/>
          <w:p>
            <w:pPr>
              <w:pStyle w:val="Compact"/>
              <w:jc w:val="left"/>
            </w:pPr>
            <w:r>
              <w:t xml:space="preserve">XIV</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1548</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634</w:t>
            </w:r>
          </w:p>
        </w:tc>
        <w:tc>
          <w:tcPr/>
          <w:p>
            <w:pPr>
              <w:pStyle w:val="Compact"/>
              <w:jc w:val="left"/>
            </w:pPr>
            <w:r>
              <w:t xml:space="preserve">634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634</w:t>
            </w:r>
          </w:p>
        </w:tc>
        <w:tc>
          <w:tcPr/>
          <w:p>
            <w:pPr>
              <w:pStyle w:val="Compact"/>
              <w:jc w:val="left"/>
            </w:pPr>
            <w:r>
              <w:t xml:space="preserve">Watykan</w:t>
            </w:r>
          </w:p>
        </w:tc>
        <w:tc>
          <w:tcPr/>
          <w:p>
            <w:pPr>
              <w:pStyle w:val="Compact"/>
              <w:jc w:val="left"/>
            </w:pPr>
            <w:r>
              <w:t xml:space="preserve">1394</w:t>
            </w:r>
          </w:p>
        </w:tc>
      </w:tr>
      <w:tr>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Patmos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2255</w:t>
            </w:r>
          </w:p>
        </w:tc>
        <w:tc>
          <w:tcPr/>
          <w:p>
            <w:pPr>
              <w:pStyle w:val="Compact"/>
              <w:jc w:val="left"/>
            </w:pPr>
            <w:r>
              <w:t xml:space="preserve">---</w:t>
            </w:r>
          </w:p>
        </w:tc>
        <w:tc>
          <w:tcPr/>
          <w:p>
            <w:pPr>
              <w:pStyle w:val="Compact"/>
              <w:jc w:val="left"/>
            </w:pPr>
            <w:r>
              <w:t xml:space="preserve">2255</w:t>
            </w:r>
          </w:p>
        </w:tc>
        <w:tc>
          <w:tcPr/>
          <w:p>
            <w:pPr>
              <w:pStyle w:val="Compact"/>
              <w:jc w:val="left"/>
            </w:pPr>
            <w:r>
              <w:t xml:space="preserve">2255</w:t>
            </w:r>
          </w:p>
        </w:tc>
        <w:tc>
          <w:tcPr/>
          <w:p>
            <w:pPr>
              <w:pStyle w:val="Compact"/>
              <w:jc w:val="left"/>
            </w:pPr>
            <w:r>
              <w:t xml:space="preserve">Iviron</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2431</w:t>
            </w:r>
          </w:p>
        </w:tc>
        <w:tc>
          <w:tcPr/>
          <w:p>
            <w:pPr>
              <w:pStyle w:val="Compact"/>
              <w:jc w:val="left"/>
            </w:pPr>
            <w:r>
              <w:t xml:space="preserve">---</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w:t>
            </w:r>
          </w:p>
        </w:tc>
        <w:tc>
          <w:tcPr/>
          <w:p>
            <w:pPr>
              <w:pStyle w:val="Compact"/>
              <w:jc w:val="left"/>
            </w:pPr>
            <w:r>
              <w:t xml:space="preserve">Ochryda</w:t>
            </w:r>
          </w:p>
        </w:tc>
        <w:tc>
          <w:tcPr/>
          <w:p>
            <w:pPr>
              <w:pStyle w:val="Compact"/>
              <w:jc w:val="left"/>
            </w:pPr>
            <w:r>
              <w:t xml:space="preserve">XIV</w:t>
            </w:r>
          </w:p>
        </w:tc>
      </w:tr>
    </w:tbl>
    <w:p>
      <w:pPr>
        <w:pStyle w:val="BodyText"/>
      </w:pPr>
      <w:r>
        <w:t xml:space="preserve">Manuskrypty 801, 1250, 1876 i 2626 mogły z powodzeniem podlegać wspólnemu wpływowi.</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w:t>
            </w:r>
          </w:p>
        </w:tc>
        <w:tc>
          <w:tcPr/>
          <w:p>
            <w:pPr>
              <w:pStyle w:val="Compact"/>
              <w:jc w:val="left"/>
            </w:pPr>
            <w:r>
              <w:t xml:space="preserve">386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386</w:t>
            </w:r>
          </w:p>
        </w:tc>
        <w:tc>
          <w:tcPr/>
          <w:p>
            <w:pPr>
              <w:pStyle w:val="Compact"/>
              <w:jc w:val="left"/>
            </w:pPr>
            <w:r>
              <w:t xml:space="preserve">Watykan</w:t>
            </w:r>
          </w:p>
        </w:tc>
        <w:tc>
          <w:tcPr/>
          <w:p>
            <w:pPr>
              <w:pStyle w:val="Compact"/>
              <w:jc w:val="left"/>
            </w:pPr>
            <w:r>
              <w:t xml:space="preserve">XIV</w:t>
            </w:r>
          </w:p>
        </w:tc>
      </w:tr>
      <w:tr>
        <w:tc>
          <w:tcPr/>
          <w:p>
            <w:pPr>
              <w:pStyle w:val="Compact"/>
              <w:jc w:val="left"/>
            </w:pPr>
            <w:r>
              <w:t xml:space="preserve">432</w:t>
            </w:r>
          </w:p>
        </w:tc>
        <w:tc>
          <w:tcPr/>
          <w:p>
            <w:pPr>
              <w:pStyle w:val="Compact"/>
              <w:jc w:val="left"/>
            </w:pPr>
            <w:r>
              <w:t xml:space="preserve">---</w:t>
            </w:r>
          </w:p>
        </w:tc>
        <w:tc>
          <w:tcPr/>
          <w:p>
            <w:pPr>
              <w:pStyle w:val="Compact"/>
              <w:jc w:val="left"/>
            </w:pPr>
            <w:r>
              <w:t xml:space="preserve">432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Watykan</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1704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1704</w:t>
            </w:r>
          </w:p>
        </w:tc>
        <w:tc>
          <w:tcPr/>
          <w:p>
            <w:pPr>
              <w:pStyle w:val="Compact"/>
              <w:jc w:val="left"/>
            </w:pPr>
            <w:r>
              <w:t xml:space="preserve">Kutlumusiu</w:t>
            </w:r>
          </w:p>
        </w:tc>
        <w:tc>
          <w:tcPr/>
          <w:p>
            <w:pPr>
              <w:pStyle w:val="Compact"/>
              <w:jc w:val="left"/>
            </w:pPr>
            <w:r>
              <w:t xml:space="preserve">1541</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2221</w:t>
            </w:r>
          </w:p>
        </w:tc>
        <w:tc>
          <w:tcPr/>
          <w:p>
            <w:pPr>
              <w:pStyle w:val="Compact"/>
              <w:jc w:val="left"/>
            </w:pPr>
            <w:r>
              <w:t xml:space="preserve">2221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Sparta</w:t>
            </w:r>
          </w:p>
        </w:tc>
        <w:tc>
          <w:tcPr/>
          <w:p>
            <w:pPr>
              <w:pStyle w:val="Compact"/>
              <w:jc w:val="left"/>
            </w:pPr>
            <w:r>
              <w:t xml:space="preserve">1432</w:t>
            </w:r>
          </w:p>
        </w:tc>
      </w:tr>
    </w:tbl>
    <w:p>
      <w:pPr>
        <w:pStyle w:val="BodyText"/>
      </w:pPr>
      <w:r>
        <w:t xml:space="preserve">Do nich należy dodać następujące „samotne” przypadki: dla Listu Jakuba 2,13 dodać 1636, 1725, 1897, 2080, dla Listu Jakuba 2,14 dodać 141, 1656, 1746, 2501, dla 1 Listu Piotra 2,24 dodać 1768, dla 1 Listu Piotra 3,6 dodać 1618, 1637, 1732, 2777, dla 1 Listu Piotra 5,8 dodać 1761, dla 2 Listu Piotra 2,14 dodać 1726, 2261, 2378, dla 2 Listu Piotra 3,3 i 1 Listu Jana 4,20 nie ma żadnych.</w:t>
      </w:r>
    </w:p>
    <w:p>
      <w:pPr>
        <w:pStyle w:val="BodyText"/>
      </w:pPr>
      <w:r>
        <w:t xml:space="preserve">Komentarz: εχη w Liście Jakuba 2,14 jest poświadczone przez 36 manuskryptów, ponad 40% Rodziny. Poza tym, że dittografia jest łatwą możliwością, nacisk μη mógł sprawić, że niektórzy kopiści wstawili tryb łączący, być może bez zastanowienia, odwrotna zmiana byłaby przypuszczalnie celowa. W kontekście tryb oznajmujący jest poprawny, Jakub stwierdza fakt, dana osoba nie ma uczynków.</w:t>
      </w:r>
    </w:p>
    <w:bookmarkEnd w:id="508"/>
    <w:bookmarkStart w:id="511" w:name="grupa-2"/>
    <w:p>
      <w:pPr>
        <w:pStyle w:val="Heading4"/>
      </w:pPr>
      <w:r>
        <w:t xml:space="preserve">Grupa 2</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824</w:t>
            </w:r>
          </w:p>
        </w:tc>
        <w:tc>
          <w:tcPr/>
          <w:p>
            <w:pPr>
              <w:pStyle w:val="Compact"/>
              <w:jc w:val="left"/>
            </w:pPr>
            <w:r>
              <w:t xml:space="preserve">824</w:t>
            </w:r>
          </w:p>
        </w:tc>
        <w:tc>
          <w:tcPr/>
          <w:p>
            <w:pPr>
              <w:pStyle w:val="Compact"/>
              <w:jc w:val="left"/>
            </w:pPr>
            <w:r>
              <w:t xml:space="preserve">---</w:t>
            </w:r>
          </w:p>
        </w:tc>
        <w:tc>
          <w:tcPr/>
          <w:p>
            <w:pPr>
              <w:pStyle w:val="Compact"/>
              <w:jc w:val="left"/>
            </w:pPr>
            <w:r>
              <w:t xml:space="preserve">824</w:t>
            </w:r>
          </w:p>
        </w:tc>
        <w:tc>
          <w:tcPr/>
          <w:p>
            <w:pPr>
              <w:pStyle w:val="Compact"/>
              <w:jc w:val="left"/>
            </w:pPr>
            <w:r>
              <w:t xml:space="preserve">824</w:t>
            </w:r>
          </w:p>
        </w:tc>
        <w:tc>
          <w:tcPr/>
          <w:p>
            <w:pPr>
              <w:pStyle w:val="Compact"/>
              <w:jc w:val="left"/>
            </w:pPr>
            <w:r>
              <w:t xml:space="preserve">824</w:t>
            </w:r>
          </w:p>
        </w:tc>
        <w:tc>
          <w:tcPr/>
          <w:p>
            <w:pPr>
              <w:pStyle w:val="Compact"/>
              <w:jc w:val="left"/>
            </w:pPr>
            <w:r>
              <w:t xml:space="preserve">Grottaferrata</w:t>
            </w:r>
          </w:p>
        </w:tc>
        <w:tc>
          <w:tcPr/>
          <w:p>
            <w:pPr>
              <w:pStyle w:val="Compact"/>
              <w:jc w:val="left"/>
            </w:pPr>
            <w:r>
              <w:t xml:space="preserve">XIV</w:t>
            </w:r>
          </w:p>
        </w:tc>
      </w:tr>
      <w:tr>
        <w:tc>
          <w:tcPr/>
          <w:p>
            <w:pPr>
              <w:pStyle w:val="Compact"/>
              <w:jc w:val="left"/>
            </w:pPr>
            <w:r>
              <w:t xml:space="preserve">1248</w:t>
            </w:r>
          </w:p>
        </w:tc>
        <w:tc>
          <w:tcPr/>
          <w:p>
            <w:pPr>
              <w:pStyle w:val="Compact"/>
              <w:jc w:val="left"/>
            </w:pPr>
            <w:r>
              <w:t xml:space="preserve">1248</w:t>
            </w:r>
          </w:p>
        </w:tc>
        <w:tc>
          <w:tcPr/>
          <w:p>
            <w:pPr>
              <w:pStyle w:val="Compact"/>
              <w:jc w:val="left"/>
            </w:pPr>
            <w:r>
              <w:t xml:space="preserve">---</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Synaj</w:t>
            </w:r>
          </w:p>
        </w:tc>
        <w:tc>
          <w:tcPr/>
          <w:p>
            <w:pPr>
              <w:pStyle w:val="Compact"/>
              <w:jc w:val="left"/>
            </w:pPr>
            <w:r>
              <w:t xml:space="preserve">XIV</w:t>
            </w:r>
          </w:p>
        </w:tc>
      </w:tr>
      <w:tr>
        <w:tc>
          <w:tcPr/>
          <w:p>
            <w:pPr>
              <w:pStyle w:val="Compact"/>
              <w:jc w:val="left"/>
            </w:pPr>
            <w:r>
              <w:t xml:space="preserve">1617</w:t>
            </w:r>
          </w:p>
        </w:tc>
        <w:tc>
          <w:tcPr/>
          <w:p>
            <w:pPr>
              <w:pStyle w:val="Compact"/>
              <w:jc w:val="left"/>
            </w:pPr>
            <w:r>
              <w:t xml:space="preserve">1617</w:t>
            </w:r>
          </w:p>
        </w:tc>
        <w:tc>
          <w:tcPr/>
          <w:p>
            <w:pPr>
              <w:pStyle w:val="Compact"/>
              <w:jc w:val="left"/>
            </w:pPr>
            <w:r>
              <w:t xml:space="preserve">---</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2352</w:t>
            </w:r>
          </w:p>
        </w:tc>
        <w:tc>
          <w:tcPr/>
          <w:p>
            <w:pPr>
              <w:pStyle w:val="Compact"/>
              <w:jc w:val="left"/>
            </w:pPr>
            <w:r>
              <w:t xml:space="preserve">2352</w:t>
            </w:r>
          </w:p>
        </w:tc>
        <w:tc>
          <w:tcPr/>
          <w:p>
            <w:pPr>
              <w:pStyle w:val="Compact"/>
              <w:jc w:val="left"/>
            </w:pPr>
            <w:r>
              <w:t xml:space="preserve">---</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Watykan/Londyn</w:t>
            </w:r>
          </w:p>
        </w:tc>
        <w:tc>
          <w:tcPr/>
          <w:p>
            <w:pPr>
              <w:pStyle w:val="Compact"/>
              <w:jc w:val="left"/>
            </w:pPr>
            <w:r>
              <w:t xml:space="preserve">XV/1357</w:t>
            </w:r>
          </w:p>
        </w:tc>
      </w:tr>
      <w:tr>
        <w:tc>
          <w:tcPr/>
          <w:p>
            <w:pPr>
              <w:pStyle w:val="Compact"/>
              <w:jc w:val="left"/>
            </w:pPr>
            <w:r>
              <w:t xml:space="preserve">432-604</w:t>
            </w:r>
          </w:p>
        </w:tc>
        <w:tc>
          <w:tcPr/>
          <w:p>
            <w:pPr>
              <w:pStyle w:val="Compact"/>
              <w:jc w:val="left"/>
            </w:pPr>
            <w:r>
              <w:t xml:space="preserve">---</w:t>
            </w:r>
          </w:p>
        </w:tc>
        <w:tc>
          <w:tcPr/>
          <w:p>
            <w:pPr>
              <w:pStyle w:val="Compact"/>
              <w:jc w:val="left"/>
            </w:pPr>
            <w:r>
              <w:t xml:space="preserve">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Watykan/Paryż</w:t>
            </w:r>
          </w:p>
        </w:tc>
        <w:tc>
          <w:tcPr/>
          <w:p>
            <w:pPr>
              <w:pStyle w:val="Compact"/>
              <w:jc w:val="left"/>
            </w:pPr>
            <w:r>
              <w:t xml:space="preserve">XV/XIV</w:t>
            </w:r>
          </w:p>
        </w:tc>
      </w:tr>
      <w:tr>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XIII</w:t>
            </w:r>
          </w:p>
        </w:tc>
      </w:tr>
      <w:tr>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1892</w:t>
            </w:r>
          </w:p>
        </w:tc>
        <w:tc>
          <w:tcPr/>
          <w:p>
            <w:pPr>
              <w:pStyle w:val="Compact"/>
              <w:jc w:val="left"/>
            </w:pPr>
            <w:r>
              <w:t xml:space="preserve">---</w:t>
            </w:r>
          </w:p>
        </w:tc>
        <w:tc>
          <w:tcPr/>
          <w:p>
            <w:pPr>
              <w:pStyle w:val="Compact"/>
              <w:jc w:val="left"/>
            </w:pPr>
            <w:r>
              <w:t xml:space="preserve">---</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Jerozolima</w:t>
            </w:r>
          </w:p>
        </w:tc>
        <w:tc>
          <w:tcPr/>
          <w:p>
            <w:pPr>
              <w:pStyle w:val="Compact"/>
              <w:jc w:val="left"/>
            </w:pPr>
            <w:r>
              <w:t xml:space="preserve">XIV</w:t>
            </w:r>
          </w:p>
        </w:tc>
      </w:tr>
      <w:tr>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w:t>
            </w:r>
          </w:p>
        </w:tc>
        <w:tc>
          <w:tcPr/>
          <w:p>
            <w:pPr>
              <w:pStyle w:val="Compact"/>
              <w:jc w:val="left"/>
            </w:pPr>
            <w:r>
              <w:t xml:space="preserve">Karditsa</w:t>
            </w:r>
          </w:p>
        </w:tc>
        <w:tc>
          <w:tcPr/>
          <w:p>
            <w:pPr>
              <w:pStyle w:val="Compact"/>
              <w:jc w:val="left"/>
            </w:pPr>
            <w:r>
              <w:t xml:space="preserve">XIV</w:t>
            </w:r>
          </w:p>
        </w:tc>
      </w:tr>
    </w:tbl>
    <w:p>
      <w:pPr>
        <w:pStyle w:val="BodyText"/>
      </w:pPr>
      <w:r>
        <w:t xml:space="preserve">Uważam, że tych trzynaście manuskryptów reprezentuje znaczącą podgrupę, poprzedzoną przez kolejnych dwanaście poniżej, które opuściły „drzewo” w położonym wyżej węźle.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757</w:t>
            </w:r>
          </w:p>
        </w:tc>
        <w:tc>
          <w:tcPr/>
          <w:p>
            <w:pPr>
              <w:pStyle w:val="Compact"/>
              <w:jc w:val="left"/>
            </w:pPr>
            <w:r>
              <w:t xml:space="preserve">---</w:t>
            </w:r>
          </w:p>
        </w:tc>
        <w:tc>
          <w:tcPr/>
          <w:p>
            <w:pPr>
              <w:pStyle w:val="Compact"/>
              <w:jc w:val="left"/>
            </w:pPr>
            <w:r>
              <w:t xml:space="preserve">---</w:t>
            </w:r>
          </w:p>
        </w:tc>
        <w:tc>
          <w:tcPr/>
          <w:p>
            <w:pPr>
              <w:pStyle w:val="Compact"/>
              <w:jc w:val="left"/>
            </w:pPr>
            <w:r>
              <w:t xml:space="preserve">757</w:t>
            </w:r>
          </w:p>
        </w:tc>
        <w:tc>
          <w:tcPr/>
          <w:p>
            <w:pPr>
              <w:pStyle w:val="Compact"/>
              <w:jc w:val="left"/>
            </w:pPr>
            <w:r>
              <w:t xml:space="preserve">757</w:t>
            </w:r>
          </w:p>
        </w:tc>
        <w:tc>
          <w:tcPr/>
          <w:p>
            <w:pPr>
              <w:pStyle w:val="Compact"/>
              <w:jc w:val="left"/>
            </w:pPr>
            <w:r>
              <w:t xml:space="preserve">---</w:t>
            </w:r>
          </w:p>
        </w:tc>
        <w:tc>
          <w:tcPr/>
          <w:p>
            <w:pPr>
              <w:pStyle w:val="Compact"/>
              <w:jc w:val="left"/>
            </w:pPr>
            <w:r>
              <w:t xml:space="preserve">Ateny</w:t>
            </w:r>
          </w:p>
        </w:tc>
        <w:tc>
          <w:tcPr/>
          <w:p>
            <w:pPr>
              <w:pStyle w:val="Compact"/>
              <w:jc w:val="left"/>
            </w:pPr>
            <w:r>
              <w:t xml:space="preserve">XIII</w:t>
            </w:r>
          </w:p>
        </w:tc>
      </w:tr>
      <w:tr>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1075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1503</w:t>
            </w:r>
          </w:p>
        </w:tc>
        <w:tc>
          <w:tcPr/>
          <w:p>
            <w:pPr>
              <w:pStyle w:val="Compact"/>
              <w:jc w:val="left"/>
            </w:pPr>
            <w:r>
              <w:t xml:space="preserve">---</w:t>
            </w:r>
          </w:p>
        </w:tc>
        <w:tc>
          <w:tcPr/>
          <w:p>
            <w:pPr>
              <w:pStyle w:val="Compact"/>
              <w:jc w:val="left"/>
            </w:pPr>
            <w:r>
              <w:t xml:space="preserve">---</w:t>
            </w:r>
          </w:p>
        </w:tc>
        <w:tc>
          <w:tcPr/>
          <w:p>
            <w:pPr>
              <w:pStyle w:val="Compact"/>
              <w:jc w:val="left"/>
            </w:pPr>
            <w:r>
              <w:t xml:space="preserve">1503</w:t>
            </w:r>
          </w:p>
        </w:tc>
        <w:tc>
          <w:tcPr/>
          <w:p>
            <w:pPr>
              <w:pStyle w:val="Compact"/>
              <w:jc w:val="left"/>
            </w:pPr>
            <w:r>
              <w:t xml:space="preserve">1503</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1317</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1619</w:t>
            </w:r>
          </w:p>
        </w:tc>
        <w:tc>
          <w:tcPr/>
          <w:p>
            <w:pPr>
              <w:pStyle w:val="Compact"/>
              <w:jc w:val="left"/>
            </w:pPr>
            <w:r>
              <w:t xml:space="preserve">---</w:t>
            </w:r>
          </w:p>
        </w:tc>
        <w:tc>
          <w:tcPr/>
          <w:p>
            <w:pPr>
              <w:pStyle w:val="Compact"/>
              <w:jc w:val="left"/>
            </w:pPr>
            <w:r>
              <w:t xml:space="preserve">---</w:t>
            </w:r>
          </w:p>
        </w:tc>
        <w:tc>
          <w:tcPr/>
          <w:p>
            <w:pPr>
              <w:pStyle w:val="Compact"/>
              <w:jc w:val="left"/>
            </w:pPr>
            <w:r>
              <w:t xml:space="preserve">1619</w:t>
            </w:r>
          </w:p>
        </w:tc>
        <w:tc>
          <w:tcPr/>
          <w:p>
            <w:pPr>
              <w:pStyle w:val="Compact"/>
              <w:jc w:val="left"/>
            </w:pPr>
            <w:r>
              <w:t xml:space="preserve">1619</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1628</w:t>
            </w:r>
          </w:p>
        </w:tc>
        <w:tc>
          <w:tcPr/>
          <w:p>
            <w:pPr>
              <w:pStyle w:val="Compact"/>
              <w:jc w:val="left"/>
            </w:pPr>
            <w:r>
              <w:t xml:space="preserve">---</w:t>
            </w:r>
          </w:p>
        </w:tc>
        <w:tc>
          <w:tcPr/>
          <w:p>
            <w:pPr>
              <w:pStyle w:val="Compact"/>
              <w:jc w:val="left"/>
            </w:pPr>
            <w:r>
              <w:t xml:space="preserve">---</w:t>
            </w:r>
          </w:p>
        </w:tc>
        <w:tc>
          <w:tcPr/>
          <w:p>
            <w:pPr>
              <w:pStyle w:val="Compact"/>
              <w:jc w:val="left"/>
            </w:pPr>
            <w:r>
              <w:t xml:space="preserve">1628</w:t>
            </w:r>
          </w:p>
        </w:tc>
        <w:tc>
          <w:tcPr/>
          <w:p>
            <w:pPr>
              <w:pStyle w:val="Compact"/>
              <w:jc w:val="left"/>
            </w:pPr>
            <w:r>
              <w:t xml:space="preserve">1628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1400</w:t>
            </w:r>
          </w:p>
        </w:tc>
      </w:tr>
      <w:tr>
        <w:tc>
          <w:tcPr/>
          <w:p>
            <w:pPr>
              <w:pStyle w:val="Compact"/>
              <w:jc w:val="left"/>
            </w:pPr>
            <w:r>
              <w:t xml:space="preserve">1636</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c>
          <w:tcPr/>
          <w:p>
            <w:pPr>
              <w:pStyle w:val="Compact"/>
              <w:jc w:val="left"/>
            </w:pPr>
            <w:r>
              <w:t xml:space="preserve">1636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1637</w:t>
            </w:r>
          </w:p>
        </w:tc>
        <w:tc>
          <w:tcPr/>
          <w:p>
            <w:pPr>
              <w:pStyle w:val="Compact"/>
              <w:jc w:val="left"/>
            </w:pPr>
            <w:r>
              <w:t xml:space="preserve">---</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1328</w:t>
            </w:r>
          </w:p>
        </w:tc>
      </w:tr>
      <w:tr>
        <w:tc>
          <w:tcPr/>
          <w:p>
            <w:pPr>
              <w:pStyle w:val="Compact"/>
              <w:jc w:val="left"/>
            </w:pPr>
            <w:r>
              <w:t xml:space="preserve">1656</w:t>
            </w:r>
          </w:p>
        </w:tc>
        <w:tc>
          <w:tcPr/>
          <w:p>
            <w:pPr>
              <w:pStyle w:val="Compact"/>
              <w:jc w:val="left"/>
            </w:pPr>
            <w:r>
              <w:t xml:space="preserve">---</w:t>
            </w:r>
          </w:p>
        </w:tc>
        <w:tc>
          <w:tcPr/>
          <w:p>
            <w:pPr>
              <w:pStyle w:val="Compact"/>
              <w:jc w:val="left"/>
            </w:pPr>
            <w:r>
              <w:t xml:space="preserve">---</w:t>
            </w:r>
          </w:p>
        </w:tc>
        <w:tc>
          <w:tcPr/>
          <w:p>
            <w:pPr>
              <w:pStyle w:val="Compact"/>
              <w:jc w:val="left"/>
            </w:pPr>
            <w:r>
              <w:t xml:space="preserve">1656</w:t>
            </w:r>
          </w:p>
        </w:tc>
        <w:tc>
          <w:tcPr/>
          <w:p>
            <w:pPr>
              <w:pStyle w:val="Compact"/>
              <w:jc w:val="left"/>
            </w:pPr>
            <w:r>
              <w:t xml:space="preserve">1656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1740</w:t>
            </w:r>
          </w:p>
        </w:tc>
        <w:tc>
          <w:tcPr/>
          <w:p>
            <w:pPr>
              <w:pStyle w:val="Compact"/>
              <w:jc w:val="left"/>
            </w:pPr>
            <w:r>
              <w:t xml:space="preserve">---</w:t>
            </w:r>
          </w:p>
        </w:tc>
        <w:tc>
          <w:tcPr/>
          <w:p>
            <w:pPr>
              <w:pStyle w:val="Compact"/>
              <w:jc w:val="left"/>
            </w:pPr>
            <w:r>
              <w:t xml:space="preserve">---</w:t>
            </w:r>
          </w:p>
        </w:tc>
        <w:tc>
          <w:tcPr/>
          <w:p>
            <w:pPr>
              <w:pStyle w:val="Compact"/>
              <w:jc w:val="left"/>
            </w:pPr>
            <w:r>
              <w:t xml:space="preserve">1740</w:t>
            </w:r>
          </w:p>
        </w:tc>
        <w:tc>
          <w:tcPr/>
          <w:p>
            <w:pPr>
              <w:pStyle w:val="Compact"/>
              <w:jc w:val="left"/>
            </w:pPr>
            <w:r>
              <w:t xml:space="preserve">1740</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1745</w:t>
            </w:r>
          </w:p>
        </w:tc>
        <w:tc>
          <w:tcPr/>
          <w:p>
            <w:pPr>
              <w:pStyle w:val="Compact"/>
              <w:jc w:val="left"/>
            </w:pPr>
            <w:r>
              <w:t xml:space="preserve">---</w:t>
            </w:r>
          </w:p>
        </w:tc>
        <w:tc>
          <w:tcPr/>
          <w:p>
            <w:pPr>
              <w:pStyle w:val="Compact"/>
              <w:jc w:val="left"/>
            </w:pPr>
            <w:r>
              <w:t xml:space="preserve">---</w:t>
            </w:r>
          </w:p>
        </w:tc>
        <w:tc>
          <w:tcPr/>
          <w:p>
            <w:pPr>
              <w:pStyle w:val="Compact"/>
              <w:jc w:val="left"/>
            </w:pPr>
            <w:r>
              <w:t xml:space="preserve">1745</w:t>
            </w:r>
          </w:p>
        </w:tc>
        <w:tc>
          <w:tcPr/>
          <w:p>
            <w:pPr>
              <w:pStyle w:val="Compact"/>
              <w:jc w:val="left"/>
            </w:pPr>
            <w:r>
              <w:t xml:space="preserve">1745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1754</w:t>
            </w:r>
          </w:p>
        </w:tc>
        <w:tc>
          <w:tcPr/>
          <w:p>
            <w:pPr>
              <w:pStyle w:val="Compact"/>
              <w:jc w:val="left"/>
            </w:pPr>
            <w:r>
              <w:t xml:space="preserve">---</w:t>
            </w:r>
          </w:p>
        </w:tc>
        <w:tc>
          <w:tcPr/>
          <w:p>
            <w:pPr>
              <w:pStyle w:val="Compact"/>
              <w:jc w:val="left"/>
            </w:pPr>
            <w:r>
              <w:t xml:space="preserve">---</w:t>
            </w:r>
          </w:p>
        </w:tc>
        <w:tc>
          <w:tcPr/>
          <w:p>
            <w:pPr>
              <w:pStyle w:val="Compact"/>
              <w:jc w:val="left"/>
            </w:pPr>
            <w:r>
              <w:t xml:space="preserve">1754</w:t>
            </w:r>
          </w:p>
        </w:tc>
        <w:tc>
          <w:tcPr/>
          <w:p>
            <w:pPr>
              <w:pStyle w:val="Compact"/>
              <w:jc w:val="left"/>
            </w:pPr>
            <w:r>
              <w:t xml:space="preserve">1754</w:t>
            </w:r>
          </w:p>
        </w:tc>
        <w:tc>
          <w:tcPr/>
          <w:p>
            <w:pPr>
              <w:pStyle w:val="Compact"/>
              <w:jc w:val="left"/>
            </w:pPr>
            <w:r>
              <w:t xml:space="preserve">---</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1768</w:t>
            </w:r>
          </w:p>
        </w:tc>
        <w:tc>
          <w:tcPr/>
          <w:p>
            <w:pPr>
              <w:pStyle w:val="Compact"/>
              <w:jc w:val="left"/>
            </w:pPr>
            <w:r>
              <w:t xml:space="preserve">---</w:t>
            </w:r>
          </w:p>
        </w:tc>
        <w:tc>
          <w:tcPr/>
          <w:p>
            <w:pPr>
              <w:pStyle w:val="Compact"/>
              <w:jc w:val="left"/>
            </w:pPr>
            <w:r>
              <w:t xml:space="preserve">---</w:t>
            </w:r>
          </w:p>
        </w:tc>
        <w:tc>
          <w:tcPr/>
          <w:p>
            <w:pPr>
              <w:pStyle w:val="Compact"/>
              <w:jc w:val="left"/>
            </w:pPr>
            <w:r>
              <w:t xml:space="preserve">1768</w:t>
            </w:r>
          </w:p>
        </w:tc>
        <w:tc>
          <w:tcPr/>
          <w:p>
            <w:pPr>
              <w:pStyle w:val="Compact"/>
              <w:jc w:val="left"/>
            </w:pPr>
            <w:r>
              <w:t xml:space="preserve">---</w:t>
            </w:r>
          </w:p>
        </w:tc>
        <w:tc>
          <w:tcPr/>
          <w:p>
            <w:pPr>
              <w:pStyle w:val="Compact"/>
              <w:jc w:val="left"/>
            </w:pPr>
            <w:r>
              <w:t xml:space="preserve">1768</w:t>
            </w:r>
          </w:p>
        </w:tc>
        <w:tc>
          <w:tcPr/>
          <w:p>
            <w:pPr>
              <w:pStyle w:val="Compact"/>
              <w:jc w:val="left"/>
            </w:pPr>
            <w:r>
              <w:t xml:space="preserve">Iviron</w:t>
            </w:r>
          </w:p>
        </w:tc>
        <w:tc>
          <w:tcPr/>
          <w:p>
            <w:pPr>
              <w:pStyle w:val="Compact"/>
              <w:jc w:val="left"/>
            </w:pPr>
            <w:r>
              <w:t xml:space="preserve">1519</w:t>
            </w:r>
          </w:p>
        </w:tc>
      </w:tr>
      <w:tr>
        <w:tc>
          <w:tcPr/>
          <w:p>
            <w:pPr>
              <w:pStyle w:val="Compact"/>
              <w:jc w:val="left"/>
            </w:pPr>
            <w:r>
              <w:t xml:space="preserve">1864</w:t>
            </w:r>
          </w:p>
        </w:tc>
        <w:tc>
          <w:tcPr/>
          <w:p>
            <w:pPr>
              <w:pStyle w:val="Compact"/>
              <w:jc w:val="left"/>
            </w:pPr>
            <w:r>
              <w:t xml:space="preserve">---</w:t>
            </w:r>
          </w:p>
        </w:tc>
        <w:tc>
          <w:tcPr/>
          <w:p>
            <w:pPr>
              <w:pStyle w:val="Compact"/>
              <w:jc w:val="left"/>
            </w:pPr>
            <w:r>
              <w:t xml:space="preserve">---</w:t>
            </w:r>
          </w:p>
        </w:tc>
        <w:tc>
          <w:tcPr/>
          <w:p>
            <w:pPr>
              <w:pStyle w:val="Compact"/>
              <w:jc w:val="left"/>
            </w:pPr>
            <w:r>
              <w:t xml:space="preserve">1864</w:t>
            </w:r>
          </w:p>
        </w:tc>
        <w:tc>
          <w:tcPr/>
          <w:p>
            <w:pPr>
              <w:pStyle w:val="Compact"/>
              <w:jc w:val="left"/>
            </w:pPr>
            <w:r>
              <w:t xml:space="preserve">1864</w:t>
            </w:r>
          </w:p>
        </w:tc>
        <w:tc>
          <w:tcPr/>
          <w:p>
            <w:pPr>
              <w:pStyle w:val="Compact"/>
              <w:jc w:val="left"/>
            </w:pPr>
            <w:r>
              <w:t xml:space="preserve">---</w:t>
            </w:r>
          </w:p>
        </w:tc>
        <w:tc>
          <w:tcPr/>
          <w:p>
            <w:pPr>
              <w:pStyle w:val="Compact"/>
              <w:jc w:val="left"/>
            </w:pPr>
            <w:r>
              <w:t xml:space="preserve">Stavronikita</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Patmos</w:t>
            </w:r>
          </w:p>
        </w:tc>
        <w:tc>
          <w:tcPr/>
          <w:p>
            <w:pPr>
              <w:pStyle w:val="Compact"/>
              <w:jc w:val="left"/>
            </w:pPr>
            <w:r>
              <w:t xml:space="preserve">XIV</w:t>
            </w:r>
          </w:p>
        </w:tc>
      </w:tr>
    </w:tbl>
    <w:p>
      <w:pPr>
        <w:pStyle w:val="BodyText"/>
      </w:pPr>
      <w:r>
        <w:t xml:space="preserve">Dodaję teraz „maruderów”, aby uzupełnić obraz każdego wariantu. Uważny czytelnik zauważył, że 1 List Piotra 3,6 znajduje się wyżej w nawiasach kwadratowych, uczyniłem tak, ponieważ wariant ten znajduje się już w grupie 1. Ten konkretny wariant ma dziwną „domieszkę” obu grup, ze względu na charakter wariantu podejrzewam, że wykaz jest przypadkowy, a zatem wariant ten tak naprawdę nie należy do żadnej grupy.</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1250</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1737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2218</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2261</w:t>
            </w:r>
          </w:p>
        </w:tc>
        <w:tc>
          <w:tcPr/>
          <w:p>
            <w:pPr>
              <w:pStyle w:val="Compact"/>
              <w:jc w:val="left"/>
            </w:pPr>
            <w:r>
              <w:t xml:space="preserve">---</w:t>
            </w:r>
          </w:p>
        </w:tc>
        <w:tc>
          <w:tcPr/>
          <w:p>
            <w:pPr>
              <w:pStyle w:val="Compact"/>
              <w:jc w:val="left"/>
            </w:pPr>
            <w:r>
              <w:t xml:space="preserve">2261</w:t>
            </w:r>
          </w:p>
        </w:tc>
        <w:tc>
          <w:tcPr/>
          <w:p>
            <w:pPr>
              <w:pStyle w:val="Compact"/>
              <w:jc w:val="left"/>
            </w:pPr>
            <w:r>
              <w:t xml:space="preserve">Kalawrita</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c>
          <w:tcPr/>
          <w:p>
            <w:pPr>
              <w:pStyle w:val="Compact"/>
              <w:jc w:val="left"/>
            </w:pPr>
            <w:r>
              <w:t xml:space="preserve">---</w:t>
            </w:r>
          </w:p>
        </w:tc>
        <w:tc>
          <w:tcPr/>
          <w:p>
            <w:pPr>
              <w:pStyle w:val="Compact"/>
              <w:jc w:val="left"/>
            </w:pPr>
            <w:r>
              <w:t xml:space="preserve">2501</w:t>
            </w:r>
          </w:p>
        </w:tc>
        <w:tc>
          <w:tcPr/>
          <w:p>
            <w:pPr>
              <w:pStyle w:val="Compact"/>
              <w:jc w:val="left"/>
            </w:pPr>
            <w:r>
              <w:t xml:space="preserve">Synaj</w:t>
            </w:r>
          </w:p>
        </w:tc>
        <w:tc>
          <w:tcPr/>
          <w:p>
            <w:pPr>
              <w:pStyle w:val="Compact"/>
              <w:jc w:val="left"/>
            </w:pPr>
            <w:r>
              <w:t xml:space="preserve">XVI</w:t>
            </w:r>
          </w:p>
        </w:tc>
      </w:tr>
    </w:tbl>
    <w:p>
      <w:pPr>
        <w:pStyle w:val="BodyText"/>
      </w:pPr>
      <w:r>
        <w:t xml:space="preserve">Do nich należy dodać następujące „samotne” przypadki: dla 1 Listu Piotra 2,11 dodać 204, 2704, dla 1 Listu Piotra 4,2 dodać 1101, 1761, 1766, dla 1 Listu Piotra 5,7 dodać 141, 801, 986, 1247, 1249, 1726, 1752, 1876, 2626 (obraz ten wynika prawdopodobnie z charakteru wariantu i nie odzwierciedla zależności), dla 1 Listu Piotra 1,23 i 4,11 nie ma żadnych.</w:t>
      </w:r>
    </w:p>
    <w:p>
      <w:pPr>
        <w:pStyle w:val="BodyText"/>
      </w:pPr>
      <w:r>
        <w:t xml:space="preserve">Komentarz: rzucającą się w oczy cechą tej drugiej grupy jest to, że ogranicza się do jednej księgi. Inną rzucającą się w oczy cechą jest dominacja M Lavras, niemal połowa całości (istnieją jednak pewne manuskrypty M Lavras, które nie należą do żadnej grupy). Prawdopodobieństwo, że ta druga grupa mogłaby reprezentować archetyp, również jest znikome.</w:t>
      </w:r>
    </w:p>
    <w:p>
      <w:pPr>
        <w:pStyle w:val="BodyText"/>
      </w:pPr>
      <w:r>
        <w:t xml:space="preserve">Podobnie jak w przypadku εχη w Liście Jakuba 2,14, pominięcie του w 1 Liście Piotra 4,2 jest poświadczone przez 36 manuskryptów, ponad 40% rodziny. Ponieważ nie ma większej wątpliwości, że archetyp miał rodzajnik, jak wyjaśnić wysokie poświadczenie pominięcia? Przypuszczam, że był to nacisk masy bizantyjskiej, wynoszącej tutaj niemal 80%. W kontekście oczekiwalibyśmy rodzajnika, który uważam za poprawny.</w:t>
      </w:r>
    </w:p>
    <w:p>
      <w:pPr>
        <w:pStyle w:val="BodyText"/>
      </w:pPr>
      <w:r>
        <w:t xml:space="preserve">Dochodzimy teraz do jedynego rzeczywistego „problemu” w ustalaniu archetypalnej formy rodziny w Listach Ogólnych — 1 List Jana 1,6 (na początku wspomniałem czternaście podziałów, z których omówiłem tylko trzynaście). Jest to jedyne miejsce w Listach Ogólnych, w którym forma archetypalna zachowała się w mniejszości zachowanych przedstawicieli, przynajmniej według mojego rozumienia. Główna kwestia sporna może być przypadkiem dittografii. Czasownik „mówić” słusznie występuje w trybie łączącym, ponieważ jest rządzony przez εαν, lecz czasowniki „mieć” i „chodzić” są częścią stwierdzenia i słusznie występują w trybie oznajmującym, tylko jeśli faktycznie chodzimy w ciemności, stajemy się kłamcami, twierdząc, że mamy społeczność. Περιπατουμεν jest więc poprawne. Wracając jednak do manuskryptów, zauważamy osobliwą okoliczność: wykaz mający tryb łączący tworzą dokładnie te dwie podgrupy, a 2255 jest jedynym obcym (prawdopodobna dittografia), wszystkie pozostałe manuskrypty, które nie uczestniczą w żadnej z podgrup, mają tryb oznajmujący i bardzo dobre rozmieszczenie geograficzne. Rozważmy:</w:t>
      </w:r>
    </w:p>
    <w:tbl>
      <w:tblPr>
        <w:tblStyle w:val="Table"/>
        <w:tblW w:type="pct" w:w="5000"/>
        <w:tblLook w:firstRow="1" w:lastRow="0" w:firstColumn="0" w:lastColumn="0" w:noHBand="0" w:noVBand="0" w:val="0020"/>
        <w:jc w:val="start"/>
      </w:tblPr>
      <w:tblGrid>
        <w:gridCol w:w="1440"/>
        <w:gridCol w:w="1080"/>
        <w:gridCol w:w="1440"/>
        <w:gridCol w:w="1440"/>
        <w:gridCol w:w="1080"/>
        <w:gridCol w:w="1440"/>
      </w:tblGrid>
      <w:tr>
        <w:trPr>
          <w:tblHeader w:val="true"/>
        </w:trPr>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r>
      <w:tr>
        <w:tc>
          <w:tcPr/>
          <w:p>
            <w:pPr>
              <w:pStyle w:val="Compact"/>
              <w:jc w:val="right"/>
            </w:pPr>
            <w:r>
              <w:t xml:space="preserve">18</w:t>
            </w:r>
          </w:p>
        </w:tc>
        <w:tc>
          <w:tcPr/>
          <w:p>
            <w:pPr>
              <w:pStyle w:val="Compact"/>
              <w:jc w:val="left"/>
            </w:pPr>
            <w:r>
              <w:t xml:space="preserve">Konstantynopol</w:t>
            </w:r>
          </w:p>
        </w:tc>
        <w:tc>
          <w:tcPr/>
          <w:p>
            <w:pPr>
              <w:pStyle w:val="Compact"/>
              <w:jc w:val="right"/>
            </w:pPr>
            <w:r>
              <w:t xml:space="preserve">1364</w:t>
            </w:r>
          </w:p>
        </w:tc>
        <w:tc>
          <w:tcPr/>
          <w:p>
            <w:pPr>
              <w:pStyle w:val="Compact"/>
              <w:jc w:val="right"/>
            </w:pPr>
            <w:r>
              <w:t xml:space="preserve">35</w:t>
            </w:r>
          </w:p>
        </w:tc>
        <w:tc>
          <w:tcPr/>
          <w:p>
            <w:pPr>
              <w:pStyle w:val="Compact"/>
              <w:jc w:val="left"/>
            </w:pPr>
            <w:r>
              <w:t xml:space="preserve">Paryż</w:t>
            </w:r>
          </w:p>
        </w:tc>
        <w:tc>
          <w:tcPr/>
          <w:p>
            <w:pPr>
              <w:pStyle w:val="Compact"/>
              <w:jc w:val="right"/>
            </w:pPr>
            <w:r>
              <w:t xml:space="preserve">XI</w:t>
            </w:r>
          </w:p>
        </w:tc>
      </w:tr>
      <w:tr>
        <w:tc>
          <w:tcPr/>
          <w:p>
            <w:pPr>
              <w:pStyle w:val="Compact"/>
              <w:jc w:val="right"/>
            </w:pPr>
            <w:r>
              <w:t xml:space="preserve">141</w:t>
            </w:r>
          </w:p>
        </w:tc>
        <w:tc>
          <w:tcPr/>
          <w:p>
            <w:pPr>
              <w:pStyle w:val="Compact"/>
              <w:jc w:val="left"/>
            </w:pPr>
            <w:r>
              <w:t xml:space="preserve">Watykan</w:t>
            </w:r>
          </w:p>
        </w:tc>
        <w:tc>
          <w:tcPr/>
          <w:p>
            <w:pPr>
              <w:pStyle w:val="Compact"/>
              <w:jc w:val="right"/>
            </w:pPr>
            <w:r>
              <w:t xml:space="preserve">XIII</w:t>
            </w:r>
          </w:p>
        </w:tc>
        <w:tc>
          <w:tcPr/>
          <w:p>
            <w:pPr>
              <w:pStyle w:val="Compact"/>
              <w:jc w:val="right"/>
            </w:pPr>
            <w:r>
              <w:t xml:space="preserve">204</w:t>
            </w:r>
          </w:p>
        </w:tc>
        <w:tc>
          <w:tcPr/>
          <w:p>
            <w:pPr>
              <w:pStyle w:val="Compact"/>
              <w:jc w:val="left"/>
            </w:pPr>
            <w:r>
              <w:t xml:space="preserve">Bolonia</w:t>
            </w:r>
          </w:p>
        </w:tc>
        <w:tc>
          <w:tcPr/>
          <w:p>
            <w:pPr>
              <w:pStyle w:val="Compact"/>
              <w:jc w:val="right"/>
            </w:pPr>
            <w:r>
              <w:t xml:space="preserve">XIII</w:t>
            </w:r>
          </w:p>
        </w:tc>
      </w:tr>
      <w:tr>
        <w:tc>
          <w:tcPr/>
          <w:p>
            <w:pPr>
              <w:pStyle w:val="Compact"/>
              <w:jc w:val="right"/>
            </w:pPr>
            <w:r>
              <w:t xml:space="preserve">386</w:t>
            </w:r>
          </w:p>
        </w:tc>
        <w:tc>
          <w:tcPr/>
          <w:p>
            <w:pPr>
              <w:pStyle w:val="Compact"/>
              <w:jc w:val="left"/>
            </w:pPr>
            <w:r>
              <w:t xml:space="preserve">Watykan</w:t>
            </w:r>
          </w:p>
        </w:tc>
        <w:tc>
          <w:tcPr/>
          <w:p>
            <w:pPr>
              <w:pStyle w:val="Compact"/>
              <w:jc w:val="right"/>
            </w:pPr>
            <w:r>
              <w:t xml:space="preserve">XIV</w:t>
            </w:r>
          </w:p>
        </w:tc>
        <w:tc>
          <w:tcPr/>
          <w:p>
            <w:pPr>
              <w:pStyle w:val="Compact"/>
              <w:jc w:val="right"/>
            </w:pPr>
            <w:r>
              <w:t xml:space="preserve">801</w:t>
            </w:r>
          </w:p>
        </w:tc>
        <w:tc>
          <w:tcPr/>
          <w:p>
            <w:pPr>
              <w:pStyle w:val="Compact"/>
              <w:jc w:val="left"/>
            </w:pPr>
            <w:r>
              <w:t xml:space="preserve">Ateny</w:t>
            </w:r>
          </w:p>
        </w:tc>
        <w:tc>
          <w:tcPr/>
          <w:p>
            <w:pPr>
              <w:pStyle w:val="Compact"/>
              <w:jc w:val="right"/>
            </w:pPr>
            <w:r>
              <w:t xml:space="preserve">XV</w:t>
            </w:r>
          </w:p>
        </w:tc>
      </w:tr>
      <w:tr>
        <w:tc>
          <w:tcPr/>
          <w:p>
            <w:pPr>
              <w:pStyle w:val="Compact"/>
              <w:jc w:val="right"/>
            </w:pPr>
            <w:r>
              <w:t xml:space="preserve">824</w:t>
            </w:r>
          </w:p>
        </w:tc>
        <w:tc>
          <w:tcPr/>
          <w:p>
            <w:pPr>
              <w:pStyle w:val="Compact"/>
              <w:jc w:val="left"/>
            </w:pPr>
            <w:r>
              <w:t xml:space="preserve">Grottaferrata</w:t>
            </w:r>
          </w:p>
        </w:tc>
        <w:tc>
          <w:tcPr/>
          <w:p>
            <w:pPr>
              <w:pStyle w:val="Compact"/>
              <w:jc w:val="right"/>
            </w:pPr>
            <w:r>
              <w:t xml:space="preserve">XIV</w:t>
            </w:r>
          </w:p>
        </w:tc>
        <w:tc>
          <w:tcPr/>
          <w:p>
            <w:pPr>
              <w:pStyle w:val="Compact"/>
              <w:jc w:val="right"/>
            </w:pPr>
            <w:r>
              <w:t xml:space="preserve">1100</w:t>
            </w:r>
          </w:p>
        </w:tc>
        <w:tc>
          <w:tcPr/>
          <w:p>
            <w:pPr>
              <w:pStyle w:val="Compact"/>
              <w:jc w:val="left"/>
            </w:pPr>
            <w:r>
              <w:t xml:space="preserve">Dionysiu</w:t>
            </w:r>
          </w:p>
        </w:tc>
        <w:tc>
          <w:tcPr/>
          <w:p>
            <w:pPr>
              <w:pStyle w:val="Compact"/>
              <w:jc w:val="right"/>
            </w:pPr>
            <w:r>
              <w:t xml:space="preserve">1376</w:t>
            </w:r>
          </w:p>
        </w:tc>
      </w:tr>
      <w:tr>
        <w:tc>
          <w:tcPr/>
          <w:p>
            <w:pPr>
              <w:pStyle w:val="Compact"/>
              <w:jc w:val="right"/>
            </w:pPr>
            <w:r>
              <w:t xml:space="preserve">1101</w:t>
            </w:r>
          </w:p>
        </w:tc>
        <w:tc>
          <w:tcPr/>
          <w:p>
            <w:pPr>
              <w:pStyle w:val="Compact"/>
              <w:jc w:val="left"/>
            </w:pPr>
            <w:r>
              <w:t xml:space="preserve">Dionysiu</w:t>
            </w:r>
          </w:p>
        </w:tc>
        <w:tc>
          <w:tcPr/>
          <w:p>
            <w:pPr>
              <w:pStyle w:val="Compact"/>
              <w:jc w:val="right"/>
            </w:pPr>
            <w:r>
              <w:t xml:space="preserve">1660</w:t>
            </w:r>
          </w:p>
        </w:tc>
        <w:tc>
          <w:tcPr/>
          <w:p>
            <w:pPr>
              <w:pStyle w:val="Compact"/>
              <w:jc w:val="right"/>
            </w:pPr>
            <w:r>
              <w:t xml:space="preserve">1250</w:t>
            </w:r>
          </w:p>
        </w:tc>
        <w:tc>
          <w:tcPr/>
          <w:p>
            <w:pPr>
              <w:pStyle w:val="Compact"/>
              <w:jc w:val="left"/>
            </w:pPr>
            <w:r>
              <w:t xml:space="preserve">Synaj</w:t>
            </w:r>
          </w:p>
        </w:tc>
        <w:tc>
          <w:tcPr/>
          <w:p>
            <w:pPr>
              <w:pStyle w:val="Compact"/>
              <w:jc w:val="right"/>
            </w:pPr>
            <w:r>
              <w:t xml:space="preserve">XV</w:t>
            </w:r>
          </w:p>
        </w:tc>
      </w:tr>
      <w:tr>
        <w:tc>
          <w:tcPr/>
          <w:p>
            <w:pPr>
              <w:pStyle w:val="Compact"/>
              <w:jc w:val="right"/>
            </w:pPr>
            <w:r>
              <w:t xml:space="preserve">1636</w:t>
            </w:r>
          </w:p>
        </w:tc>
        <w:tc>
          <w:tcPr/>
          <w:p>
            <w:pPr>
              <w:pStyle w:val="Compact"/>
              <w:jc w:val="left"/>
            </w:pPr>
            <w:r>
              <w:t xml:space="preserve">M Lavras</w:t>
            </w:r>
          </w:p>
        </w:tc>
        <w:tc>
          <w:tcPr/>
          <w:p>
            <w:pPr>
              <w:pStyle w:val="Compact"/>
              <w:jc w:val="right"/>
            </w:pPr>
            <w:r>
              <w:t xml:space="preserve">XV</w:t>
            </w:r>
          </w:p>
        </w:tc>
        <w:tc>
          <w:tcPr/>
          <w:p>
            <w:pPr>
              <w:pStyle w:val="Compact"/>
              <w:jc w:val="right"/>
            </w:pPr>
            <w:r>
              <w:t xml:space="preserve">1704</w:t>
            </w:r>
          </w:p>
        </w:tc>
        <w:tc>
          <w:tcPr/>
          <w:p>
            <w:pPr>
              <w:pStyle w:val="Compact"/>
              <w:jc w:val="left"/>
            </w:pPr>
            <w:r>
              <w:t xml:space="preserve">Kutlumusiu</w:t>
            </w:r>
          </w:p>
        </w:tc>
        <w:tc>
          <w:tcPr/>
          <w:p>
            <w:pPr>
              <w:pStyle w:val="Compact"/>
              <w:jc w:val="right"/>
            </w:pPr>
            <w:r>
              <w:t xml:space="preserve">1541</w:t>
            </w:r>
          </w:p>
        </w:tc>
      </w:tr>
      <w:tr>
        <w:tc>
          <w:tcPr/>
          <w:p>
            <w:pPr>
              <w:pStyle w:val="Compact"/>
              <w:jc w:val="right"/>
            </w:pPr>
            <w:r>
              <w:t xml:space="preserve">1725</w:t>
            </w:r>
          </w:p>
        </w:tc>
        <w:tc>
          <w:tcPr/>
          <w:p>
            <w:pPr>
              <w:pStyle w:val="Compact"/>
              <w:jc w:val="left"/>
            </w:pPr>
            <w:r>
              <w:t xml:space="preserve">Vatopediu</w:t>
            </w:r>
          </w:p>
        </w:tc>
        <w:tc>
          <w:tcPr/>
          <w:p>
            <w:pPr>
              <w:pStyle w:val="Compact"/>
              <w:jc w:val="right"/>
            </w:pPr>
            <w:r>
              <w:t xml:space="preserve">1367</w:t>
            </w:r>
          </w:p>
        </w:tc>
        <w:tc>
          <w:tcPr/>
          <w:p>
            <w:pPr>
              <w:pStyle w:val="Compact"/>
              <w:jc w:val="right"/>
            </w:pPr>
            <w:r>
              <w:t xml:space="preserve">1726</w:t>
            </w:r>
          </w:p>
        </w:tc>
        <w:tc>
          <w:tcPr/>
          <w:p>
            <w:pPr>
              <w:pStyle w:val="Compact"/>
              <w:jc w:val="left"/>
            </w:pPr>
            <w:r>
              <w:t xml:space="preserve">Vatopediu</w:t>
            </w:r>
          </w:p>
        </w:tc>
        <w:tc>
          <w:tcPr/>
          <w:p>
            <w:pPr>
              <w:pStyle w:val="Compact"/>
              <w:jc w:val="right"/>
            </w:pPr>
            <w:r>
              <w:t xml:space="preserve">XIV</w:t>
            </w:r>
          </w:p>
        </w:tc>
      </w:tr>
      <w:tr>
        <w:tc>
          <w:tcPr/>
          <w:p>
            <w:pPr>
              <w:pStyle w:val="Compact"/>
              <w:jc w:val="right"/>
            </w:pPr>
            <w:r>
              <w:t xml:space="preserve">1732</w:t>
            </w:r>
          </w:p>
        </w:tc>
        <w:tc>
          <w:tcPr/>
          <w:p>
            <w:pPr>
              <w:pStyle w:val="Compact"/>
              <w:jc w:val="left"/>
            </w:pPr>
            <w:r>
              <w:t xml:space="preserve">M Lavras</w:t>
            </w:r>
          </w:p>
        </w:tc>
        <w:tc>
          <w:tcPr/>
          <w:p>
            <w:pPr>
              <w:pStyle w:val="Compact"/>
              <w:jc w:val="right"/>
            </w:pPr>
            <w:r>
              <w:t xml:space="preserve">1384</w:t>
            </w:r>
          </w:p>
        </w:tc>
        <w:tc>
          <w:tcPr/>
          <w:p>
            <w:pPr>
              <w:pStyle w:val="Compact"/>
              <w:jc w:val="right"/>
            </w:pPr>
            <w:r>
              <w:t xml:space="preserve">1733</w:t>
            </w:r>
          </w:p>
        </w:tc>
        <w:tc>
          <w:tcPr/>
          <w:p>
            <w:pPr>
              <w:pStyle w:val="Compact"/>
              <w:jc w:val="left"/>
            </w:pPr>
            <w:r>
              <w:t xml:space="preserve">M Lavras</w:t>
            </w:r>
          </w:p>
        </w:tc>
        <w:tc>
          <w:tcPr/>
          <w:p>
            <w:pPr>
              <w:pStyle w:val="Compact"/>
              <w:jc w:val="right"/>
            </w:pPr>
            <w:r>
              <w:t xml:space="preserve">XIV</w:t>
            </w:r>
          </w:p>
        </w:tc>
      </w:tr>
      <w:tr>
        <w:tc>
          <w:tcPr/>
          <w:p>
            <w:pPr>
              <w:pStyle w:val="Compact"/>
              <w:jc w:val="right"/>
            </w:pPr>
            <w:r>
              <w:t xml:space="preserve">1754</w:t>
            </w:r>
          </w:p>
        </w:tc>
        <w:tc>
          <w:tcPr/>
          <w:p>
            <w:pPr>
              <w:pStyle w:val="Compact"/>
              <w:jc w:val="left"/>
            </w:pPr>
            <w:r>
              <w:t xml:space="preserve">Panteleimonos</w:t>
            </w:r>
          </w:p>
        </w:tc>
        <w:tc>
          <w:tcPr/>
          <w:p>
            <w:pPr>
              <w:pStyle w:val="Compact"/>
              <w:jc w:val="right"/>
            </w:pPr>
            <w:r>
              <w:t xml:space="preserve">XII</w:t>
            </w:r>
          </w:p>
        </w:tc>
        <w:tc>
          <w:tcPr/>
          <w:p>
            <w:pPr>
              <w:pStyle w:val="Compact"/>
              <w:jc w:val="right"/>
            </w:pPr>
            <w:r>
              <w:t xml:space="preserve">1761</w:t>
            </w:r>
          </w:p>
        </w:tc>
        <w:tc>
          <w:tcPr/>
          <w:p>
            <w:pPr>
              <w:pStyle w:val="Compact"/>
              <w:jc w:val="left"/>
            </w:pPr>
            <w:r>
              <w:t xml:space="preserve">Ateny</w:t>
            </w:r>
          </w:p>
        </w:tc>
        <w:tc>
          <w:tcPr/>
          <w:p>
            <w:pPr>
              <w:pStyle w:val="Compact"/>
              <w:jc w:val="right"/>
            </w:pPr>
            <w:r>
              <w:t xml:space="preserve">XIV</w:t>
            </w:r>
          </w:p>
        </w:tc>
      </w:tr>
      <w:tr>
        <w:tc>
          <w:tcPr/>
          <w:p>
            <w:pPr>
              <w:pStyle w:val="Compact"/>
              <w:jc w:val="right"/>
            </w:pPr>
            <w:r>
              <w:t xml:space="preserve">1858</w:t>
            </w:r>
          </w:p>
        </w:tc>
        <w:tc>
          <w:tcPr/>
          <w:p>
            <w:pPr>
              <w:pStyle w:val="Compact"/>
              <w:jc w:val="left"/>
            </w:pPr>
            <w:r>
              <w:t xml:space="preserve">Konstamonitu</w:t>
            </w:r>
          </w:p>
        </w:tc>
        <w:tc>
          <w:tcPr/>
          <w:p>
            <w:pPr>
              <w:pStyle w:val="Compact"/>
              <w:jc w:val="right"/>
            </w:pPr>
            <w:r>
              <w:t xml:space="preserve">XIII</w:t>
            </w:r>
          </w:p>
        </w:tc>
        <w:tc>
          <w:tcPr/>
          <w:p>
            <w:pPr>
              <w:pStyle w:val="Compact"/>
              <w:jc w:val="right"/>
            </w:pPr>
            <w:r>
              <w:t xml:space="preserve">1865</w:t>
            </w:r>
          </w:p>
        </w:tc>
        <w:tc>
          <w:tcPr/>
          <w:p>
            <w:pPr>
              <w:pStyle w:val="Compact"/>
              <w:jc w:val="left"/>
            </w:pPr>
            <w:r>
              <w:t xml:space="preserve">Filotheu</w:t>
            </w:r>
          </w:p>
        </w:tc>
        <w:tc>
          <w:tcPr/>
          <w:p>
            <w:pPr>
              <w:pStyle w:val="Compact"/>
              <w:jc w:val="right"/>
            </w:pPr>
            <w:r>
              <w:t xml:space="preserve">XIII</w:t>
            </w:r>
          </w:p>
        </w:tc>
      </w:tr>
      <w:tr>
        <w:tc>
          <w:tcPr/>
          <w:p>
            <w:pPr>
              <w:pStyle w:val="Compact"/>
              <w:jc w:val="right"/>
            </w:pPr>
            <w:r>
              <w:t xml:space="preserve">1876</w:t>
            </w:r>
          </w:p>
        </w:tc>
        <w:tc>
          <w:tcPr/>
          <w:p>
            <w:pPr>
              <w:pStyle w:val="Compact"/>
              <w:jc w:val="left"/>
            </w:pPr>
            <w:r>
              <w:t xml:space="preserve">Synaj</w:t>
            </w:r>
          </w:p>
        </w:tc>
        <w:tc>
          <w:tcPr/>
          <w:p>
            <w:pPr>
              <w:pStyle w:val="Compact"/>
              <w:jc w:val="right"/>
            </w:pPr>
            <w:r>
              <w:t xml:space="preserve">XV</w:t>
            </w:r>
          </w:p>
        </w:tc>
        <w:tc>
          <w:tcPr/>
          <w:p>
            <w:pPr>
              <w:pStyle w:val="Compact"/>
              <w:jc w:val="right"/>
            </w:pPr>
            <w:r>
              <w:t xml:space="preserve">1897</w:t>
            </w:r>
          </w:p>
        </w:tc>
        <w:tc>
          <w:tcPr/>
          <w:p>
            <w:pPr>
              <w:pStyle w:val="Compact"/>
              <w:jc w:val="left"/>
            </w:pPr>
            <w:r>
              <w:t xml:space="preserve">Jerozolima</w:t>
            </w:r>
          </w:p>
        </w:tc>
        <w:tc>
          <w:tcPr/>
          <w:p>
            <w:pPr>
              <w:pStyle w:val="Compact"/>
              <w:jc w:val="right"/>
            </w:pPr>
            <w:r>
              <w:t xml:space="preserve">XII</w:t>
            </w:r>
          </w:p>
        </w:tc>
      </w:tr>
      <w:tr>
        <w:tc>
          <w:tcPr/>
          <w:p>
            <w:pPr>
              <w:pStyle w:val="Compact"/>
              <w:jc w:val="right"/>
            </w:pPr>
            <w:r>
              <w:t xml:space="preserve">2080</w:t>
            </w:r>
          </w:p>
        </w:tc>
        <w:tc>
          <w:tcPr/>
          <w:p>
            <w:pPr>
              <w:pStyle w:val="Compact"/>
              <w:jc w:val="left"/>
            </w:pPr>
            <w:r>
              <w:t xml:space="preserve">Patmos</w:t>
            </w:r>
          </w:p>
        </w:tc>
        <w:tc>
          <w:tcPr/>
          <w:p>
            <w:pPr>
              <w:pStyle w:val="Compact"/>
              <w:jc w:val="right"/>
            </w:pPr>
            <w:r>
              <w:t xml:space="preserve">XIV</w:t>
            </w:r>
          </w:p>
        </w:tc>
        <w:tc>
          <w:tcPr/>
          <w:p>
            <w:pPr>
              <w:pStyle w:val="Compact"/>
              <w:jc w:val="right"/>
            </w:pPr>
            <w:r>
              <w:t xml:space="preserve">2221</w:t>
            </w:r>
          </w:p>
        </w:tc>
        <w:tc>
          <w:tcPr/>
          <w:p>
            <w:pPr>
              <w:pStyle w:val="Compact"/>
              <w:jc w:val="left"/>
            </w:pPr>
            <w:r>
              <w:t xml:space="preserve">Sparta</w:t>
            </w:r>
          </w:p>
        </w:tc>
        <w:tc>
          <w:tcPr/>
          <w:p>
            <w:pPr>
              <w:pStyle w:val="Compact"/>
              <w:jc w:val="right"/>
            </w:pPr>
            <w:r>
              <w:t xml:space="preserve">1432</w:t>
            </w:r>
          </w:p>
        </w:tc>
      </w:tr>
      <w:tr>
        <w:tc>
          <w:tcPr/>
          <w:p>
            <w:pPr>
              <w:pStyle w:val="Compact"/>
              <w:jc w:val="right"/>
            </w:pPr>
            <w:r>
              <w:t xml:space="preserve">2261</w:t>
            </w:r>
          </w:p>
        </w:tc>
        <w:tc>
          <w:tcPr/>
          <w:p>
            <w:pPr>
              <w:pStyle w:val="Compact"/>
              <w:jc w:val="left"/>
            </w:pPr>
            <w:r>
              <w:t xml:space="preserve">Kalawrita</w:t>
            </w:r>
          </w:p>
        </w:tc>
        <w:tc>
          <w:tcPr/>
          <w:p>
            <w:pPr>
              <w:pStyle w:val="Compact"/>
              <w:jc w:val="right"/>
            </w:pPr>
            <w:r>
              <w:t xml:space="preserve">XIV</w:t>
            </w:r>
          </w:p>
        </w:tc>
        <w:tc>
          <w:tcPr/>
          <w:p>
            <w:pPr>
              <w:pStyle w:val="Compact"/>
              <w:jc w:val="right"/>
            </w:pPr>
            <w:r>
              <w:t xml:space="preserve">[2378]</w:t>
            </w:r>
          </w:p>
        </w:tc>
        <w:tc>
          <w:tcPr/>
          <w:p>
            <w:pPr>
              <w:pStyle w:val="Compact"/>
              <w:jc w:val="left"/>
            </w:pPr>
            <w:r>
              <w:t xml:space="preserve">Ateny</w:t>
            </w:r>
          </w:p>
        </w:tc>
        <w:tc>
          <w:tcPr/>
          <w:p>
            <w:pPr>
              <w:pStyle w:val="Compact"/>
              <w:jc w:val="right"/>
            </w:pPr>
            <w:r>
              <w:t xml:space="preserve">1511</w:t>
            </w:r>
            <w:r>
              <w:rPr>
                <w:rStyle w:val="FootnoteReference"/>
              </w:rPr>
              <w:footnoteReference w:id="509"/>
            </w:r>
          </w:p>
        </w:tc>
      </w:tr>
      <w:tr>
        <w:tc>
          <w:tcPr/>
          <w:p>
            <w:pPr>
              <w:pStyle w:val="Compact"/>
              <w:jc w:val="right"/>
            </w:pPr>
            <w:r>
              <w:t xml:space="preserve">2466</w:t>
            </w:r>
          </w:p>
        </w:tc>
        <w:tc>
          <w:tcPr/>
          <w:p>
            <w:pPr>
              <w:pStyle w:val="Compact"/>
              <w:jc w:val="left"/>
            </w:pPr>
            <w:r>
              <w:t xml:space="preserve">Patmos</w:t>
            </w:r>
          </w:p>
        </w:tc>
        <w:tc>
          <w:tcPr/>
          <w:p>
            <w:pPr>
              <w:pStyle w:val="Compact"/>
              <w:jc w:val="right"/>
            </w:pPr>
            <w:r>
              <w:t xml:space="preserve">1329</w:t>
            </w:r>
          </w:p>
        </w:tc>
        <w:tc>
          <w:tcPr/>
          <w:p>
            <w:pPr>
              <w:pStyle w:val="Compact"/>
              <w:jc w:val="right"/>
            </w:pPr>
            <w:r>
              <w:t xml:space="preserve">2554</w:t>
            </w:r>
          </w:p>
        </w:tc>
        <w:tc>
          <w:tcPr/>
          <w:p>
            <w:pPr>
              <w:pStyle w:val="Compact"/>
              <w:jc w:val="left"/>
            </w:pPr>
            <w:r>
              <w:t xml:space="preserve">Bukareszt</w:t>
            </w:r>
          </w:p>
        </w:tc>
        <w:tc>
          <w:tcPr/>
          <w:p>
            <w:pPr>
              <w:pStyle w:val="Compact"/>
              <w:jc w:val="right"/>
            </w:pPr>
            <w:r>
              <w:t xml:space="preserve">1434</w:t>
            </w:r>
          </w:p>
        </w:tc>
      </w:tr>
      <w:tr>
        <w:tc>
          <w:tcPr/>
          <w:p>
            <w:pPr>
              <w:pStyle w:val="Compact"/>
              <w:jc w:val="right"/>
            </w:pPr>
            <w:r>
              <w:t xml:space="preserve">2626</w:t>
            </w:r>
          </w:p>
        </w:tc>
        <w:tc>
          <w:tcPr/>
          <w:p>
            <w:pPr>
              <w:pStyle w:val="Compact"/>
              <w:jc w:val="left"/>
            </w:pPr>
            <w:r>
              <w:t xml:space="preserve">Ochryda</w:t>
            </w:r>
          </w:p>
        </w:tc>
        <w:tc>
          <w:tcPr/>
          <w:p>
            <w:pPr>
              <w:pStyle w:val="Compact"/>
              <w:jc w:val="right"/>
            </w:pPr>
            <w:r>
              <w:t xml:space="preserve">XIV</w:t>
            </w:r>
          </w:p>
        </w:tc>
        <w:tc>
          <w:tcPr/>
          <w:p>
            <w:pPr>
              <w:pStyle w:val="Compact"/>
              <w:jc w:val="right"/>
            </w:pPr>
            <w:r>
              <w:t xml:space="preserve">2723</w:t>
            </w:r>
          </w:p>
        </w:tc>
        <w:tc>
          <w:tcPr/>
          <w:p>
            <w:pPr>
              <w:pStyle w:val="Compact"/>
              <w:jc w:val="left"/>
            </w:pPr>
            <w:r>
              <w:t xml:space="preserve">Trikala</w:t>
            </w:r>
          </w:p>
        </w:tc>
        <w:tc>
          <w:tcPr/>
          <w:p>
            <w:pPr>
              <w:pStyle w:val="Compact"/>
              <w:jc w:val="right"/>
            </w:pPr>
            <w:r>
              <w:t xml:space="preserve">XI</w:t>
            </w:r>
          </w:p>
        </w:tc>
      </w:tr>
    </w:tbl>
    <w:p>
      <w:pPr>
        <w:pStyle w:val="BodyText"/>
      </w:pPr>
      <w:r>
        <w:t xml:space="preserve">Tabela pomoże zobrazować rozmieszczenie obu wariantów przy użyciu kategorii „góra Athos” i „gdzie indziej”:</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Tryb oznajmujący</w:t>
            </w:r>
          </w:p>
        </w:tc>
        <w:tc>
          <w:tcPr/>
          <w:p>
            <w:pPr>
              <w:pStyle w:val="Compact"/>
              <w:jc w:val="left"/>
            </w:pPr>
            <w:r>
              <w:t xml:space="preserve">Tryb łączący</w:t>
            </w:r>
          </w:p>
        </w:tc>
        <w:tc>
          <w:tcPr/>
          <w:p>
            <w:pPr>
              <w:pStyle w:val="Compact"/>
              <w:jc w:val="left"/>
            </w:pPr>
            <w:r>
              <w:t xml:space="preserve">Oba</w:t>
            </w:r>
          </w:p>
        </w:tc>
      </w:tr>
      <w:tr>
        <w:tc>
          <w:tcPr/>
          <w:p>
            <w:pPr>
              <w:pStyle w:val="Compact"/>
              <w:jc w:val="left"/>
            </w:pPr>
            <w:r>
              <w:t xml:space="preserve">1) Góra Athos</w:t>
            </w:r>
          </w:p>
        </w:tc>
        <w:tc>
          <w:tcPr/>
          <w:p>
            <w:pPr>
              <w:pStyle w:val="Compact"/>
              <w:jc w:val="left"/>
            </w:pPr>
            <w:r>
              <w:t xml:space="preserve">Konstamonitu</w:t>
            </w:r>
            <w:r>
              <w:t xml:space="preserve">Kutlumusiu</w:t>
            </w:r>
            <w:r>
              <w:t xml:space="preserve">Filotheu</w:t>
            </w:r>
          </w:p>
        </w:tc>
        <w:tc>
          <w:tcPr/>
          <w:p>
            <w:pPr>
              <w:pStyle w:val="Compact"/>
              <w:jc w:val="left"/>
            </w:pPr>
            <w:r>
              <w:t xml:space="preserve">Esfigmenu</w:t>
            </w:r>
            <w:r>
              <w:t xml:space="preserve">Iviron</w:t>
            </w:r>
            <w:r>
              <w:t xml:space="preserve">Kavsokalyvia</w:t>
            </w:r>
            <w:r>
              <w:t xml:space="preserve">Stavronikita</w:t>
            </w:r>
          </w:p>
        </w:tc>
        <w:tc>
          <w:tcPr/>
          <w:p>
            <w:pPr>
              <w:pStyle w:val="Compact"/>
              <w:jc w:val="left"/>
            </w:pPr>
            <w:r>
              <w:t xml:space="preserve">Dionysiu</w:t>
            </w:r>
            <w:r>
              <w:t xml:space="preserve">M Lavras</w:t>
            </w:r>
            <w:r>
              <w:t xml:space="preserve">Panteleimonos</w:t>
            </w:r>
            <w:r>
              <w:t xml:space="preserve">Vatopediu</w:t>
            </w:r>
          </w:p>
        </w:tc>
      </w:tr>
      <w:tr>
        <w:tc>
          <w:tcPr/>
          <w:p>
            <w:pPr>
              <w:pStyle w:val="Compact"/>
              <w:jc w:val="left"/>
            </w:pPr>
            <w:r>
              <w:t xml:space="preserve">2) Gdzie indziej</w:t>
            </w:r>
          </w:p>
        </w:tc>
        <w:tc>
          <w:tcPr/>
          <w:p>
            <w:pPr>
              <w:pStyle w:val="Compact"/>
              <w:jc w:val="left"/>
            </w:pPr>
            <w:r>
              <w:t xml:space="preserve">Bolonia</w:t>
            </w:r>
            <w:r>
              <w:t xml:space="preserve">Bukareszt</w:t>
            </w:r>
            <w:r>
              <w:t xml:space="preserve">Konstantynopol</w:t>
            </w:r>
            <w:r>
              <w:t xml:space="preserve">Grottaferrata</w:t>
            </w:r>
            <w:r>
              <w:t xml:space="preserve">Kalawrita</w:t>
            </w:r>
            <w:r>
              <w:t xml:space="preserve">Ochryda</w:t>
            </w:r>
            <w:r>
              <w:t xml:space="preserve">Patmos</w:t>
            </w:r>
            <w:r>
              <w:t xml:space="preserve">Sparta</w:t>
            </w:r>
            <w:r>
              <w:t xml:space="preserve">Trikala</w:t>
            </w:r>
          </w:p>
        </w:tc>
        <w:tc>
          <w:tcPr/>
          <w:p>
            <w:pPr>
              <w:pStyle w:val="Compact"/>
              <w:jc w:val="left"/>
            </w:pPr>
            <w:r>
              <w:t xml:space="preserve">Karditsa</w:t>
            </w:r>
            <w:r>
              <w:t xml:space="preserve">Lejda</w:t>
            </w:r>
            <w:r>
              <w:t xml:space="preserve">Londyn</w:t>
            </w:r>
            <w:r>
              <w:t xml:space="preserve">Meteora</w:t>
            </w:r>
            <w:r>
              <w:t xml:space="preserve">Sofia</w:t>
            </w:r>
            <w:r>
              <w:t xml:space="preserve">Vallicelliana (Rzym)</w:t>
            </w:r>
            <w:r>
              <w:t xml:space="preserve">Zittau</w:t>
            </w:r>
          </w:p>
        </w:tc>
        <w:tc>
          <w:tcPr/>
          <w:p>
            <w:pPr>
              <w:pStyle w:val="Compact"/>
              <w:jc w:val="left"/>
            </w:pPr>
            <w:r>
              <w:t xml:space="preserve">Ateny</w:t>
            </w:r>
            <w:r>
              <w:t xml:space="preserve">Jerozolima</w:t>
            </w:r>
            <w:r>
              <w:t xml:space="preserve">Paryż</w:t>
            </w:r>
            <w:r>
              <w:t xml:space="preserve">Synaj</w:t>
            </w:r>
            <w:r>
              <w:t xml:space="preserve">Watykan</w:t>
            </w:r>
          </w:p>
        </w:tc>
      </w:tr>
    </w:tbl>
    <w:p>
      <w:pPr>
        <w:pStyle w:val="BodyText"/>
      </w:pPr>
      <w:r>
        <w:t xml:space="preserve">Synaj, Jerozolima, góra Athos i Watykan znajdują się po obu stronach, lecz tryb oznajmujący ma lepsze rozmieszczenie gdzie indziej, znacząco lepsze.</w:t>
      </w:r>
    </w:p>
    <w:p>
      <w:pPr>
        <w:pStyle w:val="BodyText"/>
      </w:pPr>
      <w:r>
        <w:t xml:space="preserve">W „Adjudicating Family Splits”,</w:t>
      </w:r>
      <w:r>
        <w:rPr>
          <w:rStyle w:val="FootnoteReference"/>
        </w:rPr>
        <w:footnoteReference w:id="510"/>
      </w:r>
      <w:r>
        <w:t xml:space="preserve"> </w:t>
      </w:r>
      <w:r>
        <w:t xml:space="preserve">na podstawie 24 manuskryptów, tryb łączący był poświadczony przez 59% tego wyboru, lecz moje narzędzie ważące zmniejszyło wartość do 43%. Niniejsze opracowanie opiera się na 77 manuskryptach (spośród 84 znanych członków rodziny), a tryb łączący jest obecnie poświadczony przez 61% spośród 77, obraz się nie zmienił. Z pogodą ducha jestem przekonany, że archetyp miał tryb oznajmujący.</w:t>
      </w:r>
    </w:p>
    <w:p>
      <w:pPr>
        <w:pStyle w:val="BodyText"/>
      </w:pPr>
      <w:r>
        <w:t xml:space="preserve">Wracając do wykazu czternastu podziałów na pierwszej stronie, można zauważyć, że niemal wszystkie obejmują jedną literę albo podobnie brzmiący dyftong. Większość z nich stanowi ledwie jakąkolwiek różnicę znaczenia. W całej Rodzinie 35, we wszystkich siedmiu Listach Ogólnych, po prostu nie istnieje żadne znaczące zróżnicowanie. Bóg zachował swój Tekst.</w:t>
      </w:r>
    </w:p>
    <w:bookmarkEnd w:id="511"/>
    <w:bookmarkEnd w:id="512"/>
    <w:bookmarkEnd w:id="513"/>
    <w:bookmarkStart w:id="516" w:name="Xda2d2575d30d2c42a65100ab334631998aae85b"/>
    <w:p>
      <w:pPr>
        <w:pStyle w:val="Heading2"/>
      </w:pPr>
      <w:r>
        <w:t xml:space="preserve">Ranking wariantowy manuskryptów zawierających List Judy (według Wassermana)</w:t>
      </w:r>
      <w:r>
        <w:rPr>
          <w:rStyle w:val="FootnoteReference"/>
        </w:rPr>
        <w:footnoteReference w:id="514"/>
      </w:r>
    </w:p>
    <w:p>
      <w:pPr>
        <w:pStyle w:val="BodyText"/>
      </w:pPr>
      <w:r>
        <w:t xml:space="preserve">Uwagi wstępne: niniejsze badanie nie rości sobie pretensji do ścisłej dokładności. Po prostu podążyłem za Wassermanem, nie sprawdzając żadnych manuskryptów, z wyjątkiem tego, co zaznaczono w komentarzu 4 poniżej. Nie liczyłem żadnego wariantu odczytywanego przez ponad 5% manuskryptów, nawet gdy zarówno Wasserman, jak i ja go odrzuciliśmy,</w:t>
      </w:r>
      <w:r>
        <w:rPr>
          <w:rStyle w:val="FootnoteReference"/>
        </w:rPr>
        <w:footnoteReference w:id="515"/>
      </w:r>
      <w:r>
        <w:t xml:space="preserve"> </w:t>
      </w:r>
      <w:r>
        <w:t xml:space="preserve">gdybym to zrobił, liczba wariantów wielu manuskryptów wzrosłaby. Wasserman nie odnotował około sześciu rodzajów dittografii, które z pewnością bym uwzględnił — liczba wariantów manuskryptów takich jak 01 i 03 gwałtownie by wzrosła. To, co następuje, należy więc traktować jedynie jako przybliżenie, jest ono jednak ważne i wystarczające dla mojego obecnego celu:</w:t>
      </w:r>
      <w:r>
        <w:t xml:space="preserve"> </w:t>
      </w:r>
      <w:r>
        <w:rPr>
          <w:bCs/>
          <w:b/>
        </w:rPr>
        <w:t xml:space="preserve">przedstawienia statystycznego obrazu mentalności kopistów</w:t>
      </w:r>
      <w:r>
        <w:t xml:space="preserve">.</w:t>
      </w:r>
    </w:p>
    <w:p>
      <w:pPr>
        <w:pStyle w:val="BodyText"/>
      </w:pPr>
      <w:r>
        <w:t xml:space="preserve">Jest zupełnie oczywiste, że niektórzy kopiści nie traktowali swojego zadania poważnie (zupełnie niezależnie od celowych zmian), podczas gdy inni traktowali je bardzo poważnie. List Judy jest krótką księgą, zawierającą tylko 25 wersetów. Zauważ, że</w:t>
      </w:r>
      <w:r>
        <w:t xml:space="preserve"> </w:t>
      </w:r>
      <w:r>
        <w:rPr>
          <w:bCs/>
          <w:b/>
        </w:rPr>
        <w:t xml:space="preserve">P</w:t>
      </w:r>
      <w:r>
        <w:rPr>
          <w:vertAlign w:val="superscript"/>
          <w:bCs/>
          <w:b/>
        </w:rPr>
        <w:t xml:space="preserve">72</w:t>
      </w:r>
      <w:r>
        <w:t xml:space="preserve">, nasz najstarszy zachowany manuskrypt, jest zdecydowanie najgorszy, ma dwa warianty na werset! Pierwszych 19 manuskryptów wymienionych poniżej jest naprawdę bardzo kiepskich, kopiści wyraźnie nie mieli szacunku dla tego, co kopiowali. Kopiści następnych 95 manuskryptów nie traktowali swojej pracy poważnie. Jakość ich pracy ostro kontrastuje z jakością pracy znacznej większości kopistów Rodziny 35, najwyraźniej rozumieli oni, że kopiują Święty Tekst (manuskrypty</w:t>
      </w:r>
      <w:r>
        <w:t xml:space="preserve"> </w:t>
      </w:r>
      <w:r>
        <w:rPr>
          <w:bCs/>
          <w:b/>
        </w:rPr>
        <w:t xml:space="preserve">f</w:t>
      </w:r>
      <w:r>
        <w:rPr>
          <w:vertAlign w:val="superscript"/>
          <w:bCs/>
          <w:b/>
        </w:rPr>
        <w:t xml:space="preserve">35</w:t>
      </w:r>
      <w:r>
        <w:t xml:space="preserve"> </w:t>
      </w:r>
      <w:r>
        <w:t xml:space="preserve">są podkreślone).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Liczba wariantów</w:t>
            </w:r>
          </w:p>
        </w:tc>
        <w:tc>
          <w:tcPr/>
          <w:p>
            <w:pPr>
              <w:pStyle w:val="Compact"/>
              <w:jc w:val="left"/>
            </w:pPr>
            <w:r>
              <w:t xml:space="preserve">Manuskrypty</w:t>
            </w:r>
          </w:p>
        </w:tc>
        <w:tc>
          <w:tcPr/>
          <w:p>
            <w:pPr>
              <w:pStyle w:val="Compact"/>
              <w:jc w:val="left"/>
            </w:pPr>
            <w:r>
              <w:t xml:space="preserve">Uwagi</w:t>
            </w:r>
          </w:p>
        </w:tc>
      </w:tr>
      <w:tr>
        <w:tc>
          <w:tcPr/>
          <w:p>
            <w:pPr>
              <w:pStyle w:val="Compact"/>
              <w:jc w:val="right"/>
            </w:pPr>
            <w:r>
              <w:t xml:space="preserve">51</w:t>
            </w:r>
          </w:p>
        </w:tc>
        <w:tc>
          <w:tcPr/>
          <w:p>
            <w:pPr>
              <w:pStyle w:val="Compact"/>
              <w:jc w:val="left"/>
            </w:pPr>
            <w:r>
              <w:rPr>
                <w:bCs/>
                <w:b/>
              </w:rPr>
              <w:t xml:space="preserve">P</w:t>
            </w:r>
            <w:r>
              <w:rPr>
                <w:vertAlign w:val="superscript"/>
                <w:bCs/>
                <w:b/>
              </w:rPr>
              <w:t xml:space="preserve">72</w:t>
            </w:r>
          </w:p>
        </w:tc>
        <w:tc>
          <w:tcPr/>
          <w:p>
            <w:pPr>
              <w:pStyle w:val="Compact"/>
              <w:jc w:val="left"/>
            </w:pPr>
            <w:r>
              <w:rPr>
                <w:bCs/>
                <w:b/>
              </w:rPr>
              <w:t xml:space="preserve">nasz najstarszy zachowany manuskrypt jest zdecydowanie najgorszy!</w:t>
            </w:r>
          </w:p>
        </w:tc>
      </w:tr>
      <w:tr>
        <w:tc>
          <w:tcPr/>
          <w:p>
            <w:pPr>
              <w:pStyle w:val="Compact"/>
              <w:jc w:val="right"/>
            </w:pPr>
            <w:r>
              <w:t xml:space="preserve">34</w:t>
            </w:r>
          </w:p>
        </w:tc>
        <w:tc>
          <w:tcPr/>
          <w:p>
            <w:pPr>
              <w:pStyle w:val="Compact"/>
              <w:jc w:val="left"/>
            </w:pPr>
            <w:r>
              <w:t xml:space="preserve">1241</w:t>
            </w:r>
          </w:p>
        </w:tc>
        <w:tc>
          <w:tcPr/>
          <w:p>
            <w:pPr>
              <w:pStyle w:val="Compact"/>
            </w:pPr>
          </w:p>
        </w:tc>
      </w:tr>
      <w:tr>
        <w:tc>
          <w:tcPr/>
          <w:p>
            <w:pPr>
              <w:pStyle w:val="Compact"/>
              <w:jc w:val="right"/>
            </w:pPr>
            <w:r>
              <w:t xml:space="preserve">32</w:t>
            </w:r>
          </w:p>
        </w:tc>
        <w:tc>
          <w:tcPr/>
          <w:p>
            <w:pPr>
              <w:pStyle w:val="Compact"/>
              <w:jc w:val="left"/>
            </w:pPr>
            <w:r>
              <w:t xml:space="preserve">378, 631, 1838</w:t>
            </w:r>
          </w:p>
        </w:tc>
        <w:tc>
          <w:tcPr/>
          <w:p>
            <w:pPr>
              <w:pStyle w:val="Compact"/>
            </w:pPr>
          </w:p>
        </w:tc>
      </w:tr>
      <w:tr>
        <w:tc>
          <w:tcPr/>
          <w:p>
            <w:pPr>
              <w:pStyle w:val="Compact"/>
              <w:jc w:val="right"/>
            </w:pPr>
            <w:r>
              <w:t xml:space="preserve">30</w:t>
            </w:r>
          </w:p>
        </w:tc>
        <w:tc>
          <w:tcPr/>
          <w:p>
            <w:pPr>
              <w:pStyle w:val="Compact"/>
              <w:jc w:val="left"/>
            </w:pPr>
            <w:r>
              <w:t xml:space="preserve">1646</w:t>
            </w:r>
          </w:p>
        </w:tc>
        <w:tc>
          <w:tcPr/>
          <w:p>
            <w:pPr>
              <w:pStyle w:val="Compact"/>
            </w:pPr>
          </w:p>
        </w:tc>
      </w:tr>
      <w:tr>
        <w:tc>
          <w:tcPr/>
          <w:p>
            <w:pPr>
              <w:pStyle w:val="Compact"/>
              <w:jc w:val="right"/>
            </w:pPr>
            <w:r>
              <w:t xml:space="preserve">29</w:t>
            </w:r>
          </w:p>
        </w:tc>
        <w:tc>
          <w:tcPr/>
          <w:p>
            <w:pPr>
              <w:pStyle w:val="Compact"/>
              <w:jc w:val="left"/>
            </w:pPr>
            <w:r>
              <w:t xml:space="preserve">1847</w:t>
            </w:r>
          </w:p>
        </w:tc>
        <w:tc>
          <w:tcPr/>
          <w:p>
            <w:pPr>
              <w:pStyle w:val="Compact"/>
            </w:pPr>
          </w:p>
        </w:tc>
      </w:tr>
      <w:tr>
        <w:tc>
          <w:tcPr/>
          <w:p>
            <w:pPr>
              <w:pStyle w:val="Compact"/>
              <w:jc w:val="right"/>
            </w:pPr>
            <w:r>
              <w:t xml:space="preserve">28</w:t>
            </w:r>
          </w:p>
        </w:tc>
        <w:tc>
          <w:tcPr/>
          <w:p>
            <w:pPr>
              <w:pStyle w:val="Compact"/>
              <w:jc w:val="left"/>
            </w:pPr>
            <w:r>
              <w:t xml:space="preserve">1751</w:t>
            </w:r>
          </w:p>
        </w:tc>
        <w:tc>
          <w:tcPr/>
          <w:p>
            <w:pPr>
              <w:pStyle w:val="Compact"/>
            </w:pPr>
          </w:p>
        </w:tc>
      </w:tr>
      <w:tr>
        <w:tc>
          <w:tcPr/>
          <w:p>
            <w:pPr>
              <w:pStyle w:val="Compact"/>
              <w:jc w:val="right"/>
            </w:pPr>
            <w:r>
              <w:t xml:space="preserve">25</w:t>
            </w:r>
          </w:p>
        </w:tc>
        <w:tc>
          <w:tcPr/>
          <w:p>
            <w:pPr>
              <w:pStyle w:val="Compact"/>
              <w:jc w:val="left"/>
            </w:pPr>
            <w:r>
              <w:t xml:space="preserve">044</w:t>
            </w:r>
          </w:p>
        </w:tc>
        <w:tc>
          <w:tcPr/>
          <w:p>
            <w:pPr>
              <w:pStyle w:val="Compact"/>
            </w:pPr>
          </w:p>
        </w:tc>
      </w:tr>
      <w:tr>
        <w:tc>
          <w:tcPr/>
          <w:p>
            <w:pPr>
              <w:pStyle w:val="Compact"/>
              <w:jc w:val="right"/>
            </w:pPr>
            <w:r>
              <w:t xml:space="preserve">24</w:t>
            </w:r>
          </w:p>
        </w:tc>
        <w:tc>
          <w:tcPr/>
          <w:p>
            <w:pPr>
              <w:pStyle w:val="Compact"/>
              <w:jc w:val="left"/>
            </w:pPr>
            <w:r>
              <w:t xml:space="preserve">01, 90</w:t>
            </w:r>
          </w:p>
        </w:tc>
        <w:tc>
          <w:tcPr/>
          <w:p>
            <w:pPr>
              <w:pStyle w:val="Compact"/>
            </w:pPr>
          </w:p>
        </w:tc>
      </w:tr>
      <w:tr>
        <w:tc>
          <w:tcPr/>
          <w:p>
            <w:pPr>
              <w:pStyle w:val="Compact"/>
              <w:jc w:val="right"/>
            </w:pPr>
            <w:r>
              <w:t xml:space="preserve">23</w:t>
            </w:r>
          </w:p>
        </w:tc>
        <w:tc>
          <w:tcPr/>
          <w:p>
            <w:pPr>
              <w:pStyle w:val="Compact"/>
              <w:jc w:val="left"/>
            </w:pPr>
            <w:r>
              <w:t xml:space="preserve">1243, 1881</w:t>
            </w:r>
          </w:p>
        </w:tc>
        <w:tc>
          <w:tcPr/>
          <w:p>
            <w:pPr>
              <w:pStyle w:val="Compact"/>
            </w:pPr>
          </w:p>
        </w:tc>
      </w:tr>
      <w:tr>
        <w:tc>
          <w:tcPr/>
          <w:p>
            <w:pPr>
              <w:pStyle w:val="Compact"/>
              <w:jc w:val="right"/>
            </w:pPr>
            <w:r>
              <w:t xml:space="preserve">21</w:t>
            </w:r>
          </w:p>
        </w:tc>
        <w:tc>
          <w:tcPr/>
          <w:p>
            <w:pPr>
              <w:pStyle w:val="Compact"/>
              <w:jc w:val="left"/>
            </w:pPr>
            <w:r>
              <w:t xml:space="preserve">1066, 2147</w:t>
            </w:r>
          </w:p>
        </w:tc>
        <w:tc>
          <w:tcPr/>
          <w:p>
            <w:pPr>
              <w:pStyle w:val="Compact"/>
            </w:pPr>
          </w:p>
        </w:tc>
      </w:tr>
      <w:tr>
        <w:tc>
          <w:tcPr/>
          <w:p>
            <w:pPr>
              <w:pStyle w:val="Compact"/>
              <w:jc w:val="right"/>
            </w:pPr>
            <w:r>
              <w:t xml:space="preserve">20</w:t>
            </w:r>
          </w:p>
        </w:tc>
        <w:tc>
          <w:tcPr/>
          <w:p>
            <w:pPr>
              <w:pStyle w:val="Compact"/>
              <w:jc w:val="left"/>
            </w:pPr>
            <w:r>
              <w:t xml:space="preserve">6, 61, 915, 1505</w:t>
            </w:r>
          </w:p>
        </w:tc>
        <w:tc>
          <w:tcPr/>
          <w:p>
            <w:pPr>
              <w:pStyle w:val="Compact"/>
              <w:jc w:val="left"/>
            </w:pPr>
            <w:r>
              <w:t xml:space="preserve">dotąd 19 manuskryptów</w:t>
            </w:r>
          </w:p>
        </w:tc>
      </w:tr>
      <w:tr>
        <w:tc>
          <w:tcPr/>
          <w:p>
            <w:pPr>
              <w:pStyle w:val="Compact"/>
              <w:jc w:val="right"/>
            </w:pPr>
            <w:r>
              <w:t xml:space="preserve">19</w:t>
            </w:r>
          </w:p>
        </w:tc>
        <w:tc>
          <w:tcPr/>
          <w:p>
            <w:pPr>
              <w:pStyle w:val="Compact"/>
              <w:jc w:val="left"/>
            </w:pPr>
            <w:r>
              <w:t xml:space="preserve">38, 629, 1852, 1875, 1886</w:t>
            </w:r>
          </w:p>
        </w:tc>
        <w:tc>
          <w:tcPr/>
          <w:p>
            <w:pPr>
              <w:pStyle w:val="Compact"/>
            </w:pPr>
          </w:p>
        </w:tc>
      </w:tr>
      <w:tr>
        <w:tc>
          <w:tcPr/>
          <w:p>
            <w:pPr>
              <w:pStyle w:val="Compact"/>
              <w:jc w:val="right"/>
            </w:pPr>
            <w:r>
              <w:t xml:space="preserve">18</w:t>
            </w:r>
          </w:p>
        </w:tc>
        <w:tc>
          <w:tcPr/>
          <w:p>
            <w:pPr>
              <w:pStyle w:val="Compact"/>
              <w:jc w:val="left"/>
            </w:pPr>
            <w:r>
              <w:t xml:space="preserve">621, 1729, 2675</w:t>
            </w:r>
          </w:p>
        </w:tc>
        <w:tc>
          <w:tcPr/>
          <w:p>
            <w:pPr>
              <w:pStyle w:val="Compact"/>
            </w:pPr>
          </w:p>
        </w:tc>
      </w:tr>
      <w:tr>
        <w:tc>
          <w:tcPr/>
          <w:p>
            <w:pPr>
              <w:pStyle w:val="Compact"/>
              <w:jc w:val="right"/>
            </w:pPr>
            <w:r>
              <w:t xml:space="preserve">17</w:t>
            </w:r>
          </w:p>
        </w:tc>
        <w:tc>
          <w:tcPr/>
          <w:p>
            <w:pPr>
              <w:pStyle w:val="Compact"/>
              <w:jc w:val="left"/>
            </w:pPr>
            <w:r>
              <w:t xml:space="preserve">88, 322, 323, 1311, 1735, 2495</w:t>
            </w:r>
          </w:p>
        </w:tc>
        <w:tc>
          <w:tcPr/>
          <w:p>
            <w:pPr>
              <w:pStyle w:val="Compact"/>
            </w:pPr>
          </w:p>
        </w:tc>
      </w:tr>
      <w:tr>
        <w:tc>
          <w:tcPr/>
          <w:p>
            <w:pPr>
              <w:pStyle w:val="Compact"/>
              <w:jc w:val="right"/>
            </w:pPr>
            <w:r>
              <w:t xml:space="preserve">16</w:t>
            </w:r>
          </w:p>
        </w:tc>
        <w:tc>
          <w:tcPr/>
          <w:p>
            <w:pPr>
              <w:pStyle w:val="Compact"/>
              <w:jc w:val="left"/>
            </w:pPr>
            <w:r>
              <w:t xml:space="preserve">522, 1611</w:t>
            </w:r>
          </w:p>
        </w:tc>
        <w:tc>
          <w:tcPr/>
          <w:p>
            <w:pPr>
              <w:pStyle w:val="Compact"/>
            </w:pPr>
          </w:p>
        </w:tc>
      </w:tr>
      <w:tr>
        <w:tc>
          <w:tcPr/>
          <w:p>
            <w:pPr>
              <w:pStyle w:val="Compact"/>
              <w:jc w:val="right"/>
            </w:pPr>
            <w:r>
              <w:t xml:space="preserve">15</w:t>
            </w:r>
          </w:p>
        </w:tc>
        <w:tc>
          <w:tcPr/>
          <w:p>
            <w:pPr>
              <w:pStyle w:val="Compact"/>
              <w:jc w:val="left"/>
            </w:pPr>
            <w:r>
              <w:t xml:space="preserve">43, 459, 460, 616, 618, 918, 1739, 1834, 1844, 2242, 2298, 2344, 2412, 2674</w:t>
            </w:r>
          </w:p>
        </w:tc>
        <w:tc>
          <w:tcPr/>
          <w:p>
            <w:pPr>
              <w:pStyle w:val="Compact"/>
            </w:pPr>
          </w:p>
        </w:tc>
      </w:tr>
      <w:tr>
        <w:tc>
          <w:tcPr/>
          <w:p>
            <w:pPr>
              <w:pStyle w:val="Compact"/>
              <w:jc w:val="right"/>
            </w:pPr>
            <w:r>
              <w:t xml:space="preserve">14</w:t>
            </w:r>
          </w:p>
        </w:tc>
        <w:tc>
          <w:tcPr/>
          <w:p>
            <w:pPr>
              <w:pStyle w:val="Compact"/>
              <w:jc w:val="left"/>
            </w:pPr>
            <w:r>
              <w:t xml:space="preserve">03, 93, 104, 181, 321, 633, 680, 1292, 1845, 2652</w:t>
            </w:r>
          </w:p>
        </w:tc>
        <w:tc>
          <w:tcPr/>
          <w:p>
            <w:pPr>
              <w:pStyle w:val="Compact"/>
            </w:pPr>
          </w:p>
        </w:tc>
      </w:tr>
      <w:tr>
        <w:tc>
          <w:tcPr/>
          <w:p>
            <w:pPr>
              <w:pStyle w:val="Compact"/>
              <w:jc w:val="right"/>
            </w:pPr>
            <w:r>
              <w:t xml:space="preserve">13</w:t>
            </w:r>
          </w:p>
        </w:tc>
        <w:tc>
          <w:tcPr/>
          <w:p>
            <w:pPr>
              <w:pStyle w:val="Compact"/>
              <w:jc w:val="left"/>
            </w:pPr>
            <w:r>
              <w:t xml:space="preserve">04, 0142, 442, 630, 1104, 1523, 2200, 2818</w:t>
            </w:r>
          </w:p>
        </w:tc>
        <w:tc>
          <w:tcPr/>
          <w:p>
            <w:pPr>
              <w:pStyle w:val="Compact"/>
            </w:pPr>
          </w:p>
        </w:tc>
      </w:tr>
      <w:tr>
        <w:tc>
          <w:tcPr/>
          <w:p>
            <w:pPr>
              <w:pStyle w:val="Compact"/>
              <w:jc w:val="right"/>
            </w:pPr>
            <w:r>
              <w:t xml:space="preserve">12</w:t>
            </w:r>
          </w:p>
        </w:tc>
        <w:tc>
          <w:tcPr/>
          <w:p>
            <w:pPr>
              <w:pStyle w:val="Compact"/>
              <w:jc w:val="left"/>
            </w:pPr>
            <w:r>
              <w:t xml:space="preserve">02, 33, 180, 431, 1240, 1405, 1837, 1877, 2138, 2186</w:t>
            </w:r>
          </w:p>
        </w:tc>
        <w:tc>
          <w:tcPr/>
          <w:p>
            <w:pPr>
              <w:pStyle w:val="Compact"/>
            </w:pPr>
          </w:p>
        </w:tc>
      </w:tr>
      <w:tr>
        <w:tc>
          <w:tcPr/>
          <w:p>
            <w:pPr>
              <w:pStyle w:val="Compact"/>
              <w:jc w:val="right"/>
            </w:pPr>
            <w:r>
              <w:t xml:space="preserve">11</w:t>
            </w:r>
          </w:p>
        </w:tc>
        <w:tc>
          <w:tcPr/>
          <w:p>
            <w:pPr>
              <w:pStyle w:val="Compact"/>
              <w:jc w:val="left"/>
            </w:pPr>
            <w:r>
              <w:t xml:space="preserve">94, 131, 177, 307, 337, 496, 506, 636, 665, 876, 1501, 1661, 1827, 1828, 1869, 2544, 2691, 2805</w:t>
            </w:r>
          </w:p>
        </w:tc>
        <w:tc>
          <w:tcPr/>
          <w:p>
            <w:pPr>
              <w:pStyle w:val="Compact"/>
            </w:pPr>
          </w:p>
        </w:tc>
      </w:tr>
      <w:tr>
        <w:tc>
          <w:tcPr/>
          <w:p>
            <w:pPr>
              <w:pStyle w:val="Compact"/>
              <w:jc w:val="right"/>
            </w:pPr>
            <w:r>
              <w:t xml:space="preserve">10</w:t>
            </w:r>
          </w:p>
        </w:tc>
        <w:tc>
          <w:tcPr/>
          <w:p>
            <w:pPr>
              <w:pStyle w:val="Compact"/>
              <w:jc w:val="left"/>
            </w:pPr>
            <w:r>
              <w:t xml:space="preserve">056, 326, 489, 625, 1067, 1315, 1409, 1595, 1610, 1642, 1719, 1832, 1836, 1842, 1874, 1893, 2404, 2494, 2696</w:t>
            </w:r>
          </w:p>
        </w:tc>
        <w:tc>
          <w:tcPr/>
          <w:p>
            <w:pPr>
              <w:pStyle w:val="Compact"/>
              <w:jc w:val="left"/>
            </w:pPr>
            <w:r>
              <w:t xml:space="preserve">+ 95 manuskryptów, dotąd łącznie 114</w:t>
            </w:r>
          </w:p>
        </w:tc>
      </w:tr>
      <w:tr>
        <w:tc>
          <w:tcPr/>
          <w:p>
            <w:pPr>
              <w:pStyle w:val="Compact"/>
              <w:jc w:val="right"/>
            </w:pPr>
            <w:r>
              <w:t xml:space="preserve">9</w:t>
            </w:r>
          </w:p>
        </w:tc>
        <w:tc>
          <w:tcPr/>
          <w:p>
            <w:pPr>
              <w:pStyle w:val="Compact"/>
              <w:jc w:val="left"/>
            </w:pPr>
            <w:r>
              <w:t xml:space="preserve">218, 254, 263, 309, 458, 467, 1107, 1270, 1319, 1367, 1424, 1524, 1598, 1678, 1765, 1840, 2197, 2473, 2816</w:t>
            </w:r>
          </w:p>
        </w:tc>
        <w:tc>
          <w:tcPr/>
          <w:p>
            <w:pPr>
              <w:pStyle w:val="Compact"/>
            </w:pPr>
          </w:p>
        </w:tc>
      </w:tr>
      <w:tr>
        <w:tc>
          <w:tcPr/>
          <w:p>
            <w:pPr>
              <w:pStyle w:val="Compact"/>
              <w:jc w:val="right"/>
            </w:pPr>
            <w:r>
              <w:t xml:space="preserve">8</w:t>
            </w:r>
          </w:p>
        </w:tc>
        <w:tc>
          <w:tcPr/>
          <w:p>
            <w:pPr>
              <w:pStyle w:val="Compact"/>
              <w:jc w:val="left"/>
            </w:pPr>
            <w:r>
              <w:t xml:space="preserve">102, 436, 453, 582, 608, 615, 927, 996,</w:t>
            </w:r>
            <w:r>
              <w:t xml:space="preserve"> </w:t>
            </w:r>
            <w:r>
              <w:rPr>
                <w:u w:val="single"/>
              </w:rPr>
              <w:t xml:space="preserve">1247</w:t>
            </w:r>
            <w:r>
              <w:t xml:space="preserve">, 1297, 1390, 1425, 1448, 1509, 1649, 1702, 1724, 1762, 1839, 1890, 2194, 2400, 2502, 2516, 2718</w:t>
            </w:r>
          </w:p>
        </w:tc>
        <w:tc>
          <w:tcPr/>
          <w:p>
            <w:pPr>
              <w:pStyle w:val="Compact"/>
            </w:pPr>
          </w:p>
        </w:tc>
      </w:tr>
      <w:tr>
        <w:tc>
          <w:tcPr/>
          <w:p>
            <w:pPr>
              <w:pStyle w:val="Compact"/>
              <w:jc w:val="right"/>
            </w:pPr>
            <w:r>
              <w:t xml:space="preserve">7</w:t>
            </w:r>
          </w:p>
        </w:tc>
        <w:tc>
          <w:tcPr/>
          <w:p>
            <w:pPr>
              <w:pStyle w:val="Compact"/>
              <w:jc w:val="left"/>
            </w:pPr>
            <w:r>
              <w:t xml:space="preserve">3, 203, 312, 421, 469, 628, 639, 914, 941, 999, 1003, 1175, 1245, 1573, 1718, 1741, 1744, 1753, 1780, 1799, 1829, 1872, 1882, 2127, 2243, 2318, 2401, 2513, 2865</w:t>
            </w:r>
          </w:p>
        </w:tc>
        <w:tc>
          <w:tcPr/>
          <w:p>
            <w:pPr>
              <w:pStyle w:val="Compact"/>
            </w:pPr>
          </w:p>
        </w:tc>
      </w:tr>
      <w:tr>
        <w:tc>
          <w:tcPr/>
          <w:p>
            <w:pPr>
              <w:pStyle w:val="Compact"/>
              <w:jc w:val="right"/>
            </w:pPr>
            <w:r>
              <w:t xml:space="preserve">6</w:t>
            </w:r>
          </w:p>
        </w:tc>
        <w:tc>
          <w:tcPr/>
          <w:p>
            <w:pPr>
              <w:pStyle w:val="Compact"/>
              <w:jc w:val="left"/>
            </w:pPr>
            <w:r>
              <w:rPr>
                <w:bCs/>
                <w:b/>
              </w:rPr>
              <w:t xml:space="preserve">P</w:t>
            </w:r>
            <w:r>
              <w:rPr>
                <w:vertAlign w:val="superscript"/>
                <w:bCs/>
                <w:b/>
              </w:rPr>
              <w:t xml:space="preserve">78</w:t>
            </w:r>
            <w:r>
              <w:t xml:space="preserve">, 5, 42, 62, 234, 383, 393, 607, 623, 632, 641, 917, 921, 922, 1563, 1736, 1830, 1850, 1853, 1857, 1868, 1896, 2086, 2125, 2180, 2279, 2492, 2508, 2625, 2705</w:t>
            </w:r>
          </w:p>
        </w:tc>
        <w:tc>
          <w:tcPr/>
          <w:p>
            <w:pPr>
              <w:pStyle w:val="Compact"/>
            </w:pPr>
          </w:p>
        </w:tc>
      </w:tr>
      <w:tr>
        <w:tc>
          <w:tcPr/>
          <w:p>
            <w:pPr>
              <w:pStyle w:val="Compact"/>
              <w:jc w:val="right"/>
            </w:pPr>
            <w:r>
              <w:t xml:space="preserve">5</w:t>
            </w:r>
          </w:p>
        </w:tc>
        <w:tc>
          <w:tcPr/>
          <w:p>
            <w:pPr>
              <w:pStyle w:val="Compact"/>
              <w:jc w:val="left"/>
            </w:pPr>
            <w:r>
              <w:t xml:space="preserve">018, 0316, 51, 81, 103, 206, 327, 384, 385, 390, 452, 454, 606, 637, 945, 1070, 1099, 1127, 1359, 1360, 1594, 1626, 1727, 1731, 1831, 1843, 1873, 1880, 1888, 1891, 1902, 2085, 2288,</w:t>
            </w:r>
            <w:r>
              <w:t xml:space="preserve"> </w:t>
            </w:r>
            <w:r>
              <w:rPr>
                <w:u w:val="single"/>
              </w:rPr>
              <w:t xml:space="preserve">2501</w:t>
            </w:r>
            <w:r>
              <w:t xml:space="preserve">, 2527, 2716</w:t>
            </w:r>
          </w:p>
        </w:tc>
        <w:tc>
          <w:tcPr/>
          <w:p>
            <w:pPr>
              <w:pStyle w:val="Compact"/>
              <w:jc w:val="left"/>
            </w:pPr>
            <w:r>
              <w:t xml:space="preserve">+ 139 manuskryptów, dotąd łącznie 253</w:t>
            </w:r>
          </w:p>
        </w:tc>
      </w:tr>
      <w:tr>
        <w:tc>
          <w:tcPr/>
          <w:p>
            <w:pPr>
              <w:pStyle w:val="Compact"/>
              <w:jc w:val="right"/>
            </w:pPr>
            <w:r>
              <w:t xml:space="preserve">4</w:t>
            </w:r>
          </w:p>
        </w:tc>
        <w:tc>
          <w:tcPr/>
          <w:p>
            <w:pPr>
              <w:pStyle w:val="Compact"/>
              <w:jc w:val="left"/>
            </w:pPr>
            <w:r>
              <w:t xml:space="preserve">049, 1, 76, 205, 223, 241, 252, 296, 363, 424, 429, 466, 592, 620, 642, 656, 901, 912, 913, 1069, 1103, 1106, 1149, 1162, 1244,</w:t>
            </w:r>
            <w:r>
              <w:t xml:space="preserve"> </w:t>
            </w:r>
            <w:r>
              <w:rPr>
                <w:u w:val="single"/>
              </w:rPr>
              <w:t xml:space="preserve">1248</w:t>
            </w:r>
            <w:r>
              <w:t xml:space="preserve">, 1352, 1495, 1521, 1717, 1734, 1757, 1760,</w:t>
            </w:r>
            <w:r>
              <w:t xml:space="preserve"> </w:t>
            </w:r>
            <w:r>
              <w:rPr>
                <w:u w:val="single"/>
              </w:rPr>
              <w:t xml:space="preserve">1767</w:t>
            </w:r>
            <w:r>
              <w:t xml:space="preserve">, 1847, 1851, 1860, 1861, 1863, 1889, 1894, 1895, 2131, 2378, 2423, 2558, 2712, 2736, 2746, 2774</w:t>
            </w:r>
          </w:p>
        </w:tc>
        <w:tc>
          <w:tcPr/>
          <w:p>
            <w:pPr>
              <w:pStyle w:val="Compact"/>
            </w:pPr>
          </w:p>
        </w:tc>
      </w:tr>
      <w:tr>
        <w:tc>
          <w:tcPr/>
          <w:p>
            <w:pPr>
              <w:pStyle w:val="Compact"/>
              <w:jc w:val="right"/>
            </w:pPr>
            <w:r>
              <w:t xml:space="preserve">3</w:t>
            </w:r>
          </w:p>
        </w:tc>
        <w:tc>
          <w:tcPr/>
          <w:p>
            <w:pPr>
              <w:pStyle w:val="Compact"/>
              <w:jc w:val="left"/>
            </w:pPr>
            <w:r>
              <w:t xml:space="preserve">020, 57, 82, 110, 205</w:t>
            </w:r>
            <w:r>
              <w:rPr>
                <w:vertAlign w:val="superscript"/>
              </w:rPr>
              <w:t xml:space="preserve">abs</w:t>
            </w:r>
            <w:r>
              <w:t xml:space="preserve">, 221, 250, 314, 330, 400,</w:t>
            </w:r>
            <w:r>
              <w:t xml:space="preserve"> </w:t>
            </w:r>
            <w:r>
              <w:rPr>
                <w:u w:val="single"/>
              </w:rPr>
              <w:t xml:space="preserve">432</w:t>
            </w:r>
            <w:r>
              <w:t xml:space="preserve">, 451, 456, 462, 465, 491, 613, 614, 617, 619,</w:t>
            </w:r>
            <w:r>
              <w:t xml:space="preserve"> </w:t>
            </w:r>
            <w:r>
              <w:rPr>
                <w:u w:val="single"/>
              </w:rPr>
              <w:t xml:space="preserve">634</w:t>
            </w:r>
            <w:r>
              <w:t xml:space="preserve">, 635,</w:t>
            </w:r>
            <w:r>
              <w:t xml:space="preserve"> </w:t>
            </w:r>
            <w:r>
              <w:rPr>
                <w:u w:val="single"/>
              </w:rPr>
              <w:t xml:space="preserve">664</w:t>
            </w:r>
            <w:r>
              <w:t xml:space="preserve">, 796,</w:t>
            </w:r>
            <w:r>
              <w:t xml:space="preserve"> </w:t>
            </w:r>
            <w:r>
              <w:rPr>
                <w:u w:val="single"/>
              </w:rPr>
              <w:t xml:space="preserve">801</w:t>
            </w:r>
            <w:r>
              <w:t xml:space="preserve">, 832, 1022,</w:t>
            </w:r>
            <w:r>
              <w:t xml:space="preserve"> </w:t>
            </w:r>
            <w:r>
              <w:rPr>
                <w:u w:val="single"/>
              </w:rPr>
              <w:t xml:space="preserve">1250</w:t>
            </w:r>
            <w:r>
              <w:t xml:space="preserve">,</w:t>
            </w:r>
            <w:r>
              <w:t xml:space="preserve"> </w:t>
            </w:r>
            <w:r>
              <w:rPr>
                <w:u w:val="single"/>
              </w:rPr>
              <w:t xml:space="preserve">1251</w:t>
            </w:r>
            <w:r>
              <w:t xml:space="preserve">, 1277, 1384, 1398, 1599, 1622, 1673,</w:t>
            </w:r>
            <w:r>
              <w:t xml:space="preserve"> </w:t>
            </w:r>
            <w:r>
              <w:rPr>
                <w:u w:val="single"/>
              </w:rPr>
              <w:t xml:space="preserve">1721</w:t>
            </w:r>
            <w:r>
              <w:t xml:space="preserve">, 1742, 1747, 1769, 1841, 1849, 1856, 1859, 1862, 1867,</w:t>
            </w:r>
            <w:r>
              <w:t xml:space="preserve"> </w:t>
            </w:r>
            <w:r>
              <w:rPr>
                <w:u w:val="single"/>
              </w:rPr>
              <w:t xml:space="preserve">1876</w:t>
            </w:r>
            <w:r>
              <w:t xml:space="preserve">, 2191, 2201,</w:t>
            </w:r>
            <w:r>
              <w:t xml:space="preserve"> </w:t>
            </w:r>
            <w:r>
              <w:rPr>
                <w:u w:val="single"/>
              </w:rPr>
              <w:t xml:space="preserve">2218</w:t>
            </w:r>
            <w:r>
              <w:t xml:space="preserve">, 2374, 2475, 2484, 2627,</w:t>
            </w:r>
            <w:r>
              <w:t xml:space="preserve"> </w:t>
            </w:r>
            <w:r>
              <w:rPr>
                <w:u w:val="single"/>
              </w:rPr>
              <w:t xml:space="preserve">2704</w:t>
            </w:r>
            <w:r>
              <w:t xml:space="preserve">, 2776</w:t>
            </w:r>
          </w:p>
        </w:tc>
        <w:tc>
          <w:tcPr/>
          <w:p>
            <w:pPr>
              <w:pStyle w:val="Compact"/>
            </w:pPr>
          </w:p>
        </w:tc>
      </w:tr>
      <w:tr>
        <w:tc>
          <w:tcPr/>
          <w:p>
            <w:pPr>
              <w:pStyle w:val="Compact"/>
              <w:jc w:val="right"/>
            </w:pPr>
            <w:r>
              <w:t xml:space="preserve">2</w:t>
            </w:r>
          </w:p>
        </w:tc>
        <w:tc>
          <w:tcPr/>
          <w:p>
            <w:pPr>
              <w:pStyle w:val="Compact"/>
              <w:jc w:val="left"/>
            </w:pPr>
            <w:r>
              <w:rPr>
                <w:u w:val="single"/>
              </w:rPr>
              <w:t xml:space="preserve">35</w:t>
            </w:r>
            <w:r>
              <w:t xml:space="preserve">, 97, 105, 142,</w:t>
            </w:r>
            <w:r>
              <w:t xml:space="preserve"> </w:t>
            </w:r>
            <w:r>
              <w:rPr>
                <w:u w:val="single"/>
              </w:rPr>
              <w:t xml:space="preserve">149</w:t>
            </w:r>
            <w:r>
              <w:t xml:space="preserve">,</w:t>
            </w:r>
            <w:r>
              <w:t xml:space="preserve"> </w:t>
            </w:r>
            <w:r>
              <w:rPr>
                <w:u w:val="single"/>
              </w:rPr>
              <w:t xml:space="preserve">328</w:t>
            </w:r>
            <w:r>
              <w:t xml:space="preserve">, 367, 398, 404, 425, 450, 468, 610, 622, 676, 720, 808, 910, 920,</w:t>
            </w:r>
            <w:r>
              <w:t xml:space="preserve"> </w:t>
            </w:r>
            <w:r>
              <w:rPr>
                <w:u w:val="single"/>
              </w:rPr>
              <w:t xml:space="preserve">986</w:t>
            </w:r>
            <w:r>
              <w:t xml:space="preserve">, 1105, 1115, 1242,</w:t>
            </w:r>
            <w:r>
              <w:t xml:space="preserve"> </w:t>
            </w:r>
            <w:r>
              <w:rPr>
                <w:u w:val="single"/>
              </w:rPr>
              <w:t xml:space="preserve">1354</w:t>
            </w:r>
            <w:r>
              <w:t xml:space="preserve">, 1490, 1609,</w:t>
            </w:r>
            <w:r>
              <w:t xml:space="preserve"> </w:t>
            </w:r>
            <w:r>
              <w:rPr>
                <w:u w:val="single"/>
              </w:rPr>
              <w:t xml:space="preserve">1617</w:t>
            </w:r>
            <w:r>
              <w:t xml:space="preserve">, 1720, 1730,</w:t>
            </w:r>
            <w:r>
              <w:t xml:space="preserve"> </w:t>
            </w:r>
            <w:r>
              <w:rPr>
                <w:u w:val="single"/>
              </w:rPr>
              <w:t xml:space="preserve">1732</w:t>
            </w:r>
            <w:r>
              <w:t xml:space="preserve">, 1743, 1750,</w:t>
            </w:r>
            <w:r>
              <w:t xml:space="preserve"> </w:t>
            </w:r>
            <w:r>
              <w:rPr>
                <w:u w:val="single"/>
              </w:rPr>
              <w:t xml:space="preserve">1754</w:t>
            </w:r>
            <w:r>
              <w:t xml:space="preserve">, 1871, 1885,</w:t>
            </w:r>
            <w:r>
              <w:t xml:space="preserve"> </w:t>
            </w:r>
            <w:r>
              <w:rPr>
                <w:u w:val="single"/>
              </w:rPr>
              <w:t xml:space="preserve">1892</w:t>
            </w:r>
            <w:r>
              <w:t xml:space="preserve">, 1903, 2143, 2289,</w:t>
            </w:r>
            <w:r>
              <w:t xml:space="preserve"> </w:t>
            </w:r>
            <w:r>
              <w:rPr>
                <w:u w:val="single"/>
              </w:rPr>
              <w:t xml:space="preserve">2466</w:t>
            </w:r>
            <w:r>
              <w:t xml:space="preserve">, 2483,</w:t>
            </w:r>
            <w:r>
              <w:t xml:space="preserve"> </w:t>
            </w:r>
            <w:r>
              <w:rPr>
                <w:u w:val="single"/>
              </w:rPr>
              <w:t xml:space="preserve">2626</w:t>
            </w:r>
            <w:r>
              <w:t xml:space="preserve">,</w:t>
            </w:r>
            <w:r>
              <w:t xml:space="preserve"> </w:t>
            </w:r>
            <w:r>
              <w:rPr>
                <w:u w:val="single"/>
              </w:rPr>
              <w:t xml:space="preserve">2653</w:t>
            </w:r>
            <w:r>
              <w:t xml:space="preserve">, 2815</w:t>
            </w:r>
          </w:p>
        </w:tc>
        <w:tc>
          <w:tcPr/>
          <w:p>
            <w:pPr>
              <w:pStyle w:val="Compact"/>
            </w:pPr>
          </w:p>
        </w:tc>
      </w:tr>
      <w:tr>
        <w:tc>
          <w:tcPr/>
          <w:p>
            <w:pPr>
              <w:pStyle w:val="Compact"/>
              <w:jc w:val="right"/>
            </w:pPr>
            <w:r>
              <w:t xml:space="preserve">1</w:t>
            </w:r>
          </w:p>
        </w:tc>
        <w:tc>
          <w:tcPr/>
          <w:p>
            <w:pPr>
              <w:pStyle w:val="Compact"/>
              <w:jc w:val="left"/>
            </w:pPr>
            <w:r>
              <w:t xml:space="preserve">025, 69, 101, 133, 172, 175, 189,</w:t>
            </w:r>
            <w:r>
              <w:t xml:space="preserve"> </w:t>
            </w:r>
            <w:r>
              <w:rPr>
                <w:u w:val="single"/>
              </w:rPr>
              <w:t xml:space="preserve">201</w:t>
            </w:r>
            <w:r>
              <w:t xml:space="preserve">, 209, 242, 256, 440,</w:t>
            </w:r>
            <w:r>
              <w:t xml:space="preserve"> </w:t>
            </w:r>
            <w:r>
              <w:rPr>
                <w:u w:val="single"/>
              </w:rPr>
              <w:t xml:space="preserve">444</w:t>
            </w:r>
            <w:r>
              <w:t xml:space="preserve">, 479, 483, 517, 547, 601, 602, 605, 638, 699, 712, 997,</w:t>
            </w:r>
            <w:r>
              <w:t xml:space="preserve"> </w:t>
            </w:r>
            <w:r>
              <w:rPr>
                <w:u w:val="single"/>
              </w:rPr>
              <w:t xml:space="preserve">1058</w:t>
            </w:r>
            <w:r>
              <w:t xml:space="preserve">, 1102, 1161,</w:t>
            </w:r>
            <w:r>
              <w:t xml:space="preserve"> </w:t>
            </w:r>
            <w:r>
              <w:rPr>
                <w:u w:val="single"/>
              </w:rPr>
              <w:t xml:space="preserve">1249</w:t>
            </w:r>
            <w:r>
              <w:t xml:space="preserve">, 1404,</w:t>
            </w:r>
            <w:r>
              <w:t xml:space="preserve"> </w:t>
            </w:r>
            <w:r>
              <w:rPr>
                <w:u w:val="single"/>
              </w:rPr>
              <w:t xml:space="preserve">1548</w:t>
            </w:r>
            <w:r>
              <w:t xml:space="preserve">, 1597,</w:t>
            </w:r>
            <w:r>
              <w:t xml:space="preserve"> </w:t>
            </w:r>
            <w:r>
              <w:rPr>
                <w:u w:val="single"/>
              </w:rPr>
              <w:t xml:space="preserve">1628</w:t>
            </w:r>
            <w:r>
              <w:t xml:space="preserve">, 1643, 1722,</w:t>
            </w:r>
            <w:r>
              <w:t xml:space="preserve"> </w:t>
            </w:r>
            <w:r>
              <w:rPr>
                <w:u w:val="single"/>
              </w:rPr>
              <w:t xml:space="preserve">1725</w:t>
            </w:r>
            <w:r>
              <w:t xml:space="preserve">,</w:t>
            </w:r>
            <w:r>
              <w:t xml:space="preserve"> </w:t>
            </w:r>
            <w:r>
              <w:rPr>
                <w:u w:val="single"/>
              </w:rPr>
              <w:t xml:space="preserve">1726</w:t>
            </w:r>
            <w:r>
              <w:t xml:space="preserve">, 1728,</w:t>
            </w:r>
            <w:r>
              <w:t xml:space="preserve"> </w:t>
            </w:r>
            <w:r>
              <w:rPr>
                <w:u w:val="single"/>
              </w:rPr>
              <w:t xml:space="preserve">1733</w:t>
            </w:r>
            <w:r>
              <w:t xml:space="preserve">,</w:t>
            </w:r>
            <w:r>
              <w:t xml:space="preserve"> </w:t>
            </w:r>
            <w:r>
              <w:rPr>
                <w:u w:val="single"/>
              </w:rPr>
              <w:t xml:space="preserve">1746</w:t>
            </w:r>
            <w:r>
              <w:t xml:space="preserve">,</w:t>
            </w:r>
            <w:r>
              <w:t xml:space="preserve"> </w:t>
            </w:r>
            <w:r>
              <w:rPr>
                <w:u w:val="single"/>
              </w:rPr>
              <w:t xml:space="preserve">1748</w:t>
            </w:r>
            <w:r>
              <w:t xml:space="preserve">,</w:t>
            </w:r>
            <w:r>
              <w:t xml:space="preserve"> </w:t>
            </w:r>
            <w:r>
              <w:rPr>
                <w:u w:val="single"/>
              </w:rPr>
              <w:t xml:space="preserve">1749</w:t>
            </w:r>
            <w:r>
              <w:t xml:space="preserve">,</w:t>
            </w:r>
            <w:r>
              <w:t xml:space="preserve"> </w:t>
            </w:r>
            <w:r>
              <w:rPr>
                <w:u w:val="single"/>
              </w:rPr>
              <w:t xml:space="preserve">1766</w:t>
            </w:r>
            <w:r>
              <w:t xml:space="preserve">,</w:t>
            </w:r>
            <w:r>
              <w:t xml:space="preserve"> </w:t>
            </w:r>
            <w:r>
              <w:rPr>
                <w:u w:val="single"/>
              </w:rPr>
              <w:t xml:space="preserve">1768</w:t>
            </w:r>
            <w:r>
              <w:t xml:space="preserve">, 1795, 1854, 1870,</w:t>
            </w:r>
            <w:r>
              <w:t xml:space="preserve"> </w:t>
            </w:r>
            <w:r>
              <w:rPr>
                <w:u w:val="single"/>
              </w:rPr>
              <w:t xml:space="preserve">1897</w:t>
            </w:r>
            <w:r>
              <w:t xml:space="preserve">,</w:t>
            </w:r>
            <w:r>
              <w:t xml:space="preserve"> </w:t>
            </w:r>
            <w:r>
              <w:rPr>
                <w:u w:val="single"/>
              </w:rPr>
              <w:t xml:space="preserve">2255</w:t>
            </w:r>
            <w:r>
              <w:t xml:space="preserve">,</w:t>
            </w:r>
            <w:r>
              <w:t xml:space="preserve"> </w:t>
            </w:r>
            <w:r>
              <w:rPr>
                <w:u w:val="single"/>
              </w:rPr>
              <w:t xml:space="preserve">2431</w:t>
            </w:r>
            <w:r>
              <w:t xml:space="preserve">,</w:t>
            </w:r>
            <w:r>
              <w:t xml:space="preserve"> </w:t>
            </w:r>
            <w:r>
              <w:rPr>
                <w:u w:val="single"/>
              </w:rPr>
              <w:t xml:space="preserve">2587</w:t>
            </w:r>
            <w:r>
              <w:t xml:space="preserve">,</w:t>
            </w:r>
            <w:r>
              <w:t xml:space="preserve"> </w:t>
            </w:r>
            <w:r>
              <w:rPr>
                <w:u w:val="single"/>
              </w:rPr>
              <w:t xml:space="preserve">2777</w:t>
            </w:r>
          </w:p>
        </w:tc>
        <w:tc>
          <w:tcPr/>
          <w:p>
            <w:pPr>
              <w:pStyle w:val="Compact"/>
            </w:pPr>
          </w:p>
        </w:tc>
      </w:tr>
      <w:tr>
        <w:tc>
          <w:tcPr/>
          <w:p>
            <w:pPr>
              <w:pStyle w:val="Compact"/>
              <w:jc w:val="right"/>
            </w:pPr>
            <w:r>
              <w:t xml:space="preserve">0</w:t>
            </w:r>
          </w:p>
        </w:tc>
        <w:tc>
          <w:tcPr/>
          <w:p>
            <w:pPr>
              <w:pStyle w:val="Compact"/>
              <w:jc w:val="left"/>
            </w:pPr>
            <w:r>
              <w:rPr>
                <w:bCs/>
                <w:b/>
              </w:rPr>
              <w:t xml:space="preserve">P</w:t>
            </w:r>
            <w:r>
              <w:rPr>
                <w:vertAlign w:val="superscript"/>
                <w:bCs/>
                <w:b/>
              </w:rPr>
              <w:t xml:space="preserve">74</w:t>
            </w:r>
            <w:r>
              <w:t xml:space="preserve">,</w:t>
            </w:r>
            <w:r>
              <w:t xml:space="preserve"> </w:t>
            </w:r>
            <w:r>
              <w:rPr>
                <w:u w:val="single"/>
              </w:rPr>
              <w:t xml:space="preserve">18</w:t>
            </w:r>
            <w:r>
              <w:t xml:space="preserve">,</w:t>
            </w:r>
            <w:r>
              <w:t xml:space="preserve"> </w:t>
            </w:r>
            <w:r>
              <w:rPr>
                <w:u w:val="single"/>
              </w:rPr>
              <w:t xml:space="preserve">141</w:t>
            </w:r>
            <w:r>
              <w:t xml:space="preserve">,</w:t>
            </w:r>
            <w:r>
              <w:t xml:space="preserve"> </w:t>
            </w:r>
            <w:r>
              <w:rPr>
                <w:u w:val="single"/>
              </w:rPr>
              <w:t xml:space="preserve">204</w:t>
            </w:r>
            <w:r>
              <w:t xml:space="preserve">, 216, 226, 302, 308, 319, 325,</w:t>
            </w:r>
            <w:r>
              <w:t xml:space="preserve"> </w:t>
            </w:r>
            <w:r>
              <w:rPr>
                <w:u w:val="single"/>
              </w:rPr>
              <w:t xml:space="preserve">386</w:t>
            </w:r>
            <w:r>
              <w:t xml:space="preserve">,</w:t>
            </w:r>
            <w:r>
              <w:t xml:space="preserve"> </w:t>
            </w:r>
            <w:r>
              <w:rPr>
                <w:u w:val="single"/>
              </w:rPr>
              <w:t xml:space="preserve">394</w:t>
            </w:r>
            <w:r>
              <w:t xml:space="preserve">, 457, 603,</w:t>
            </w:r>
            <w:r>
              <w:t xml:space="preserve"> </w:t>
            </w:r>
            <w:r>
              <w:rPr>
                <w:u w:val="single"/>
              </w:rPr>
              <w:t xml:space="preserve">604</w:t>
            </w:r>
            <w:r>
              <w:t xml:space="preserve">, 627,</w:t>
            </w:r>
            <w:r>
              <w:t xml:space="preserve"> </w:t>
            </w:r>
            <w:r>
              <w:rPr>
                <w:u w:val="single"/>
              </w:rPr>
              <w:t xml:space="preserve">757</w:t>
            </w:r>
            <w:r>
              <w:t xml:space="preserve">,</w:t>
            </w:r>
            <w:r>
              <w:t xml:space="preserve"> </w:t>
            </w:r>
            <w:r>
              <w:rPr>
                <w:u w:val="single"/>
              </w:rPr>
              <w:t xml:space="preserve">824</w:t>
            </w:r>
            <w:r>
              <w:t xml:space="preserve">,</w:t>
            </w:r>
            <w:r>
              <w:t xml:space="preserve"> </w:t>
            </w:r>
            <w:r>
              <w:rPr>
                <w:u w:val="single"/>
              </w:rPr>
              <w:t xml:space="preserve">928</w:t>
            </w:r>
            <w:r>
              <w:t xml:space="preserve">, 935, 959,</w:t>
            </w:r>
            <w:r>
              <w:t xml:space="preserve"> </w:t>
            </w:r>
            <w:r>
              <w:rPr>
                <w:u w:val="single"/>
              </w:rPr>
              <w:t xml:space="preserve">1040</w:t>
            </w:r>
            <w:r>
              <w:t xml:space="preserve">,</w:t>
            </w:r>
            <w:r>
              <w:t xml:space="preserve"> </w:t>
            </w:r>
            <w:r>
              <w:rPr>
                <w:u w:val="single"/>
              </w:rPr>
              <w:t xml:space="preserve">1072</w:t>
            </w:r>
            <w:r>
              <w:t xml:space="preserve">,</w:t>
            </w:r>
            <w:r>
              <w:t xml:space="preserve"> </w:t>
            </w:r>
            <w:r>
              <w:rPr>
                <w:u w:val="single"/>
              </w:rPr>
              <w:t xml:space="preserve">1075</w:t>
            </w:r>
            <w:r>
              <w:t xml:space="preserve">, 1094,</w:t>
            </w:r>
            <w:r>
              <w:t xml:space="preserve"> </w:t>
            </w:r>
            <w:r>
              <w:rPr>
                <w:u w:val="single"/>
              </w:rPr>
              <w:t xml:space="preserve">1100</w:t>
            </w:r>
            <w:r>
              <w:t xml:space="preserve">,</w:t>
            </w:r>
            <w:r>
              <w:t xml:space="preserve"> </w:t>
            </w:r>
            <w:r>
              <w:rPr>
                <w:u w:val="single"/>
              </w:rPr>
              <w:t xml:space="preserve">1101</w:t>
            </w:r>
            <w:r>
              <w:t xml:space="preserve">,</w:t>
            </w:r>
            <w:r>
              <w:t xml:space="preserve"> </w:t>
            </w:r>
            <w:r>
              <w:rPr>
                <w:u w:val="single"/>
              </w:rPr>
              <w:t xml:space="preserve">1400</w:t>
            </w:r>
            <w:r>
              <w:t xml:space="preserve">,</w:t>
            </w:r>
            <w:r>
              <w:t xml:space="preserve"> </w:t>
            </w:r>
            <w:r>
              <w:rPr>
                <w:u w:val="single"/>
              </w:rPr>
              <w:t xml:space="preserve">1482</w:t>
            </w:r>
            <w:r>
              <w:t xml:space="preserve">,</w:t>
            </w:r>
            <w:r>
              <w:t xml:space="preserve"> </w:t>
            </w:r>
            <w:r>
              <w:rPr>
                <w:u w:val="single"/>
              </w:rPr>
              <w:t xml:space="preserve">1503</w:t>
            </w:r>
            <w:r>
              <w:t xml:space="preserve">,</w:t>
            </w:r>
            <w:r>
              <w:t xml:space="preserve"> </w:t>
            </w:r>
            <w:r>
              <w:rPr>
                <w:u w:val="single"/>
              </w:rPr>
              <w:t xml:space="preserve">1508</w:t>
            </w:r>
            <w:r>
              <w:t xml:space="preserve">,</w:t>
            </w:r>
            <w:r>
              <w:t xml:space="preserve"> </w:t>
            </w:r>
            <w:r>
              <w:rPr>
                <w:u w:val="single"/>
              </w:rPr>
              <w:t xml:space="preserve">1618</w:t>
            </w:r>
            <w:r>
              <w:t xml:space="preserve">,</w:t>
            </w:r>
            <w:r>
              <w:t xml:space="preserve"> </w:t>
            </w:r>
            <w:r>
              <w:rPr>
                <w:u w:val="single"/>
              </w:rPr>
              <w:t xml:space="preserve">1619</w:t>
            </w:r>
            <w:r>
              <w:t xml:space="preserve">,</w:t>
            </w:r>
            <w:r>
              <w:t xml:space="preserve"> </w:t>
            </w:r>
            <w:r>
              <w:rPr>
                <w:u w:val="single"/>
              </w:rPr>
              <w:t xml:space="preserve">1636</w:t>
            </w:r>
            <w:r>
              <w:t xml:space="preserve">,</w:t>
            </w:r>
            <w:r>
              <w:t xml:space="preserve"> </w:t>
            </w:r>
            <w:r>
              <w:rPr>
                <w:u w:val="single"/>
              </w:rPr>
              <w:t xml:space="preserve">1637</w:t>
            </w:r>
            <w:r>
              <w:t xml:space="preserve">,</w:t>
            </w:r>
            <w:r>
              <w:t xml:space="preserve"> </w:t>
            </w:r>
            <w:r>
              <w:rPr>
                <w:u w:val="single"/>
              </w:rPr>
              <w:t xml:space="preserve">1652</w:t>
            </w:r>
            <w:r>
              <w:t xml:space="preserve">,</w:t>
            </w:r>
            <w:r>
              <w:t xml:space="preserve"> </w:t>
            </w:r>
            <w:r>
              <w:rPr>
                <w:u w:val="single"/>
              </w:rPr>
              <w:t xml:space="preserve">1656</w:t>
            </w:r>
            <w:r>
              <w:t xml:space="preserve">, 1668,</w:t>
            </w:r>
            <w:r>
              <w:t xml:space="preserve"> </w:t>
            </w:r>
            <w:r>
              <w:rPr>
                <w:u w:val="single"/>
              </w:rPr>
              <w:t xml:space="preserve">1704</w:t>
            </w:r>
            <w:r>
              <w:t xml:space="preserve">,</w:t>
            </w:r>
            <w:r>
              <w:t xml:space="preserve"> </w:t>
            </w:r>
            <w:r>
              <w:rPr>
                <w:u w:val="single"/>
              </w:rPr>
              <w:t xml:space="preserve">1723</w:t>
            </w:r>
            <w:r>
              <w:t xml:space="preserve">,</w:t>
            </w:r>
            <w:r>
              <w:t xml:space="preserve"> </w:t>
            </w:r>
            <w:r>
              <w:rPr>
                <w:u w:val="single"/>
              </w:rPr>
              <w:t xml:space="preserve">1737</w:t>
            </w:r>
            <w:r>
              <w:t xml:space="preserve">,</w:t>
            </w:r>
            <w:r>
              <w:t xml:space="preserve"> </w:t>
            </w:r>
            <w:r>
              <w:rPr>
                <w:u w:val="single"/>
              </w:rPr>
              <w:t xml:space="preserve">1740</w:t>
            </w:r>
            <w:r>
              <w:t xml:space="preserve">,</w:t>
            </w:r>
            <w:r>
              <w:t xml:space="preserve"> </w:t>
            </w:r>
            <w:r>
              <w:rPr>
                <w:u w:val="single"/>
              </w:rPr>
              <w:t xml:space="preserve">1745</w:t>
            </w:r>
            <w:r>
              <w:t xml:space="preserve">,</w:t>
            </w:r>
            <w:r>
              <w:t xml:space="preserve"> </w:t>
            </w:r>
            <w:r>
              <w:rPr>
                <w:u w:val="single"/>
              </w:rPr>
              <w:t xml:space="preserve">1752</w:t>
            </w:r>
            <w:r>
              <w:t xml:space="preserve">,</w:t>
            </w:r>
            <w:r>
              <w:t xml:space="preserve"> </w:t>
            </w:r>
            <w:r>
              <w:rPr>
                <w:u w:val="single"/>
              </w:rPr>
              <w:t xml:space="preserve">1761</w:t>
            </w:r>
            <w:r>
              <w:t xml:space="preserve">,</w:t>
            </w:r>
            <w:r>
              <w:t xml:space="preserve"> </w:t>
            </w:r>
            <w:r>
              <w:rPr>
                <w:u w:val="single"/>
              </w:rPr>
              <w:t xml:space="preserve">1763</w:t>
            </w:r>
            <w:r>
              <w:t xml:space="preserve">, 1835,</w:t>
            </w:r>
            <w:r>
              <w:t xml:space="preserve"> </w:t>
            </w:r>
            <w:r>
              <w:rPr>
                <w:u w:val="single"/>
              </w:rPr>
              <w:t xml:space="preserve">1855</w:t>
            </w:r>
            <w:r>
              <w:t xml:space="preserve">,</w:t>
            </w:r>
            <w:r>
              <w:t xml:space="preserve"> </w:t>
            </w:r>
            <w:r>
              <w:rPr>
                <w:u w:val="single"/>
              </w:rPr>
              <w:t xml:space="preserve">1858</w:t>
            </w:r>
            <w:r>
              <w:t xml:space="preserve">,</w:t>
            </w:r>
            <w:r>
              <w:t xml:space="preserve"> </w:t>
            </w:r>
            <w:r>
              <w:rPr>
                <w:u w:val="single"/>
              </w:rPr>
              <w:t xml:space="preserve">1864</w:t>
            </w:r>
            <w:r>
              <w:t xml:space="preserve">,</w:t>
            </w:r>
            <w:r>
              <w:t xml:space="preserve"> </w:t>
            </w:r>
            <w:r>
              <w:rPr>
                <w:u w:val="single"/>
              </w:rPr>
              <w:t xml:space="preserve">1865</w:t>
            </w:r>
            <w:r>
              <w:t xml:space="preserve">,</w:t>
            </w:r>
            <w:r>
              <w:t xml:space="preserve"> </w:t>
            </w:r>
            <w:r>
              <w:rPr>
                <w:u w:val="single"/>
              </w:rPr>
              <w:t xml:space="preserve">1899</w:t>
            </w:r>
            <w:r>
              <w:t xml:space="preserve">,</w:t>
            </w:r>
            <w:r>
              <w:t xml:space="preserve"> </w:t>
            </w:r>
            <w:r>
              <w:rPr>
                <w:u w:val="single"/>
              </w:rPr>
              <w:t xml:space="preserve">2080</w:t>
            </w:r>
            <w:r>
              <w:t xml:space="preserve">,</w:t>
            </w:r>
            <w:r>
              <w:t xml:space="preserve"> </w:t>
            </w:r>
            <w:r>
              <w:rPr>
                <w:u w:val="single"/>
              </w:rPr>
              <w:t xml:space="preserve">2221</w:t>
            </w:r>
            <w:r>
              <w:t xml:space="preserve">,</w:t>
            </w:r>
            <w:r>
              <w:t xml:space="preserve"> </w:t>
            </w:r>
            <w:r>
              <w:rPr>
                <w:u w:val="single"/>
              </w:rPr>
              <w:t xml:space="preserve">2261</w:t>
            </w:r>
            <w:r>
              <w:t xml:space="preserve">,</w:t>
            </w:r>
            <w:r>
              <w:t xml:space="preserve"> </w:t>
            </w:r>
            <w:r>
              <w:rPr>
                <w:u w:val="single"/>
              </w:rPr>
              <w:t xml:space="preserve">2352</w:t>
            </w:r>
            <w:r>
              <w:t xml:space="preserve">, 2356, 2511, 2541,</w:t>
            </w:r>
            <w:r>
              <w:t xml:space="preserve"> </w:t>
            </w:r>
            <w:r>
              <w:rPr>
                <w:u w:val="single"/>
              </w:rPr>
              <w:t xml:space="preserve">2554</w:t>
            </w:r>
            <w:r>
              <w:t xml:space="preserve">,</w:t>
            </w:r>
            <w:r>
              <w:t xml:space="preserve"> </w:t>
            </w:r>
            <w:r>
              <w:rPr>
                <w:u w:val="single"/>
              </w:rPr>
              <w:t xml:space="preserve">2723</w:t>
            </w:r>
          </w:p>
        </w:tc>
        <w:tc>
          <w:tcPr/>
          <w:p>
            <w:pPr>
              <w:pStyle w:val="Compact"/>
            </w:pPr>
          </w:p>
        </w:tc>
      </w:tr>
    </w:tbl>
    <w:p>
      <w:pPr>
        <w:pStyle w:val="BodyText"/>
      </w:pPr>
      <w:r>
        <w:t xml:space="preserve">Komentarze:</w:t>
      </w:r>
    </w:p>
    <w:p>
      <w:pPr>
        <w:numPr>
          <w:ilvl w:val="0"/>
          <w:numId w:val="1111"/>
        </w:numPr>
      </w:pPr>
      <w:r>
        <w:t xml:space="preserve">Łączna liczba wymienionych wyżej manuskryptów wynosi 514, z powodu luk w dowolnym miejscu liczba ta będzie wynosić około 500. Wasserman uwzględnił również lekcjonarze, ja jednak tego nie zrobiłem.</w:t>
      </w:r>
    </w:p>
    <w:p>
      <w:pPr>
        <w:numPr>
          <w:ilvl w:val="0"/>
          <w:numId w:val="1111"/>
        </w:numPr>
      </w:pPr>
      <w:r>
        <w:rPr>
          <w:bCs/>
          <w:b/>
        </w:rPr>
        <w:t xml:space="preserve">P</w:t>
      </w:r>
      <w:r>
        <w:rPr>
          <w:vertAlign w:val="superscript"/>
          <w:bCs/>
          <w:b/>
        </w:rPr>
        <w:t xml:space="preserve">74</w:t>
      </w:r>
      <w:r>
        <w:t xml:space="preserve">, 319, 325, 603, 2356 i 2511 są najwyraźniej fragmentaryczne albo mają niewiele czytelnego tekstu, dlatego ich wynik wynosi zero.</w:t>
      </w:r>
    </w:p>
    <w:p>
      <w:pPr>
        <w:numPr>
          <w:ilvl w:val="0"/>
          <w:numId w:val="1111"/>
        </w:numPr>
      </w:pPr>
      <w:r>
        <w:t xml:space="preserve">216, 226, 302, 308, 457, 935, 959, 1094, 1668, 1835 i 2541 zwykle nie należą do</w:t>
      </w:r>
      <w:r>
        <w:t xml:space="preserve"> </w:t>
      </w:r>
      <w:r>
        <w:rPr>
          <w:bCs/>
          <w:b/>
        </w:rPr>
        <w:t xml:space="preserve">f</w:t>
      </w:r>
      <w:r>
        <w:rPr>
          <w:vertAlign w:val="superscript"/>
          <w:bCs/>
          <w:b/>
        </w:rPr>
        <w:t xml:space="preserve">35</w:t>
      </w:r>
      <w:r>
        <w:t xml:space="preserve">, lecz zachowały jego tekst w tej krótkiej księdze (jeśli zarówno Wasserman, jak i ja poprawnie odnotowaliśmy fakty).</w:t>
      </w:r>
    </w:p>
    <w:p>
      <w:pPr>
        <w:numPr>
          <w:ilvl w:val="0"/>
          <w:numId w:val="1111"/>
        </w:numPr>
      </w:pPr>
      <w:r>
        <w:t xml:space="preserve">Tam, gdzie sam przeprowadziłem pełne kolacjonowanie manuskryptu</w:t>
      </w:r>
      <w:r>
        <w:t xml:space="preserve"> </w:t>
      </w:r>
      <w:r>
        <w:rPr>
          <w:bCs/>
          <w:b/>
        </w:rPr>
        <w:t xml:space="preserve">f</w:t>
      </w:r>
      <w:r>
        <w:rPr>
          <w:vertAlign w:val="superscript"/>
          <w:bCs/>
          <w:b/>
        </w:rPr>
        <w:t xml:space="preserve">35</w:t>
      </w:r>
      <w:r>
        <w:t xml:space="preserve"> </w:t>
      </w:r>
      <w:r>
        <w:t xml:space="preserve">dla Listu Judy, użyłem własnych danych, gdy nie zgadzam się z Wassermanem — zmieniłem pozycję dwudziestu trzech manuskryptów</w:t>
      </w:r>
      <w:r>
        <w:t xml:space="preserve"> </w:t>
      </w:r>
      <w:r>
        <w:rPr>
          <w:bCs/>
          <w:b/>
        </w:rPr>
        <w:t xml:space="preserve">f</w:t>
      </w:r>
      <w:r>
        <w:rPr>
          <w:vertAlign w:val="superscript"/>
          <w:bCs/>
          <w:b/>
        </w:rPr>
        <w:t xml:space="preserve">35</w:t>
      </w:r>
      <w:r>
        <w:t xml:space="preserve"> </w:t>
      </w:r>
      <w:r>
        <w:t xml:space="preserve">(jednej czwartej ogółu).</w:t>
      </w:r>
    </w:p>
    <w:p>
      <w:pPr>
        <w:numPr>
          <w:ilvl w:val="0"/>
          <w:numId w:val="1111"/>
        </w:numPr>
      </w:pPr>
      <w:r>
        <w:t xml:space="preserve">Spośród 88 manuskryptów, które podkreśliłem jako należące do</w:t>
      </w:r>
      <w:r>
        <w:t xml:space="preserve"> </w:t>
      </w:r>
      <w:r>
        <w:rPr>
          <w:bCs/>
          <w:b/>
        </w:rPr>
        <w:t xml:space="preserve">f</w:t>
      </w:r>
      <w:r>
        <w:rPr>
          <w:vertAlign w:val="superscript"/>
          <w:bCs/>
          <w:b/>
        </w:rPr>
        <w:t xml:space="preserve">35</w:t>
      </w:r>
      <w:r>
        <w:t xml:space="preserve">, niemal połowa jest doskonała. 1247 jest raczej niestaranny, lecz należy do rodziny.</w:t>
      </w:r>
    </w:p>
    <w:p>
      <w:pPr>
        <w:numPr>
          <w:ilvl w:val="0"/>
          <w:numId w:val="1111"/>
        </w:numPr>
      </w:pPr>
      <w:r>
        <w:t xml:space="preserve">Każdy, kto kolacjonował pewną liczbę manuskryptów, zauważył, że mniej więcej na trzeciej albo czwartej stronie kopista zaczyna się męczyć albo nudzić, w następstwie czego liczba błędów zauważalnie wzrasta. Gdyby była to dłuższa księga, „pozycja” większości manuskryptów wzrosłaby. Rdzeń przedstawicieli</w:t>
      </w:r>
      <w:r>
        <w:t xml:space="preserve"> </w:t>
      </w:r>
      <w:r>
        <w:rPr>
          <w:bCs/>
          <w:b/>
        </w:rPr>
        <w:t xml:space="preserve">f</w:t>
      </w:r>
      <w:r>
        <w:rPr>
          <w:vertAlign w:val="superscript"/>
          <w:bCs/>
          <w:b/>
        </w:rPr>
        <w:t xml:space="preserve">35</w:t>
      </w:r>
      <w:r>
        <w:t xml:space="preserve"> </w:t>
      </w:r>
      <w:r>
        <w:t xml:space="preserve">pozostałby mniej więcej taki sam.</w:t>
      </w:r>
    </w:p>
    <w:p>
      <w:pPr>
        <w:numPr>
          <w:ilvl w:val="0"/>
          <w:numId w:val="1111"/>
        </w:numPr>
      </w:pPr>
      <w:r>
        <w:t xml:space="preserve">W przypadku tak krótkiej księgi uważam pięć wariantów za niedopuszczalne, tak więc praktycznie połowa manuskryptów znajduje się poniżej mojej granicy przyzwoitości.</w:t>
      </w:r>
    </w:p>
    <w:bookmarkEnd w:id="516"/>
    <w:bookmarkStart w:id="522" w:name="precz-z-fałszerstwem"/>
    <w:p>
      <w:pPr>
        <w:pStyle w:val="Heading2"/>
      </w:pPr>
      <w:r>
        <w:t xml:space="preserve">Precz z fałszerstwem!</w:t>
      </w:r>
    </w:p>
    <w:p>
      <w:pPr>
        <w:pStyle w:val="FirstParagraph"/>
      </w:pPr>
      <w:r>
        <w:t xml:space="preserve">Co jakiś czas otrzymuję pytanie, które początkowo mnie irytuje, lecz kiedy już się uspokoję, dostrzegam, że Bóg pobudza mnie do wyjaśnienia kwestii, która tego wymaga. Zdarzyło się tak jakiś czas temu z „perełką” przypisywaną Hieronimowi, według której w jego czasach „większość” albo „niemal wszystkie” greckie manuskrypty nie zawierały ostatnich dwunastu wersetów Ewangelii Marka. Skoro spośród około 1700 znanych nam greckich manuskryptów, które zawierają ostatni rozdział Ewangelii Marka, tylko trzy ich nie mają (przy czym jeden z nich jest w tym miejscu falsyfikatem), jak ogromna większość w V wieku mogła później zmniejszyć się do drobnego ułamka jednego procenta? Z punktu widzenia nauki o prawdopodobieństwie statystycznym takie odwrócenie jest po prostu niemożliwe. Jedynie ogólnoświatowa kampania, która odniosłaby niemal stuprocentowy sukces, mogłaby spowodować taką zmianę, a nie istnieje ani strzęp dowodu na taką kampanię. Przypomnijmy, że kampania Dioklecjana mająca na celu zniszczenie manuskryptów Nowego Testamentu (prowadzona nierównomiernie na różnych obszarach) już od stulecia należała do przeszłości (nie wspominając o „nawróceniu” Konstantyna i jego następstwach). Kenneth Scott Latourette (</w:t>
      </w:r>
      <w:r>
        <w:rPr>
          <w:iCs/>
          <w:i/>
        </w:rPr>
        <w:t xml:space="preserve">A History of Christianity</w:t>
      </w:r>
      <w:r>
        <w:t xml:space="preserve"> </w:t>
      </w:r>
      <w:r>
        <w:t xml:space="preserve">(New York: Harper, 1953), s. 231) opisuje Eusebiusa Hieronimusa Sophroniusa (znanego jako Hieronim) jako „utalentowanego i pilnego uczonego, niezwykle erudycyjnego, mistrza języków, miłośnika książek, władającego łatwym, energicznym i często zjadliwym piórem”, który „był wymownym rzecznikiem życia monastycznego”. Niewątpliwie miał swoje wady (czyż nie mamy ich wszyscy), lecz nie był absurdalnie głupi, a musiałby taki być, aby wypowiedzieć przypisywane mu stwierdzenie. Nasza wiedza o tej „perełce” pochodzi z X wieku (odstęp pięciu stuleci nie budzi zaufania), niemal na pewno jest to fałszerstwo (ktoś „zapożyczył” sławne nazwisko, aby uwiarygodnić jakieś stwierdzenie). Ponieważ „święte krowy” nie lubią umierać, należy dokonać przeglądu części istotnej historii.</w:t>
      </w:r>
    </w:p>
    <w:bookmarkStart w:id="517" w:name="k.-aland-o-egipcie"/>
    <w:p>
      <w:pPr>
        <w:pStyle w:val="Heading3"/>
      </w:pPr>
      <w:r>
        <w:t xml:space="preserve">K. Aland o Egipcie</w:t>
      </w:r>
    </w:p>
    <w:p>
      <w:pPr>
        <w:pStyle w:val="FirstParagraph"/>
      </w:pPr>
      <w:r>
        <w:t xml:space="preserve">Nawet ten wielki orędownik tekstu egipskiego, Kurt Aland, uznawał, że w pierwszych stuleciach, włącznie z IV, Azja Mniejsza (zwłaszcza obszar Morza Egejskiego) była „sercem Kościoła”. (Stała się również sercem Cesarstwa Bizantyjskiego i Kościołów prawosławnych). Zapotrzebowanie na kopie Nowego Testamentu miało bezpośredni wpływ na ich podaż oraz na obszary, na których kopie były skupione. Na temat Egiptu Aland powiedział jednak co następuje:</w:t>
      </w:r>
    </w:p>
    <w:p>
      <w:pPr>
        <w:pStyle w:val="BlockText"/>
      </w:pPr>
      <w:r>
        <w:t xml:space="preserve">Nasza wiedza o Kościele w Egipcie zaczyna się u schyłku II wieku od biskupa Demetriusza, który zreorganizował zdominowany przez gnostyków Kościół egipski, zakładając nowe wspólnoty, wyświęcając biskupów, a przede wszystkim ustanawiając stosunki z innymi prowincjami wspólnoty kościelnej.</w:t>
      </w:r>
    </w:p>
    <w:p>
      <w:pPr>
        <w:pStyle w:val="BlockText"/>
      </w:pPr>
      <w:r>
        <w:t xml:space="preserve">Każdy kościół potrzebował manuskryptów Nowego Testamentu — jak Demetriusz miał je zapewnić? Nawet gdyby w jego własnej stolicy biskupiej istniało skryptorium, musiałby zdobyć „ortodoksyjne” egzemplarze dla skrybów. Kopii istniejących we wspólnotach gnostyckich nie można było użyć, ponieważ podejrzewano je o skażenie. Nie da się ustalić, skąd biskup wziął egzemplarze dla skrybów albo dużą liczbę manuskryptów papirusowych, które mógł przekazać bezpośrednio swoim wspólnotom. („The Text of the Church?”, Kurt Aland,</w:t>
      </w:r>
      <w:r>
        <w:t xml:space="preserve"> </w:t>
      </w:r>
      <w:r>
        <w:rPr>
          <w:iCs/>
          <w:i/>
        </w:rPr>
        <w:t xml:space="preserve">Trinity Journal</w:t>
      </w:r>
      <w:r>
        <w:t xml:space="preserve">, t. 8, nr 2, jesień 1987, s. 138 (faktycznie rozesłany wiosną 1989 roku)).</w:t>
      </w:r>
    </w:p>
    <w:p>
      <w:pPr>
        <w:pStyle w:val="FirstParagraph"/>
      </w:pPr>
      <w:r>
        <w:t xml:space="preserve">Ale chwileczkę. Kto w Egipcie nadal mówił po grecku w roku Pańskim 200? (A właściwie kto spośród zwykłych ludzi kiedykolwiek mówił tam po grecku?) Jakim greckojęzycznym wspólnotom mógł służyć zacny Demetriusz? Czy uczeni związani z biblioteką w Aleksandrii byliby skłonni podporządkować się Demetriuszowi? O ile wiemy, żaden apostoł nigdy nie usługiwał w Egipcie i nie przechowywano tam żadnego Autografu księgi Nowego Testamentu. Dominacja gnostycka prawdopodobnie nie powinna nas dziwić. Sytuacja w Aleksandrii ma jednak znaczenie dla rozpatrywanej kwestii ze względu na Klemensa, a zwłaszcza Orygenesa, który był mentorem Pamfila, ten zaś był mentorem Euzebiusza z Cezarei.</w:t>
      </w:r>
    </w:p>
    <w:bookmarkEnd w:id="517"/>
    <w:bookmarkStart w:id="518" w:name="euzebiusz-cezarea"/>
    <w:p>
      <w:pPr>
        <w:pStyle w:val="Heading3"/>
      </w:pPr>
      <w:r>
        <w:t xml:space="preserve">Euzebiusz (Cezarea)</w:t>
      </w:r>
    </w:p>
    <w:p>
      <w:pPr>
        <w:pStyle w:val="FirstParagraph"/>
      </w:pPr>
      <w:r>
        <w:t xml:space="preserve">Można podejrzewać, że fałszerz, który „zapożyczył” Hieronima, w rzeczywistości zaczął od „zapożyczenia” Euzebiusza (z Cezarei). Każe Euzebiuszowi odpowiedzieć pewnemu „Marynowi”: „Można by powiedzieć, że fragment ten nie znajduje się we wszystkich kopiach Ewangelii Marka…”. „Nie wszystkie” tu i ówdzie stało się „niektórymi”, a nawet „wieloma”. Jeśli Euzebiusz rzeczywiście napisał coś takiego, czego nie jesteśmy pewni (odstęp sześciu stuleci również tutaj nie budzi zaufania), jakie miał kwalifikacje, aby to zrobić? Po zniszczeniu dokonanym przez Rzymian w 70 roku po Chrystusie Palestyna stała się zaściankiem w nurcie chrześcijańskiej rzeki. Przekaz prawdziwego Tekstu Nowego Testamentu niczego nie zawdzięcza Cezarei. W IV wieku na całym świecie byłyby w użyciu dosłownie tysiące manuskryptów Nowego Testamentu, z których Euzebiusz (zm. 339, ur. około 265) prawdopodobnie nie widział więcej niż tuzina (większość z Aleksandrii, a nie z Azji Mniejszej). Jeśli Kodeks B powstał w Aleksandrii dostatecznie wcześnie, aby Euzebiusz mógł go zobaczyć, rzeczywiście pozwoliłoby mu to powiedzieć, że „nie wszystkie” kopie, lecz dlaczego miałby tak mówić? I dlaczego mielibyśmy zwracać na niego jakąkolwiek uwagę, gdyby to uczynił? Także tutaj, kto w Palestynie nadal mówił po grecku w IV wieku? Jaki użytek miałby Euzebiusz z greckich manuskryptów? Jeszcze jedna kwestia: gdyby Euzebiusz napisał coś takiego, stałoby się to przypuszczalnie po kampanii Dioklecjana, lecz nadal miałby ją świeżo w pamięci i powinien był o niej wspomnieć. Jak przypuszczam, ośmielony powodzeniem fałszerz postanowił „podbić stawkę”, przypisując tę samą wymianę zdań Hieronimowi odpowiadającemu pewnej „Hebidii”, tyle że tym razem jest to „większość” albo „niemal wszystkie”.</w:t>
      </w:r>
    </w:p>
    <w:bookmarkEnd w:id="518"/>
    <w:bookmarkStart w:id="519" w:name="hieronim-betlejem"/>
    <w:p>
      <w:pPr>
        <w:pStyle w:val="Heading3"/>
      </w:pPr>
      <w:r>
        <w:t xml:space="preserve">Hieronim (Betlejem)</w:t>
      </w:r>
    </w:p>
    <w:p>
      <w:pPr>
        <w:pStyle w:val="FirstParagraph"/>
      </w:pPr>
      <w:r>
        <w:t xml:space="preserve">Hieronim urodził się około 342 roku i zmarł w roku 420 (mniej więcej). W latach 382–384 był sekretarzem papieża Damazego w Rzymie i rozpoczął pracę nad łacińską Wulgatą. Niedługo po śmierci Damazego (384) przeniósł się do Betlejem, a kilka miesięcy później podążyła za nim zamożna Paula, która pomogła mu zbudować klasztor i tak dalej. Hieronim spędził ostatnie ponad 30 lat życia w Betlejem, będącym jeszcze większym „zaściankiem” niż Cezarea, i stulecie po Euzebiuszu. Wszystkie negatywne uwagi poczynione o Cezarei mają tutaj zastosowanie z jeszcze większą mocą. Co więcej, kto w otoczeniu papieża w Rzymie mówił po grecku w 380 roku po Chrystusie? Z Rzymu Hieronim przeniósł się do Betlejem. Ile rzeczywistych greckich manuskryptów Nowego Testamentu mógł zobaczyć? Z pewnością mniej niż 1% ogółu będącego w użyciu (w tamtym czasie w Italii i Palestynie byłoby niewiele greckich manuskryptów — kto miałby ich używać?). W wykazach wczesnych „ojców” Kościoła Hieronim jest zazwyczaj wymieniany wśród tych, którzy pisali po łacinie, a nie po grecku. Przypisywane mu stwierdzenie jest jawnie fałszywe, naukowo niemożliwe, on zaś miałby absurdalnie niewystarczające kwalifikacje, aby je wypowiedzieć. Ponieważ nie był głupi ani nieuczciwy, nie zrobił tego!</w:t>
      </w:r>
    </w:p>
    <w:bookmarkEnd w:id="519"/>
    <w:bookmarkStart w:id="521" w:name="uzupełnienie"/>
    <w:p>
      <w:pPr>
        <w:pStyle w:val="Heading3"/>
      </w:pPr>
      <w:r>
        <w:t xml:space="preserve">Uzupełnienie</w:t>
      </w:r>
    </w:p>
    <w:p>
      <w:pPr>
        <w:pStyle w:val="FirstParagraph"/>
      </w:pPr>
      <w:r>
        <w:t xml:space="preserve">Po tym, jak rozesłałem powyższy tekst jako moją „przesyłkę 75”, mój kanadyjski przyjaciel Charles Holm zwrócił moją uwagę na badania historyczne Timothy’ego Davida Barnesa, które mają znaczenie dla wiarygodności Hieronima (</w:t>
      </w:r>
      <w:r>
        <w:rPr>
          <w:iCs/>
          <w:i/>
        </w:rPr>
        <w:t xml:space="preserve">Tertullian: A Historical and Literary Study</w:t>
      </w:r>
      <w:r>
        <w:t xml:space="preserve">, Oxford: Clarendon Press, 1971). W dodatku poświęconym konkretnie Hieronimowi znajduje się część zatytułowana „Jerome and Eusebius”, w której Barnes przedstawia następujące uwagi (strony 236–238).</w:t>
      </w:r>
    </w:p>
    <w:p>
      <w:pPr>
        <w:pStyle w:val="BlockText"/>
      </w:pPr>
      <w:r>
        <w:t xml:space="preserve">Po pierwsze, Hieronim nigdy nie kwestionuje wiarygodności Euzebiusza. Przyjmuje zatem interpretację tego, co mówi dany pisarz, dokonaną przez Euzebiusza, nie pytając, czy jest ona poprawna.</w:t>
      </w:r>
    </w:p>
    <w:p>
      <w:pPr>
        <w:pStyle w:val="BlockText"/>
      </w:pPr>
      <w:r>
        <w:t xml:space="preserve">……………………………………………………</w:t>
      </w:r>
    </w:p>
    <w:p>
      <w:pPr>
        <w:pStyle w:val="BlockText"/>
      </w:pPr>
      <w:r>
        <w:t xml:space="preserve">Po drugie, Hieronim znacznie przewyższa Euzebiusza łatwowiernością. To, co u Euzebiusza przedstawiono jako przypuszczenie lub zwykłą pogłoskę, dla Hieronima jest ustalonym i niewątpliwym faktem.</w:t>
      </w:r>
    </w:p>
    <w:p>
      <w:pPr>
        <w:pStyle w:val="BlockText"/>
      </w:pPr>
      <w:r>
        <w:t xml:space="preserve">……………………………………………………</w:t>
      </w:r>
    </w:p>
    <w:p>
      <w:pPr>
        <w:pStyle w:val="BlockText"/>
      </w:pPr>
      <w:r>
        <w:t xml:space="preserve">Po trzecie, Hieronim błędnie tłumaczy i błędnie rozumie.</w:t>
      </w:r>
    </w:p>
    <w:p>
      <w:pPr>
        <w:pStyle w:val="BlockText"/>
      </w:pPr>
      <w:r>
        <w:t xml:space="preserve">……………………………………………………</w:t>
      </w:r>
    </w:p>
    <w:p>
      <w:pPr>
        <w:pStyle w:val="BlockText"/>
      </w:pPr>
      <w:r>
        <w:t xml:space="preserve">Po czwarte, Hieronim nieuczciwie ukrywa zarówno swoją niewiedzę, jak i dług wobec Euzebiusza.</w:t>
      </w:r>
    </w:p>
    <w:p>
      <w:pPr>
        <w:pStyle w:val="FirstParagraph"/>
      </w:pPr>
      <w:r>
        <w:t xml:space="preserve">No proszę, wygląda na to, że czytając Hieronima, należałoby mieć pod ręką pełną solniczkę. Być może moje końcowe zdanie powyżej powinno brzmieć: Ponieważ nie był głupi, nie zrobił tego! Nadal jednak obstaję przy tym, że Hieronim nie mógł być aż tak rażąco głupi lub nieuczciwy, aby wypowiedzieć przypisywane mu absurdalne stwierdzenie. Precz z</w:t>
      </w:r>
      <w:r>
        <w:t xml:space="preserve"> </w:t>
      </w:r>
      <w:r>
        <w:rPr>
          <w:bCs/>
          <w:b/>
        </w:rPr>
        <w:t xml:space="preserve">fałszerstwem</w:t>
      </w:r>
      <w:r>
        <w:t xml:space="preserve">!</w:t>
      </w:r>
      <w:r>
        <w:rPr>
          <w:rStyle w:val="FootnoteReference"/>
        </w:rPr>
        <w:footnoteReference w:id="520"/>
      </w:r>
    </w:p>
    <w:bookmarkEnd w:id="521"/>
    <w:bookmarkEnd w:id="522"/>
    <w:bookmarkStart w:id="523" w:name="definiowanie-zachowania"/>
    <w:p>
      <w:pPr>
        <w:pStyle w:val="Heading2"/>
      </w:pPr>
      <w:r>
        <w:t xml:space="preserve">Definiowanie „zachowania”</w:t>
      </w:r>
    </w:p>
    <w:p>
      <w:pPr>
        <w:pStyle w:val="FirstParagraph"/>
      </w:pPr>
      <w:r>
        <w:t xml:space="preserve">Rozumiemy, że ludzcy autorzy Pisma pisali pod natchnieniem, przez co rozumiemy, że Duch Święty nadzorował ten proces, w wyniku czego napisali dokładnie to, co chciał, aby napisali (z poszanowaniem norm rządzących użyciem języka). Natchnieni byli autorzy, chronieni przed błędem, lecz nie kopiści na przestrzeni lat. Nic tak jak rzeczywiste kolacjonowanie pewnej liczby manuskryptów nie pozwala docenić Boskiego zachowania Tekstu, procesu bardziej skomplikowanego niż natchnienie. (Szatanowi nie pozwolono ingerować w natchnienie, lecz pozwolono mu ingerować w zachowanie).</w:t>
      </w:r>
    </w:p>
    <w:p>
      <w:pPr>
        <w:pStyle w:val="BodyText"/>
      </w:pPr>
      <w:r>
        <w:t xml:space="preserve">Celem tej notatki jest nieco „przeżuć” kwestię tego, jak dokładnie oceniać reprezentowanie przez kopię jej archetypalnej formy, a tym samym jej zachowanie. Uważam, że następujących rzeczy nie należy traktować jako „wariantów” ani odchyleń od archetypu:</w:t>
      </w:r>
    </w:p>
    <w:p>
      <w:pPr>
        <w:numPr>
          <w:ilvl w:val="0"/>
          <w:numId w:val="1112"/>
        </w:numPr>
      </w:pPr>
      <w:r>
        <w:t xml:space="preserve">Czy liczba jest zapisana słownie, czy oznaczona literami.</w:t>
      </w:r>
    </w:p>
    <w:p>
      <w:pPr>
        <w:numPr>
          <w:ilvl w:val="0"/>
          <w:numId w:val="1112"/>
        </w:numPr>
      </w:pPr>
      <w:r>
        <w:t xml:space="preserve">Czy nazwa litery (</w:t>
      </w:r>
      <w:r>
        <w:rPr>
          <w:iCs/>
          <w:i/>
        </w:rPr>
        <w:t xml:space="preserve">alfa</w:t>
      </w:r>
      <w:r>
        <w:t xml:space="preserve">) jest zapisana słownie, czy podana jako litera.</w:t>
      </w:r>
    </w:p>
    <w:p>
      <w:pPr>
        <w:numPr>
          <w:ilvl w:val="0"/>
          <w:numId w:val="1112"/>
        </w:numPr>
      </w:pPr>
      <w:r>
        <w:t xml:space="preserve">Skróty albo formy „stenograficzne” (są one szczególnie częste na końcu wiersza), gdy tożsamość słowa i jego znaczenie pozostają nietknięte, tak zwane</w:t>
      </w:r>
      <w:r>
        <w:t xml:space="preserve"> </w:t>
      </w:r>
      <w:r>
        <w:rPr>
          <w:iCs/>
          <w:i/>
        </w:rPr>
        <w:t xml:space="preserve">nomina sacra</w:t>
      </w:r>
      <w:r>
        <w:t xml:space="preserve"> </w:t>
      </w:r>
      <w:r>
        <w:t xml:space="preserve">są prawdopodobnie najbardziej znanymi przykładami.</w:t>
      </w:r>
    </w:p>
    <w:p>
      <w:pPr>
        <w:pStyle w:val="FirstParagraph"/>
      </w:pPr>
      <w:r>
        <w:t xml:space="preserve">Zarówno pergamin, jak i atrament przygotowywano ręcznie i trudno było je zdobyć, dlatego każdy zgodny z prawem sposób oszczędzania tych materiałów uznawano za całkowicie właściwy. Postawę tę odzwierciedlają pierwsze trzy punkty.</w:t>
      </w:r>
    </w:p>
    <w:p>
      <w:pPr>
        <w:numPr>
          <w:ilvl w:val="0"/>
          <w:numId w:val="1113"/>
        </w:numPr>
      </w:pPr>
      <w:r>
        <w:t xml:space="preserve">Kopiści często dawali wyraz skłonnościom artystycznym w górnym wierszu strony i na końcach wierszy, używając ozdobników, zawijasów, przesadnych form, linii wybiegających poza stronę i tym podobnych — należy je ignorować.</w:t>
      </w:r>
    </w:p>
    <w:p>
      <w:pPr>
        <w:numPr>
          <w:ilvl w:val="0"/>
          <w:numId w:val="1113"/>
        </w:numPr>
      </w:pPr>
      <w:r>
        <w:t xml:space="preserve">Alternatywne pisownie tego samego słowa, gdy tożsamość słowa i jego znaczenie pozostają nietknięte. Ten punkt jest nieco bardziej kłopotliwy niż pozostałe, lecz uważam, że powinien znaleźć się na liście. Takie różnice mogą jednak być użyteczne w rozpoznawaniu podgrup. Zaliczam tutaj alternatywne pisownie transliterowanego słowa obcego, jak w Ewangelii Marka 5,41 (tym bardziej w tym przypadku, ponieważ zostało ono przetłumaczone).</w:t>
      </w:r>
    </w:p>
    <w:p>
      <w:pPr>
        <w:numPr>
          <w:ilvl w:val="0"/>
          <w:numId w:val="1113"/>
        </w:numPr>
      </w:pPr>
      <w:r>
        <w:t xml:space="preserve">Gdy szyk słów zostaje zmieniony, lecz zmiana ta (jak się wydaje) w żaden sposób nie wpływa na znaczenie, są to dwa sposoby powiedzenia tego samego. Nie są to „właściwe” warianty, choć mogą być użyteczne w rozpoznawaniu podgrup. Niektóre zmiany szyku słów wpływają na odcień znaczeniowy, dlatego każdy przypadek trzeba oceniać indywidualnie. Na przykład, czy w Ewangelii Łukasza 10,41 jest ο Ιησους ειπεν αυτη, czy ειπεν αυτη ο Ιησους? Oba znaczą po prostu „Jezus powiedział jej”.</w:t>
      </w:r>
    </w:p>
    <w:p>
      <w:pPr>
        <w:pStyle w:val="FirstParagraph"/>
      </w:pPr>
      <w:r>
        <w:t xml:space="preserve">Zmieniam sposób, w jaki opisuję wyniki manuskryptów w odniesieniu do ich archetypu. Manuskrypt, który odtwarza formę archetypalną bez żadnych wariantów, jest kopią, która reprezentuje archetyp</w:t>
      </w:r>
      <w:r>
        <w:t xml:space="preserve"> </w:t>
      </w:r>
      <w:r>
        <w:rPr>
          <w:iCs/>
          <w:i/>
        </w:rPr>
        <w:t xml:space="preserve">doskonale</w:t>
      </w:r>
      <w:r>
        <w:t xml:space="preserve">. Manuskrypt, który ma jedynie różne sposoby powiedzenia tego samego, jest kopią, która reprezentuje archetyp</w:t>
      </w:r>
      <w:r>
        <w:t xml:space="preserve"> </w:t>
      </w:r>
      <w:r>
        <w:rPr>
          <w:iCs/>
          <w:i/>
        </w:rPr>
        <w:t xml:space="preserve">kompletnie</w:t>
      </w:r>
      <w:r>
        <w:t xml:space="preserve">. Do tej drugiej kategorii zaliczam manuskrypty mające jedynie formy alternatywne lub poprawki prowadzące do formy archetypalnej — w każdym przypadku zachowany jest prawdziwy odczyt. Zaliczam tutaj również powtórzenie litery albo sylaby przy przejściu z jednego wiersza do następnego (w każdym razie nie jest to „właściwy” wariant).</w:t>
      </w:r>
    </w:p>
    <w:p>
      <w:pPr>
        <w:pStyle w:val="BodyText"/>
      </w:pPr>
      <w:r>
        <w:t xml:space="preserve">Oczywiście przy drukowaniu tekstu trzeba dokonać wyboru między konkurującymi formami (jestem gotów wyjaśnić mój wybór w każdym przypadku), ponieważ jednak znaczenie pozostaje nietknięte, wybory takie będą interesować głównie kogoś, kto chce zastosować do tekstu kod liczbowy.</w:t>
      </w:r>
      <w:r>
        <w:t xml:space="preserve"> </w:t>
      </w:r>
      <w:r>
        <w:rPr>
          <w:bCs/>
          <w:b/>
        </w:rPr>
        <w:t xml:space="preserve">Rodzaju zmian wymienionych powyżej nie można w sposób uprawniony wykorzystywać do argumentowania przeciwko doktrynie nieomylności</w:t>
      </w:r>
      <w:r>
        <w:t xml:space="preserve">.</w:t>
      </w:r>
    </w:p>
    <w:bookmarkEnd w:id="523"/>
    <w:bookmarkStart w:id="528" w:name="Xe7fa3c451fd1feaed7107269b77aa1218452e36"/>
    <w:p>
      <w:pPr>
        <w:pStyle w:val="Heading2"/>
      </w:pPr>
      <w:r>
        <w:t xml:space="preserve">Skolacjonowane manuskrypty</w:t>
      </w:r>
      <w:r>
        <w:t xml:space="preserve"> </w:t>
      </w:r>
      <w:r>
        <w:rPr>
          <w:bCs/>
          <w:b/>
        </w:rPr>
        <w:t xml:space="preserve">f</w:t>
      </w:r>
      <w:r>
        <w:rPr>
          <w:vertAlign w:val="superscript"/>
          <w:bCs/>
          <w:b/>
        </w:rPr>
        <w:t xml:space="preserve">35</w:t>
      </w:r>
      <w:r>
        <w:rPr>
          <w:rStyle w:val="FootnoteReference"/>
        </w:rPr>
        <w:footnoteReference w:id="524"/>
      </w:r>
    </w:p>
    <w:p>
      <w:pPr>
        <w:pStyle w:val="BodyText"/>
      </w:pPr>
      <w:r>
        <w:t xml:space="preserve">Gdy mówię, że manuskrypt miał doskonały egzemplarz (doskonałą kopię archetypu rodziny), nie obciążam jego egzemplarza tym, co wydaje się prywatnymi błędami kopii — obejmuje to poprawki prowadzące do archetypu. Oczywiście z konieczności opieram się na mojej ocenie, ponieważ nie mam sposobu dowiedzieć się, co rzeczywiście się wydarzyło, prawdopodobnie jednak niewiele się mylę. Gdy mówię, że sama kopia jest doskonała, odnoszę się do pierwszej ręki. Użyłem numerów GA, z wyjątkiem Iviron 2110, który nie ma numeru GA. Ci, którzy znają moją pracę, wiedzą, że archetypalna forma rodziny została ustalona empirycznie jako konsensus skolacjonowanych manuskryptów.</w:t>
      </w:r>
    </w:p>
    <w:p>
      <w:pPr>
        <w:pStyle w:val="BodyText"/>
      </w:pPr>
      <w:r>
        <w:rPr>
          <w:bCs/>
          <w:b/>
        </w:rPr>
        <w:t xml:space="preserve">Ewangelia Mateusza</w:t>
      </w:r>
      <w:r>
        <w:t xml:space="preserve"> </w:t>
      </w:r>
      <w:r>
        <w:t xml:space="preserve">— skolacjonowałem 51 manuskryptów</w:t>
      </w:r>
      <w:r>
        <w:t xml:space="preserve"> </w:t>
      </w:r>
      <w:r>
        <w:rPr>
          <w:bCs/>
          <w:b/>
        </w:rPr>
        <w:t xml:space="preserve">f</w:t>
      </w:r>
      <w:r>
        <w:rPr>
          <w:vertAlign w:val="superscript"/>
          <w:bCs/>
          <w:b/>
        </w:rPr>
        <w:t xml:space="preserve">35</w:t>
      </w:r>
      <w:r>
        <w:t xml:space="preserve">, 2554 jest doskonały, 1072, 1117, 1461, 1496, 1652, 1713 i Iviron 2110 miały doskonały egzemplarz (jak przypuszczam).</w:t>
      </w:r>
    </w:p>
    <w:p>
      <w:pPr>
        <w:pStyle w:val="BodyText"/>
      </w:pPr>
      <w:r>
        <w:rPr>
          <w:bCs/>
          <w:b/>
        </w:rPr>
        <w:t xml:space="preserve">Ewangelia Marka</w:t>
      </w:r>
      <w:r>
        <w:t xml:space="preserve"> </w:t>
      </w:r>
      <w:r>
        <w:t xml:space="preserve">— skolacjonowałem 53 manuskrypty</w:t>
      </w:r>
      <w:r>
        <w:t xml:space="preserve"> </w:t>
      </w:r>
      <w:r>
        <w:rPr>
          <w:bCs/>
          <w:b/>
        </w:rPr>
        <w:t xml:space="preserve">f</w:t>
      </w:r>
      <w:r>
        <w:rPr>
          <w:vertAlign w:val="superscript"/>
          <w:bCs/>
          <w:b/>
        </w:rPr>
        <w:t xml:space="preserve">35</w:t>
      </w:r>
      <w:r>
        <w:t xml:space="preserve">, żaden nie jest doskonały, GA 35 jest kompletny,</w:t>
      </w:r>
      <w:r>
        <w:rPr>
          <w:rStyle w:val="FootnoteReference"/>
        </w:rPr>
        <w:footnoteReference w:id="525"/>
      </w:r>
      <w:r>
        <w:t xml:space="preserve"> </w:t>
      </w:r>
      <w:r>
        <w:t xml:space="preserve">586 i 2382 miały doskonały egzemplarz.</w:t>
      </w:r>
    </w:p>
    <w:p>
      <w:pPr>
        <w:pStyle w:val="BodyText"/>
      </w:pPr>
      <w:r>
        <w:rPr>
          <w:bCs/>
          <w:b/>
        </w:rPr>
        <w:t xml:space="preserve">Ewangelia Łukasza</w:t>
      </w:r>
      <w:r>
        <w:t xml:space="preserve"> </w:t>
      </w:r>
      <w:r>
        <w:t xml:space="preserve">— skolacjonowałem 51 manuskryptów</w:t>
      </w:r>
      <w:r>
        <w:t xml:space="preserve"> </w:t>
      </w:r>
      <w:r>
        <w:rPr>
          <w:bCs/>
          <w:b/>
        </w:rPr>
        <w:t xml:space="preserve">f</w:t>
      </w:r>
      <w:r>
        <w:rPr>
          <w:vertAlign w:val="superscript"/>
          <w:bCs/>
          <w:b/>
        </w:rPr>
        <w:t xml:space="preserve">35</w:t>
      </w:r>
      <w:r>
        <w:t xml:space="preserve">, żaden nie jest doskonały, 2382 jest praktycznie kompletny,</w:t>
      </w:r>
      <w:r>
        <w:rPr>
          <w:rStyle w:val="FootnoteReference"/>
        </w:rPr>
        <w:footnoteReference w:id="526"/>
      </w:r>
      <w:r>
        <w:t xml:space="preserve"> </w:t>
      </w:r>
      <w:r>
        <w:t xml:space="preserve">789 i 897 miały doskonały egzemplarz.</w:t>
      </w:r>
    </w:p>
    <w:p>
      <w:pPr>
        <w:pStyle w:val="BodyText"/>
      </w:pPr>
      <w:r>
        <w:rPr>
          <w:bCs/>
          <w:b/>
        </w:rPr>
        <w:t xml:space="preserve">Ewangelia Jana</w:t>
      </w:r>
      <w:r>
        <w:t xml:space="preserve"> </w:t>
      </w:r>
      <w:r>
        <w:t xml:space="preserve">— skolacjonowałem 57 manuskryptów</w:t>
      </w:r>
      <w:r>
        <w:t xml:space="preserve"> </w:t>
      </w:r>
      <w:r>
        <w:rPr>
          <w:bCs/>
          <w:b/>
        </w:rPr>
        <w:t xml:space="preserve">f</w:t>
      </w:r>
      <w:r>
        <w:rPr>
          <w:vertAlign w:val="superscript"/>
          <w:bCs/>
          <w:b/>
        </w:rPr>
        <w:t xml:space="preserve">35</w:t>
      </w:r>
      <w:r>
        <w:t xml:space="preserve">, żaden nie jest doskonały, 2382 jest kompletny, 1072 miał doskonały egzemplarz.</w:t>
      </w:r>
    </w:p>
    <w:p>
      <w:pPr>
        <w:pStyle w:val="BodyText"/>
      </w:pPr>
      <w:r>
        <w:rPr>
          <w:bCs/>
          <w:b/>
        </w:rPr>
        <w:t xml:space="preserve">Dzieje Apostolskie</w:t>
      </w:r>
      <w:r>
        <w:t xml:space="preserve"> </w:t>
      </w:r>
      <w:r>
        <w:t xml:space="preserve">— skolacjonowałem 35 manuskryptów</w:t>
      </w:r>
      <w:r>
        <w:t xml:space="preserve"> </w:t>
      </w:r>
      <w:r>
        <w:rPr>
          <w:bCs/>
          <w:b/>
        </w:rPr>
        <w:t xml:space="preserve">f</w:t>
      </w:r>
      <w:r>
        <w:rPr>
          <w:vertAlign w:val="superscript"/>
          <w:bCs/>
          <w:b/>
        </w:rPr>
        <w:t xml:space="preserve">35</w:t>
      </w:r>
      <w:r>
        <w:t xml:space="preserve">, żaden nie jest doskonały, 35 jest niemal kompletny,</w:t>
      </w:r>
      <w:r>
        <w:rPr>
          <w:rStyle w:val="FootnoteReference"/>
        </w:rPr>
        <w:footnoteReference w:id="527"/>
      </w:r>
      <w:r>
        <w:t xml:space="preserve"> </w:t>
      </w:r>
      <w:r>
        <w:t xml:space="preserve">nie ma doskonałych egzemplarzy.</w:t>
      </w:r>
    </w:p>
    <w:p>
      <w:pPr>
        <w:pStyle w:val="BodyText"/>
      </w:pPr>
      <w:r>
        <w:rPr>
          <w:bCs/>
          <w:b/>
        </w:rPr>
        <w:t xml:space="preserve">List do Rzymian</w:t>
      </w:r>
      <w:r>
        <w:t xml:space="preserve"> </w:t>
      </w:r>
      <w:r>
        <w:t xml:space="preserve">— skolacjonowałem 37 manuskryptów</w:t>
      </w:r>
      <w:r>
        <w:t xml:space="preserve"> </w:t>
      </w:r>
      <w:r>
        <w:rPr>
          <w:bCs/>
          <w:b/>
        </w:rPr>
        <w:t xml:space="preserve">f</w:t>
      </w:r>
      <w:r>
        <w:rPr>
          <w:vertAlign w:val="superscript"/>
          <w:bCs/>
          <w:b/>
        </w:rPr>
        <w:t xml:space="preserve">35</w:t>
      </w:r>
      <w:r>
        <w:t xml:space="preserve">, 1482, 2554 i 2723 są doskonałe, 35 jest kompletny, 1249, 1855, 1865 i 2466 miały doskonały egzemplarz.</w:t>
      </w:r>
    </w:p>
    <w:p>
      <w:pPr>
        <w:pStyle w:val="BodyText"/>
      </w:pPr>
      <w:r>
        <w:rPr>
          <w:bCs/>
          <w:b/>
        </w:rPr>
        <w:t xml:space="preserve">1 List do Koryntian</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nie ma doskonałych egzemplarzy.</w:t>
      </w:r>
    </w:p>
    <w:p>
      <w:pPr>
        <w:pStyle w:val="BodyText"/>
      </w:pPr>
      <w:r>
        <w:rPr>
          <w:bCs/>
          <w:b/>
        </w:rPr>
        <w:t xml:space="preserve">2 List do Koryntian</w:t>
      </w:r>
      <w:r>
        <w:t xml:space="preserve"> </w:t>
      </w:r>
      <w:r>
        <w:t xml:space="preserve">— skolacjonowałem 36 manuskryptów</w:t>
      </w:r>
      <w:r>
        <w:t xml:space="preserve"> </w:t>
      </w:r>
      <w:r>
        <w:rPr>
          <w:bCs/>
          <w:b/>
        </w:rPr>
        <w:t xml:space="preserve">f</w:t>
      </w:r>
      <w:r>
        <w:rPr>
          <w:vertAlign w:val="superscript"/>
          <w:bCs/>
          <w:b/>
        </w:rPr>
        <w:t xml:space="preserve">35</w:t>
      </w:r>
      <w:r>
        <w:t xml:space="preserve">, 2554 jest doskonały, 35 jest kompletny, 1865 miał doskonały egzemplarz.</w:t>
      </w:r>
    </w:p>
    <w:p>
      <w:pPr>
        <w:pStyle w:val="BodyText"/>
      </w:pPr>
      <w:r>
        <w:rPr>
          <w:bCs/>
          <w:b/>
        </w:rPr>
        <w:t xml:space="preserve">List do Galacjan</w:t>
      </w:r>
      <w:r>
        <w:t xml:space="preserve"> </w:t>
      </w:r>
      <w:r>
        <w:t xml:space="preserve">— skolacjonowałem 37 manuskryptów</w:t>
      </w:r>
      <w:r>
        <w:t xml:space="preserve"> </w:t>
      </w:r>
      <w:r>
        <w:rPr>
          <w:bCs/>
          <w:b/>
        </w:rPr>
        <w:t xml:space="preserve">f</w:t>
      </w:r>
      <w:r>
        <w:rPr>
          <w:vertAlign w:val="superscript"/>
          <w:bCs/>
          <w:b/>
        </w:rPr>
        <w:t xml:space="preserve">35</w:t>
      </w:r>
      <w:r>
        <w:t xml:space="preserve">, 204, 1100, 1637, 1865, 2554 i 2587 są doskonałe, 35 jest kompletny, 386, 444, 1075 i 2723 miały doskonały egzemplarz.</w:t>
      </w:r>
    </w:p>
    <w:p>
      <w:pPr>
        <w:pStyle w:val="BodyText"/>
      </w:pPr>
      <w:r>
        <w:rPr>
          <w:bCs/>
          <w:b/>
        </w:rPr>
        <w:t xml:space="preserve">List do Efezjan</w:t>
      </w:r>
      <w:r>
        <w:t xml:space="preserve"> </w:t>
      </w:r>
      <w:r>
        <w:t xml:space="preserve">— skolacjonowałem 37 manuskryptów</w:t>
      </w:r>
      <w:r>
        <w:t xml:space="preserve"> </w:t>
      </w:r>
      <w:r>
        <w:rPr>
          <w:bCs/>
          <w:b/>
        </w:rPr>
        <w:t xml:space="preserve">f</w:t>
      </w:r>
      <w:r>
        <w:rPr>
          <w:vertAlign w:val="superscript"/>
          <w:bCs/>
          <w:b/>
        </w:rPr>
        <w:t xml:space="preserve">35</w:t>
      </w:r>
      <w:r>
        <w:t xml:space="preserve">, 928, 1864, 2554 i 2723 są doskonałe, 204, 757, 986, 1248, 1503, 1548, 1725, 1732, 1865 i 2352 miały doskonały egzemplarz.</w:t>
      </w:r>
    </w:p>
    <w:p>
      <w:pPr>
        <w:pStyle w:val="BodyText"/>
      </w:pPr>
      <w:r>
        <w:rPr>
          <w:bCs/>
          <w:b/>
        </w:rPr>
        <w:t xml:space="preserve">List do Filipian</w:t>
      </w:r>
      <w:r>
        <w:t xml:space="preserve"> </w:t>
      </w:r>
      <w:r>
        <w:t xml:space="preserve">— skolacjonowałem 37 manuskryptów</w:t>
      </w:r>
      <w:r>
        <w:t xml:space="preserve"> </w:t>
      </w:r>
      <w:r>
        <w:rPr>
          <w:bCs/>
          <w:b/>
        </w:rPr>
        <w:t xml:space="preserve">f</w:t>
      </w:r>
      <w:r>
        <w:rPr>
          <w:vertAlign w:val="superscript"/>
          <w:bCs/>
          <w:b/>
        </w:rPr>
        <w:t xml:space="preserve">35</w:t>
      </w:r>
      <w:r>
        <w:t xml:space="preserve">, 35, 1072, 1864, 1865 i 2554 są doskonałe, 204, 394, 757, 824, 1249, 1503, 1548, 1732, 1855, 2352, 2466 i 2723 miały doskonały egzemplarz.</w:t>
      </w:r>
    </w:p>
    <w:p>
      <w:pPr>
        <w:pStyle w:val="BodyText"/>
      </w:pPr>
      <w:r>
        <w:rPr>
          <w:bCs/>
          <w:b/>
        </w:rPr>
        <w:t xml:space="preserve">List do Kolosan</w:t>
      </w:r>
      <w:r>
        <w:t xml:space="preserve"> </w:t>
      </w:r>
      <w:r>
        <w:t xml:space="preserve">— skolacjonowałem 37 manuskryptów</w:t>
      </w:r>
      <w:r>
        <w:t xml:space="preserve"> </w:t>
      </w:r>
      <w:r>
        <w:rPr>
          <w:bCs/>
          <w:b/>
        </w:rPr>
        <w:t xml:space="preserve">f</w:t>
      </w:r>
      <w:r>
        <w:rPr>
          <w:vertAlign w:val="superscript"/>
          <w:bCs/>
          <w:b/>
        </w:rPr>
        <w:t xml:space="preserve">35</w:t>
      </w:r>
      <w:r>
        <w:t xml:space="preserve">, 18, 444, 1732, 1864, 2554 i 2723 są doskonałe, 35, 1075, 1503 i 1725 są kompletne, 824, 1637, 1865, 1892, 2352 i 2466 miały doskonały egzemplarz.</w:t>
      </w:r>
    </w:p>
    <w:p>
      <w:pPr>
        <w:pStyle w:val="BodyText"/>
      </w:pPr>
      <w:r>
        <w:rPr>
          <w:bCs/>
          <w:b/>
        </w:rPr>
        <w:t xml:space="preserve">1 List do Tesaloniczan</w:t>
      </w:r>
      <w:r>
        <w:t xml:space="preserve"> </w:t>
      </w:r>
      <w:r>
        <w:t xml:space="preserve">— skolacjonowałem 39 manuskryptów</w:t>
      </w:r>
      <w:r>
        <w:t xml:space="preserve"> </w:t>
      </w:r>
      <w:r>
        <w:rPr>
          <w:bCs/>
          <w:b/>
        </w:rPr>
        <w:t xml:space="preserve">f</w:t>
      </w:r>
      <w:r>
        <w:rPr>
          <w:vertAlign w:val="superscript"/>
          <w:bCs/>
          <w:b/>
        </w:rPr>
        <w:t xml:space="preserve">35</w:t>
      </w:r>
      <w:r>
        <w:t xml:space="preserve">, 18, 824, 928, 1855, 1864 i 2723 są doskonałe, 35, 1865 i 2554 są kompletne, 394, 444, 757, 986, 1072, 1503, 1892 i 2587 miały doskonały egzemplarz.</w:t>
      </w:r>
    </w:p>
    <w:p>
      <w:pPr>
        <w:pStyle w:val="BodyText"/>
      </w:pPr>
      <w:r>
        <w:rPr>
          <w:bCs/>
          <w:b/>
        </w:rPr>
        <w:t xml:space="preserve">2 List do Tesaloniczan</w:t>
      </w:r>
      <w:r>
        <w:t xml:space="preserve"> </w:t>
      </w:r>
      <w:r>
        <w:t xml:space="preserve">— skolacjonowałem 38 manuskryptów</w:t>
      </w:r>
      <w:r>
        <w:t xml:space="preserve"> </w:t>
      </w:r>
      <w:r>
        <w:rPr>
          <w:bCs/>
          <w:b/>
        </w:rPr>
        <w:t xml:space="preserve">f</w:t>
      </w:r>
      <w:r>
        <w:rPr>
          <w:vertAlign w:val="superscript"/>
          <w:bCs/>
          <w:b/>
        </w:rPr>
        <w:t xml:space="preserve">35</w:t>
      </w:r>
      <w:r>
        <w:t xml:space="preserve">, 18, 35, 204, 394, 928, 1072, 1075, 1249, 1503, 1637, 1768, 1864, 1865, 2554 i 2723 są doskonałe, 328, 386, 444, 604, 824, 986, 1248, 1548, 1725, 1732, 1761, 1855, 1892, 1897, 2466 i 2587 miały doskonały egzemplarz.</w:t>
      </w:r>
    </w:p>
    <w:p>
      <w:pPr>
        <w:pStyle w:val="BodyText"/>
      </w:pPr>
      <w:r>
        <w:rPr>
          <w:bCs/>
          <w:b/>
        </w:rPr>
        <w:t xml:space="preserve">1 List do Tymoteusza</w:t>
      </w:r>
      <w:r>
        <w:t xml:space="preserve"> </w:t>
      </w:r>
      <w:r>
        <w:t xml:space="preserve">— skolacjonowałem 37 manuskryptów</w:t>
      </w:r>
      <w:r>
        <w:t xml:space="preserve"> </w:t>
      </w:r>
      <w:r>
        <w:rPr>
          <w:bCs/>
          <w:b/>
        </w:rPr>
        <w:t xml:space="preserve">f</w:t>
      </w:r>
      <w:r>
        <w:rPr>
          <w:vertAlign w:val="superscript"/>
          <w:bCs/>
          <w:b/>
        </w:rPr>
        <w:t xml:space="preserve">35</w:t>
      </w:r>
      <w:r>
        <w:t xml:space="preserve">, 1761 i 2554 są doskonałe, 35 jest kompletny, 444 i 2466 miały doskonały egzemplarz.</w:t>
      </w:r>
    </w:p>
    <w:p>
      <w:pPr>
        <w:pStyle w:val="BodyText"/>
      </w:pPr>
      <w:r>
        <w:rPr>
          <w:bCs/>
          <w:b/>
        </w:rPr>
        <w:t xml:space="preserve">2 List do Tymoteusza</w:t>
      </w:r>
      <w:r>
        <w:t xml:space="preserve"> </w:t>
      </w:r>
      <w:r>
        <w:t xml:space="preserve">— skolacjonowałem 36 manuskryptów</w:t>
      </w:r>
      <w:r>
        <w:t xml:space="preserve"> </w:t>
      </w:r>
      <w:r>
        <w:rPr>
          <w:bCs/>
          <w:b/>
        </w:rPr>
        <w:t xml:space="preserve">f</w:t>
      </w:r>
      <w:r>
        <w:rPr>
          <w:vertAlign w:val="superscript"/>
          <w:bCs/>
          <w:b/>
        </w:rPr>
        <w:t xml:space="preserve">35</w:t>
      </w:r>
      <w:r>
        <w:t xml:space="preserve">, 824, 1072, 1075 i 1864 są doskonałe, 1865 i 2723 są kompletne, 1503 miał doskonały egzemplarz.</w:t>
      </w:r>
    </w:p>
    <w:p>
      <w:pPr>
        <w:pStyle w:val="BodyText"/>
      </w:pPr>
      <w:r>
        <w:rPr>
          <w:bCs/>
          <w:b/>
        </w:rPr>
        <w:t xml:space="preserve">List do Tytusa</w:t>
      </w:r>
      <w:r>
        <w:t xml:space="preserve"> </w:t>
      </w:r>
      <w:r>
        <w:t xml:space="preserve">— skolacjonowałem 36 manuskryptów</w:t>
      </w:r>
      <w:r>
        <w:t xml:space="preserve"> </w:t>
      </w:r>
      <w:r>
        <w:rPr>
          <w:bCs/>
          <w:b/>
        </w:rPr>
        <w:t xml:space="preserve">f</w:t>
      </w:r>
      <w:r>
        <w:rPr>
          <w:vertAlign w:val="superscript"/>
          <w:bCs/>
          <w:b/>
        </w:rPr>
        <w:t xml:space="preserve">35</w:t>
      </w:r>
      <w:r>
        <w:t xml:space="preserve">, 35, 1072, 1503, 1855, 1864, 1892, 2080, 2587 i 2723 są doskonałe, 18, 328, 1637 i 1761 miały doskonały egzemplarz.</w:t>
      </w:r>
    </w:p>
    <w:p>
      <w:pPr>
        <w:pStyle w:val="BodyText"/>
      </w:pPr>
      <w:r>
        <w:rPr>
          <w:bCs/>
          <w:b/>
        </w:rPr>
        <w:t xml:space="preserve">List do Filemona</w:t>
      </w:r>
      <w:r>
        <w:t xml:space="preserve"> </w:t>
      </w:r>
      <w:r>
        <w:t xml:space="preserve">— skolacjonowałem 36 manuskryptów</w:t>
      </w:r>
      <w:r>
        <w:t xml:space="preserve"> </w:t>
      </w:r>
      <w:r>
        <w:rPr>
          <w:bCs/>
          <w:b/>
        </w:rPr>
        <w:t xml:space="preserve">f</w:t>
      </w:r>
      <w:r>
        <w:rPr>
          <w:vertAlign w:val="superscript"/>
          <w:bCs/>
          <w:b/>
        </w:rPr>
        <w:t xml:space="preserve">35</w:t>
      </w:r>
      <w:r>
        <w:t xml:space="preserve">, tylko siedem nie jest doskonałych, a pięć spośród nich miało doskonały egzemplarz.</w:t>
      </w:r>
    </w:p>
    <w:p>
      <w:pPr>
        <w:pStyle w:val="BodyText"/>
      </w:pPr>
      <w:r>
        <w:rPr>
          <w:bCs/>
          <w:b/>
        </w:rPr>
        <w:t xml:space="preserve">List do Hebrajczyków</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35, 1637 i 2723 są kompletne.</w:t>
      </w:r>
    </w:p>
    <w:p>
      <w:pPr>
        <w:pStyle w:val="BodyText"/>
      </w:pPr>
      <w:r>
        <w:rPr>
          <w:bCs/>
          <w:b/>
        </w:rPr>
        <w:t xml:space="preserve">List Jakuba</w:t>
      </w:r>
      <w:r>
        <w:t xml:space="preserve"> </w:t>
      </w:r>
      <w:r>
        <w:t xml:space="preserve">— skolacjonowałem 43 manuskrypty</w:t>
      </w:r>
      <w:r>
        <w:t xml:space="preserve"> </w:t>
      </w:r>
      <w:r>
        <w:rPr>
          <w:bCs/>
          <w:b/>
        </w:rPr>
        <w:t xml:space="preserve">f</w:t>
      </w:r>
      <w:r>
        <w:rPr>
          <w:vertAlign w:val="superscript"/>
          <w:bCs/>
          <w:b/>
        </w:rPr>
        <w:t xml:space="preserve">35</w:t>
      </w:r>
      <w:r>
        <w:t xml:space="preserve">, 18, 1864, 2554 i 2723 są doskonałe, 35 i 2221 są kompletne, 1503, 1732, 1865 i 2303 miały doskonały egzemplarz.</w:t>
      </w:r>
    </w:p>
    <w:p>
      <w:pPr>
        <w:pStyle w:val="BodyText"/>
      </w:pPr>
      <w:r>
        <w:rPr>
          <w:bCs/>
          <w:b/>
        </w:rPr>
        <w:t xml:space="preserve">1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1865, 2554 i 2723 są doskonałe, 35 jest kompletny, 824 miał doskonały egzemplarz.</w:t>
      </w:r>
    </w:p>
    <w:p>
      <w:pPr>
        <w:pStyle w:val="BodyText"/>
      </w:pPr>
      <w:r>
        <w:rPr>
          <w:bCs/>
          <w:b/>
        </w:rPr>
        <w:t xml:space="preserve">2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35, 1725, 1864, 2554 i 2723 są doskonałe, 18, 141, 824, 1072, 1075, 1503, 1865 i 1897 miały doskonały egzemplarz.</w:t>
      </w:r>
    </w:p>
    <w:p>
      <w:pPr>
        <w:pStyle w:val="BodyText"/>
      </w:pPr>
      <w:r>
        <w:rPr>
          <w:bCs/>
          <w:b/>
        </w:rPr>
        <w:t xml:space="preserve">1 List Jana</w:t>
      </w:r>
      <w:r>
        <w:t xml:space="preserve"> </w:t>
      </w:r>
      <w:r>
        <w:t xml:space="preserve">— skolacjonowałem 42 manuskrypty</w:t>
      </w:r>
      <w:r>
        <w:t xml:space="preserve"> </w:t>
      </w:r>
      <w:r>
        <w:rPr>
          <w:bCs/>
          <w:b/>
        </w:rPr>
        <w:t xml:space="preserve">f</w:t>
      </w:r>
      <w:r>
        <w:rPr>
          <w:vertAlign w:val="superscript"/>
          <w:bCs/>
          <w:b/>
        </w:rPr>
        <w:t xml:space="preserve">35</w:t>
      </w:r>
      <w:r>
        <w:t xml:space="preserve">, 204, 824, 1100 i 2554 są doskonałe, 35, 1637 i 1865 są kompletne, 1248, 1503, 1725, 1732, 1864, 1897 i 2723 miały doskonały egzemplarz.</w:t>
      </w:r>
    </w:p>
    <w:p>
      <w:pPr>
        <w:pStyle w:val="BodyText"/>
      </w:pPr>
      <w:r>
        <w:rPr>
          <w:bCs/>
          <w:b/>
        </w:rPr>
        <w:t xml:space="preserve">2 i 3 List Jana oraz List Judy</w:t>
      </w:r>
      <w:r>
        <w:t xml:space="preserve"> </w:t>
      </w:r>
      <w:r>
        <w:t xml:space="preserve">— skolacjonowałem 46 manuskryptów</w:t>
      </w:r>
      <w:r>
        <w:t xml:space="preserve"> </w:t>
      </w:r>
      <w:r>
        <w:rPr>
          <w:bCs/>
          <w:b/>
        </w:rPr>
        <w:t xml:space="preserve">f</w:t>
      </w:r>
      <w:r>
        <w:rPr>
          <w:vertAlign w:val="superscript"/>
          <w:bCs/>
          <w:b/>
        </w:rPr>
        <w:t xml:space="preserve">35</w:t>
      </w:r>
      <w:r>
        <w:t xml:space="preserve">, 141, 204, 386, 824, 928, 1072, 1075, 1100, 1637, 1855, 1864, 2221, 2554 i 2723 są doskonałe we wszystkich trzech księgach, 35 i 2587 są doskonałe w Listach Jana i kompletne w Liście Judy, kolejnych trzynaście miało doskonały egzemplarz, tylko pięć spośród 46 manuskryptów ma wariant we wszystkich trzech księgach.</w:t>
      </w:r>
    </w:p>
    <w:p>
      <w:pPr>
        <w:pStyle w:val="BodyText"/>
      </w:pPr>
      <w:r>
        <w:rPr>
          <w:bCs/>
          <w:b/>
        </w:rPr>
        <w:t xml:space="preserve">Objawienie Jana</w:t>
      </w:r>
      <w:r>
        <w:t xml:space="preserve"> </w:t>
      </w:r>
      <w:r>
        <w:t xml:space="preserve">— skolacjonowałem 20 manuskryptów</w:t>
      </w:r>
      <w:r>
        <w:t xml:space="preserve"> </w:t>
      </w:r>
      <w:r>
        <w:rPr>
          <w:bCs/>
          <w:b/>
        </w:rPr>
        <w:t xml:space="preserve">f</w:t>
      </w:r>
      <w:r>
        <w:rPr>
          <w:vertAlign w:val="superscript"/>
          <w:bCs/>
          <w:b/>
        </w:rPr>
        <w:t xml:space="preserve">35</w:t>
      </w:r>
      <w:r>
        <w:t xml:space="preserve">, żaden nie jest doskonały, 1864 jest kompletny, 757 miał doskonały egzemplarz. (W związku z tym nie sprawdziłem kolacjonowania innych manuskryptów dokonanego przez Hoskiera).</w:t>
      </w:r>
    </w:p>
    <w:p>
      <w:pPr>
        <w:pStyle w:val="BodyText"/>
      </w:pPr>
      <w:r>
        <w:t xml:space="preserve">Tak więc mam doskonałą kopię archetypu Rodziny 35 dla 22 ksiąg. Dla kolejnych trzech mam kopię kompletną. Twierdzę, że GA 2382 jest kompletny dla Ewangelii Łukasza, jeśli jednak nie, różni się jedną jedyną literą. Twierdzę, że GA 35 brakuje jednej jedynej litery do kompletności dla Dziejów Apostolskich, to niezły wynik dla najdłuższej księgi Nowego Testamentu.</w:t>
      </w:r>
      <w:r>
        <w:t xml:space="preserve"> </w:t>
      </w:r>
      <w:r>
        <w:rPr>
          <w:bCs/>
          <w:b/>
          <w:u w:val="single"/>
        </w:rPr>
        <w:t xml:space="preserve">Bóg zachował swój Tekst!</w:t>
      </w:r>
    </w:p>
    <w:p>
      <w:pPr>
        <w:pStyle w:val="BodyText"/>
      </w:pPr>
      <w:r>
        <w:t xml:space="preserve">Przed laty sam napisałem, że żadne dwa manuskrypty nie są identyczne, powtarzając jedynie rozpowszechnioną kaczkę dziennikarską. Było to jednak, zanim sam zacząłem kolacjonować manuskrypty. Nic przecież nie dorównuje bezpośredniej znajomości dowodów.</w:t>
      </w:r>
    </w:p>
    <w:bookmarkEnd w:id="528"/>
    <w:bookmarkStart w:id="529" w:name="bizantyjskie-manuskrypty-kr-rodziny-35"/>
    <w:p>
      <w:pPr>
        <w:pStyle w:val="Heading2"/>
      </w:pPr>
      <w:r>
        <w:t xml:space="preserve">Bizantyjskie manuskrypty</w:t>
      </w:r>
      <w:r>
        <w:t xml:space="preserve"> </w:t>
      </w:r>
      <w:r>
        <w:rPr>
          <w:bCs/>
          <w:b/>
        </w:rPr>
        <w:t xml:space="preserve">K</w:t>
      </w:r>
      <w:r>
        <w:rPr>
          <w:vertAlign w:val="superscript"/>
          <w:bCs/>
          <w:b/>
        </w:rPr>
        <w:t xml:space="preserve">r</w:t>
      </w:r>
      <w:r>
        <w:t xml:space="preserve"> </w:t>
      </w:r>
      <w:r>
        <w:t xml:space="preserve">(Rodziny 35)</w:t>
      </w:r>
    </w:p>
    <w:p>
      <w:pPr>
        <w:pStyle w:val="FirstParagraph"/>
      </w:pPr>
      <w:r>
        <w:rPr>
          <w:iCs/>
          <w:i/>
        </w:rPr>
        <w:t xml:space="preserve">Uncjały</w:t>
      </w:r>
      <w:r>
        <w:t xml:space="preserve">: brak</w:t>
      </w:r>
    </w:p>
    <w:p>
      <w:pPr>
        <w:pStyle w:val="BodyText"/>
      </w:pPr>
      <w:r>
        <w:rPr>
          <w:iCs/>
          <w:i/>
        </w:rPr>
        <w:t xml:space="preserve">Minuskuły</w:t>
      </w:r>
      <w:r>
        <w:t xml:space="preserve">: 18, 35, 47, 55, 56, 58, 59, 66, 83, 128, 141, 147, 149, 155, 167, 170, 189, 201, 204, 205, 214, 225, 246, 285, 290, 328, 361, 363, 386, 387, 394, 402, 415, 422, 432, 471, 479, 480, 486, 510, 511, 512, 516, 520, 521, 536, 547, 553, 575, 586, 588, 594, 604, 634, 645, 660, 664, 673, 676, 685, 689, 691, 694, 696, 757, 758, 763, 769, 781, 786, 789, 797, 801, 802, 806, 824, 825, 830, 845, 864, 867, 897, 928, 932, 936, 938, 940, 952, 953, 955, 958, 959, 960, 961, 962, 966, 986, 1003, 1010, 1018, 1020, 1023, 1025, 1030, 1040, 1046, 1058, 1059, 1062, 1072, 1075, 1088, 1092, 1095, 1100, 1101, 1111, 1116, 1117, 1119, 1131, 1132, 1133, 1140, 1145, 1146, 1147, 1158, 1165, 1169, 1176, 1180, 1185, 1189, 1190, 1199, 1224, 1234, 1236, 1247, 1248, 1249, 1250, 1251, 1293, 1323, 1328, 1329, 1330, 1331, 1334, 1339, 1348, 1354, 1362, 1367, 1384, 1389, 1400, 1401, 1409, 1414, 1427, 1435, 1444, 1445, 1453, 1456, 1461, 1462, 1465, 1467, 1471, 1472, 1474, 1476, 1477, 1480, 1482, 1483, 1487, 1488, 1489, 1490, 1492, 1493, 1494, 1496, 1497, 1499, 1501, 1503, 1508, 1509, 1543, 1544, 1548, 1550, 1551, 1552, 1559, 1560, 1570, 1572, 1576, 1584, 1585, 1591, 1596, 1599, 1600, 1601, 1609, 1614, 1617, 1618, 1619, 1620, 1621, 1622, 1625, 1628, 1630, 1632, 1633, 1634, 1636, 1637, 1638, 1641, 1648, 1649, 1650, 1652, 1653, 1656, 1658, 1659, 1664, 1667, 1671, 1680, 1686, 1688, 1694, 1698, 1700, 1702, 1703, 1704, 1705, 1713, 1723, 1725, 1726, 1732, 1733, 1737, 1740, 1745, 1746, 1748, 1749, 1752, 1754, 1761, 1763, 1766, 1767, 1768, 1771, 1779, 1785, 1786, 1789, 1813, 1855, 1856, 1858, 1864, 1865, 1876, 1892, 1894, 1897, 1903, 1957, 1960, 1966, 2023, 2035, 2041, 2061, 2080, 2095, 2112, 2122, 2124, 2131, 2175, 2178, 2196, 2204, 2213, 2218, 2221, 2231, 2235, 2251, 2253, 2255, 2260, 2261, 2265, 2273, 2284, 2289, 2296, 2303, 2322, 2323, 2352, 2355, 2367, 2375, 2378, 2382, 2387, 2399, 2407, 2418, 2431, 2434, 2436, 2452, 2454, 2460, 2466, 2479, 2483, 2496, 2501, 2503, 2508, 2510, 2520, 2554, 2587, 2598, 2621, 2626, 2635, 2649, 2653, 2658, 2673, 2669, 2704, 2723, 2765, 2767, 2777, 2806, 2821</w:t>
      </w:r>
    </w:p>
    <w:p>
      <w:pPr>
        <w:pStyle w:val="BodyText"/>
      </w:pPr>
      <w:r>
        <w:t xml:space="preserve">Łącznie = 364</w:t>
      </w:r>
    </w:p>
    <w:p>
      <w:pPr>
        <w:pStyle w:val="BodyText"/>
      </w:pPr>
      <w:r>
        <w:t xml:space="preserve">Uwaga: wykaz obejmuje wyłącznie manuskrypty o tekście ciągłym.</w:t>
      </w:r>
    </w:p>
    <w:p>
      <w:pPr>
        <w:pStyle w:val="BodyText"/>
      </w:pPr>
      <w:r>
        <w:t xml:space="preserve">Źródła:</w:t>
      </w:r>
    </w:p>
    <w:p>
      <w:pPr>
        <w:numPr>
          <w:ilvl w:val="0"/>
          <w:numId w:val="1114"/>
        </w:numPr>
        <w:pStyle w:val="Compact"/>
      </w:pPr>
      <w:r>
        <w:rPr>
          <w:iCs/>
          <w:i/>
        </w:rPr>
        <w:t xml:space="preserve">Die Schriften Des Neuen Testaments</w:t>
      </w:r>
      <w:r>
        <w:t xml:space="preserve">, Hermann Von Soden, Gottingen, 2 tomy (1911–1913)</w:t>
      </w:r>
    </w:p>
    <w:p>
      <w:pPr>
        <w:numPr>
          <w:ilvl w:val="0"/>
          <w:numId w:val="1114"/>
        </w:numPr>
        <w:pStyle w:val="Compact"/>
      </w:pPr>
      <w:r>
        <w:rPr>
          <w:iCs/>
          <w:i/>
        </w:rPr>
        <w:t xml:space="preserve">Kurzgefaste Liste</w:t>
      </w:r>
      <w:r>
        <w:t xml:space="preserve">, Kurt Aland, Berlin, de Gruyter, wyd. 2 (1994)</w:t>
      </w:r>
    </w:p>
    <w:p>
      <w:pPr>
        <w:numPr>
          <w:ilvl w:val="0"/>
          <w:numId w:val="1114"/>
        </w:numPr>
        <w:pStyle w:val="Compact"/>
      </w:pPr>
      <w:r>
        <w:rPr>
          <w:iCs/>
          <w:i/>
        </w:rPr>
        <w:t xml:space="preserve">Text und Textwert (TuT)</w:t>
      </w:r>
      <w:r>
        <w:t xml:space="preserve">, Berlin, de Gryuter (1998–2005)</w:t>
      </w:r>
    </w:p>
    <w:p>
      <w:pPr>
        <w:numPr>
          <w:ilvl w:val="0"/>
          <w:numId w:val="1114"/>
        </w:numPr>
        <w:pStyle w:val="Compact"/>
      </w:pPr>
      <w:r>
        <w:rPr>
          <w:iCs/>
          <w:i/>
        </w:rPr>
        <w:t xml:space="preserve">The Profile Method for Classification and Evaluation of Manuscript Evidence-The Gospel of Luke</w:t>
      </w:r>
      <w:r>
        <w:t xml:space="preserve">, Frederick Wisse, William B. Eerdmans, Grand Rapids, Michigan (1982)</w:t>
      </w:r>
    </w:p>
    <w:p>
      <w:pPr>
        <w:numPr>
          <w:ilvl w:val="0"/>
          <w:numId w:val="1114"/>
        </w:numPr>
        <w:pStyle w:val="Compact"/>
      </w:pPr>
      <w:r>
        <w:rPr>
          <w:iCs/>
          <w:i/>
        </w:rPr>
        <w:t xml:space="preserve">VMR-Handshriftenliste</w:t>
      </w:r>
      <w:r>
        <w:t xml:space="preserve">, (INTF) Munster, http://intf.uni-muenster.de/vmr/NTVMR/ListeHandschriften.php</w:t>
      </w:r>
    </w:p>
    <w:p>
      <w:pPr>
        <w:pStyle w:val="FirstParagraph"/>
      </w:pPr>
      <w:r>
        <w:t xml:space="preserve">Opracował:</w:t>
      </w:r>
    </w:p>
    <w:p>
      <w:pPr>
        <w:pStyle w:val="BodyText"/>
      </w:pPr>
      <w:r>
        <w:t xml:space="preserve">Paul D. Anderson</w:t>
      </w:r>
      <w:r>
        <w:br/>
      </w:r>
      <w:r>
        <w:t xml:space="preserve">kwiecień 2010</w:t>
      </w:r>
    </w:p>
    <w:bookmarkEnd w:id="529"/>
    <w:bookmarkStart w:id="532" w:name="grzech-pokoleniowy"/>
    <w:p>
      <w:pPr>
        <w:pStyle w:val="Heading2"/>
      </w:pPr>
      <w:r>
        <w:t xml:space="preserve">Grzech pokoleniowy</w:t>
      </w:r>
    </w:p>
    <w:bookmarkStart w:id="531" w:name="Xd40b6b7d1526f13e049e5a8c63215a5638e7df3"/>
    <w:p>
      <w:pPr>
        <w:pStyle w:val="Heading3"/>
      </w:pPr>
      <w:r>
        <w:t xml:space="preserve">Do starszych Duncanville Bible Church</w:t>
      </w:r>
      <w:r>
        <w:rPr>
          <w:rStyle w:val="FootnoteReference"/>
        </w:rPr>
        <w:footnoteReference w:id="530"/>
      </w:r>
    </w:p>
    <w:p>
      <w:pPr>
        <w:pStyle w:val="BodyText"/>
      </w:pPr>
      <w:r>
        <w:t xml:space="preserve">Dwóch naszych starszych publicznie odniosło się w ubiegłą niedzielę (22.10.1989) do „grzechu pokoleniowego”, a to dało mi punkt zaczepienia w sprawie sytuacji w kościele, która od pewnego czasu mnie niepokoi. Grzech pokoleniowy? Tak! Lecz nie tylko w obrębie rodzin. Grzech pokoleniowy występuje w poszczególnych kościołach, szkołach, denominacjach oraz w szerszych częściach Kościoła. Jednym z bardzo poważnych grzechów pokoleniowych, mającym charakter endemiczny na rozległych obszarach całej społeczności konserwatywnej lub ewangelikalnej, jest bałwochwalstwo wynoszące ludzki rozum ponad objawione Słowo Boga. Bałwochwalstwo to wyraża się na wielu frontach, lecz być może ten fundamentalny dotyczy samego Tekstu Pisma — mam na myśli mentalność, która nieustannie kwestionuje same sformułowania Tekstu, podważając w ten sposób zaufanie do jego integralności i autorytetu.</w:t>
      </w:r>
    </w:p>
    <w:p>
      <w:pPr>
        <w:pStyle w:val="BodyText"/>
      </w:pPr>
      <w:r>
        <w:t xml:space="preserve">Podam konkretny, szczegółowy przykład tego, o czym mówię. Kilka tygodni temu nasz pastor emendował z kazalnicy Tekst 1 Listu do Koryntian 8,3. Zamiast</w:t>
      </w:r>
      <w:r>
        <w:t xml:space="preserve"> </w:t>
      </w:r>
      <w:r>
        <w:rPr>
          <w:iCs/>
          <w:i/>
        </w:rPr>
        <w:t xml:space="preserve">„jeśli ktoś miłuje Boga, ten jest przez Niego znany”</w:t>
      </w:r>
      <w:r>
        <w:t xml:space="preserve"> </w:t>
      </w:r>
      <w:r>
        <w:t xml:space="preserve">zasugerował, że być może powinniśmy czytać</w:t>
      </w:r>
      <w:r>
        <w:t xml:space="preserve"> </w:t>
      </w:r>
      <w:r>
        <w:rPr>
          <w:iCs/>
          <w:i/>
        </w:rPr>
        <w:t xml:space="preserve">„jeśli ktoś miłuje Boga, ten wie”</w:t>
      </w:r>
      <w:r>
        <w:t xml:space="preserve">. Ponieważ żaden drukowany tekst grecki nie ma tego, co zasugerował, czułem, że Pan prowadzi mnie, by ostrzec go, iż takie postępowanie jest niewskazane. W odpowiedzi skierował mnie do komentarza Gordona Fee do 1 Listu do Koryntian, który był źródłem tego, co zrobił. Komentarz Fee do 1 Listu do Koryntian 8,2–3 dostarcza wyjątkowo rażącego przykładu bałwochwalstwa, o którym wspomniałem. Rozważmy:</w:t>
      </w:r>
    </w:p>
    <w:p>
      <w:pPr>
        <w:pStyle w:val="BodyText"/>
      </w:pPr>
      <w:r>
        <w:t xml:space="preserve">Poprawny Tekst 1 Listu do Koryntian 8,2–3, poświadczony przez około 95% greckich manuskryptów, brzmi następująco: Ει δε τις δοκει ειδεναι (86%) τι,</w:t>
      </w:r>
      <w:r>
        <w:t xml:space="preserve"> </w:t>
      </w:r>
      <w:r>
        <w:rPr>
          <w:u w:val="single"/>
        </w:rPr>
        <w:t xml:space="preserve">ουδεπω ουδεν εγνωκε καθως δει γνωναι. Ει δε τις αγαπα τον θεον, οὑτος</w:t>
      </w:r>
      <w:r>
        <w:t xml:space="preserve"> </w:t>
      </w:r>
      <w:r>
        <w:t xml:space="preserve">εγνωσται ὑπ̕ αυτου. Będący obecnie w modzie tekst eklektyczny, za którym podążają NIV, NASB, LB i tak dalej, opiera się na garstce świadków egipskich i brzmi tak: Ει … τις δοκει</w:t>
      </w:r>
      <w:r>
        <w:t xml:space="preserve"> </w:t>
      </w:r>
      <w:r>
        <w:rPr>
          <w:u w:val="single"/>
        </w:rPr>
        <w:t xml:space="preserve">εγνωκεναι</w:t>
      </w:r>
      <w:r>
        <w:t xml:space="preserve"> </w:t>
      </w:r>
      <w:r>
        <w:t xml:space="preserve">τί</w:t>
      </w:r>
      <w:r>
        <w:t xml:space="preserve"> </w:t>
      </w:r>
      <w:r>
        <w:rPr>
          <w:u w:val="single"/>
        </w:rPr>
        <w:t xml:space="preserve">ουπω</w:t>
      </w:r>
      <w:r>
        <w:t xml:space="preserve"> </w:t>
      </w:r>
      <w:r>
        <w:t xml:space="preserve">…</w:t>
      </w:r>
      <w:r>
        <w:t xml:space="preserve"> </w:t>
      </w:r>
      <w:r>
        <w:rPr>
          <w:u w:val="single"/>
        </w:rPr>
        <w:t xml:space="preserve">εγνω καθως δει</w:t>
      </w:r>
      <w:r>
        <w:t xml:space="preserve"> </w:t>
      </w:r>
      <w:r>
        <w:t xml:space="preserve">γνωναι. Ει δε τις αγαπα τον θεον, οὑτος εγνωσται ὑπ̕ αυτου. Omawiane miejsca są podkreślone. To właśnie tekst eklektyczny Fee przyjmuje za punkt wyjścia i z upodobaniem nazywa „tekstem standardowym”. Gdyby Fee uznał poprawny tekst, trudno byłoby mu pisać tak, jak napisał. (Aby jednak to uczynić, musiałby odrzucić wszystko, czego nauczono go w dziedzinie krytyki tekstu Nowego Testamentu). Nie zadowolił się jednak nawet swoim „standardowym” tekstem — proponuje emendować go przez pominięcie w trzech miejscach (zob. jego s. 367) i robi to na podstawie jednego greckiego manuskryptu, P</w:t>
      </w:r>
      <w:r>
        <w:rPr>
          <w:vertAlign w:val="superscript"/>
        </w:rPr>
        <w:t xml:space="preserve">46</w:t>
      </w:r>
      <w:r>
        <w:t xml:space="preserve">. Jego tekst wyglądałby następująco: Ει τις δοκει εγνωκεναι… ουπω εγνω καθως δει γνωναι. Ει δε τις αγαπα … …, οὑτος εγνωσται … ….</w:t>
      </w:r>
    </w:p>
    <w:p>
      <w:pPr>
        <w:pStyle w:val="BodyText"/>
      </w:pPr>
      <w:r>
        <w:t xml:space="preserve">P</w:t>
      </w:r>
      <w:r>
        <w:rPr>
          <w:vertAlign w:val="superscript"/>
        </w:rPr>
        <w:t xml:space="preserve">46</w:t>
      </w:r>
      <w:r>
        <w:t xml:space="preserve"> </w:t>
      </w:r>
      <w:r>
        <w:t xml:space="preserve">zawiera większość listów Pawła i jest zwykle datowany na około 200 rok po Chrystusie (co czyni go naszym najstarszym zachowanym manuskryptem w tym miejscu). Odkryto go w piaskach Egiptu około 85 lat temu, a opinia uczonych wydaje się zgodna, że powstał w Egipcie. Otóż w tamtym czasie (200) „kościół chrześcijański” w Egipcie obejmował co najmniej jedenaście grup heretyckich, które były tak wyraźnie określone, że miały nazwy — walentynianie, bazylidianie, marcjonici, peraci, enkratyci, dokeci, haimetyci, kainici, ofici, symonianie i eutychici — lecz dominującą siłą w całej społeczności „chrześcijańskiej” był gnostycyzm. Tekst P</w:t>
      </w:r>
      <w:r>
        <w:rPr>
          <w:vertAlign w:val="superscript"/>
        </w:rPr>
        <w:t xml:space="preserve">46</w:t>
      </w:r>
      <w:r>
        <w:t xml:space="preserve"> </w:t>
      </w:r>
      <w:r>
        <w:t xml:space="preserve">w 1 Liście do Koryntian 8,2–3 jest po prostu gnostyckim tworem, który przez 17 stuleci był pogrzebany w piaskach Egiptu, lecz Fee proponuje go wskrzesić i przedstawić światu jako Prawdę Boga!</w:t>
      </w:r>
    </w:p>
    <w:p>
      <w:pPr>
        <w:pStyle w:val="BodyText"/>
      </w:pPr>
      <w:r>
        <w:t xml:space="preserve">Przeanalizujmy teraz postępowanie Fee. Zaczął od eklektycznego tekstu greckiego opartego na mniej niż 5% zachowanych greckich manuskryptów (tutaj około 700). Nie zadowalając się tym, proponuje trzy pominięcia oparte na jednym greckim manuskrypcie przeciwko każdemu innemu greckiemu manuskryptowi (około 700) i każdemu starożytnemu przekładowi, łącznie z egipskimi manuskryptami i przekładami (z wyjątkiem tego, że trzecie pominięcie znajduje się również w dwóch innych manuskryptach). Zauważ, że nie omawia dowodów, nie podejmuje próby wyjaśnienia, dlaczego albo jak każdy manuskrypt (z wyjątkiem P</w:t>
      </w:r>
      <w:r>
        <w:rPr>
          <w:vertAlign w:val="superscript"/>
        </w:rPr>
        <w:t xml:space="preserve">46</w:t>
      </w:r>
      <w:r>
        <w:t xml:space="preserve">) i przekład miałby być tutaj błędny. Cała jego argumentacja opiera się na subiektywnych rozważaniach, na tym, co</w:t>
      </w:r>
      <w:r>
        <w:t xml:space="preserve"> </w:t>
      </w:r>
      <w:r>
        <w:rPr>
          <w:iCs/>
          <w:i/>
          <w:u w:val="single"/>
        </w:rPr>
        <w:t xml:space="preserve">on</w:t>
      </w:r>
      <w:r>
        <w:t xml:space="preserve"> </w:t>
      </w:r>
      <w:r>
        <w:t xml:space="preserve">uważa za „pasujące do kontekstu”. Innymi słowy, Fee wynosi własne procesy umysłowe ponad Słowo Boga. On, Gordon Fee, ustali oryginalne sformułowania Świętego Tekstu na podstawie własnej wyobraźni. To jest bałwochwalstwo, przewrotne bałwochwalstwo.</w:t>
      </w:r>
    </w:p>
    <w:p>
      <w:pPr>
        <w:pStyle w:val="BodyText"/>
      </w:pPr>
      <w:r>
        <w:t xml:space="preserve">Rozważmy teraz konsekwencje dla doktryny natchnienia Pisma. Jeśli Fee ma rację, wówczas forma 1 Listu do Koryntian, którą kanonizowały poszczególne sobory Kościoła, jest błędna. Jeśli Kościół kanonizował błędny Tekst, skąd wiemy, że postąpił słusznie, w ogóle kanonizując tę księgę (1 List do Koryntian)? Co więcej, Kościół powszechny używał i zachowywał przez stulecia błędny tekst. Marcin Luter nie mógł wiedzieć, jaki był poprawny tekst 1 Listu do Koryntian — był pogrzebany w piaskach Egiptu (według Fee). Nie mógł tego wiedzieć także nikt inny w żadnym momencie między 300 a 1930 rokiem po Chrystusie — prawdziwy odczyt (według Fee) zniknął z wiedzy Kościoła. Żaden tłumacz ani uczony w 1900 roku po prostu nie mógł wiedzieć, jaki był prawdziwy odczyt — nie istniał. Co więcej, skąd wiemy, że jutro nie zostanie odkryty nowy papirus, nazwijmy go P</w:t>
      </w:r>
      <w:r>
        <w:rPr>
          <w:vertAlign w:val="superscript"/>
        </w:rPr>
        <w:t xml:space="preserve">201</w:t>
      </w:r>
      <w:r>
        <w:t xml:space="preserve">, który będzie miał wariant w miejscu, gdzie dotąd istnieje stuprocentowa zgodność? I co miałoby powstrzymać Fee przed powiedzeniem nam, że ten wariant jest w rzeczywistości oryginalnym odczytem? Innymi słowy, jeśli Fee ma rację, nie mamy pewności i nigdy nie możemy mieć pewności co do tego, jaki jest prawdziwy Tekst Pisma. Po co więc w takiej sytuacji próbować mówić o nieomylnym Tekście? I czy każde twierdzenie o natchnieniu nie staje się względne?</w:t>
      </w:r>
    </w:p>
    <w:p>
      <w:pPr>
        <w:pStyle w:val="BodyText"/>
      </w:pPr>
      <w:r>
        <w:t xml:space="preserve">Traktowanie 1 Listu do Koryntian 8,2–3 przez Fee jest jedynie skrajnym przykładem mentalności przenikającej nasze kościoły. Marginesy NIV i NASB pełne są uwag podważających zaufanie do integralności Tekstu:</w:t>
      </w:r>
      <w:r>
        <w:t xml:space="preserve"> </w:t>
      </w:r>
      <w:r>
        <w:rPr>
          <w:iCs/>
          <w:i/>
        </w:rPr>
        <w:t xml:space="preserve">„niektóre wczesne manuskrypty pomijają…”</w:t>
      </w:r>
      <w:r>
        <w:t xml:space="preserve">,</w:t>
      </w:r>
      <w:r>
        <w:t xml:space="preserve"> </w:t>
      </w:r>
      <w:r>
        <w:rPr>
          <w:iCs/>
          <w:i/>
        </w:rPr>
        <w:t xml:space="preserve">„wiele starożytnych autorytetów odczytuje…”</w:t>
      </w:r>
      <w:r>
        <w:t xml:space="preserve">,</w:t>
      </w:r>
      <w:r>
        <w:t xml:space="preserve"> </w:t>
      </w:r>
      <w:r>
        <w:rPr>
          <w:iCs/>
          <w:i/>
        </w:rPr>
        <w:t xml:space="preserve">„najwcześniejsi i najlepsi</w:t>
      </w:r>
      <w:r>
        <w:t xml:space="preserve"> </w:t>
      </w:r>
      <w:r>
        <w:t xml:space="preserve">(w rzeczywistości najgorsi)</w:t>
      </w:r>
      <w:r>
        <w:t xml:space="preserve"> </w:t>
      </w:r>
      <w:r>
        <w:rPr>
          <w:iCs/>
          <w:i/>
        </w:rPr>
        <w:t xml:space="preserve">świadkowie…”</w:t>
      </w:r>
      <w:r>
        <w:t xml:space="preserve">, nie wspominając o nawiasach w samym tekście, które mówią czytelnikowi, że zawarty w nich materiał „z pewnością nie jest autentyczny”. Dlaczego to robią? Ponieważ podążają za tekstem eklektycznym, a jego redaktorzy skonstruowali go na podstawie subiektywnych kryteriów, które z kolei opierają się na fałszywych założeniach wstępnych. Żaden z tych redaktorów nie wierzył jednak, że Biblia jest nieomylnym Słowem Boga — w istocie narzucili swemu tekstowi oczywiste błędy rzeczowe i sprzeczności. Czy nie kwalifikowaliby się jako „synowie nieposłuszeństwa” (List do Efezjan 2,2)? Jeśli tak, oznaczałoby to, że ich umysły były całkowicie otwarte na szatańską ingerencję. Jeśli ktoś sądzi, że Szatan przepuściłby taką sposobność do skażenia Świętego Tekstu, to naprawdę nie wierzy w to, co Biblia mówi o naszym wrogu!</w:t>
      </w:r>
    </w:p>
    <w:p>
      <w:pPr>
        <w:pStyle w:val="BodyText"/>
      </w:pPr>
      <w:r>
        <w:t xml:space="preserve">Wyrażenie „grzech pokoleniowy” oznacza, że grzech ten praktykuje całe pokolenie. Wiąże się z tym bardzo poważna konsekwencja: wszystkie następne pokolenia otrzymują ten grzech jako część swojej „puli genowej”, nie jest on postrzegany jako „grzech”, lecz jako „prawda”. Ponieważ jednak w rzeczywistości jest kłamstwem, staje się warownią Szatana w ich umysłach i nie jest kwestionowany. Jedyne uwolnienie od tego grzechu następuje wtedy, gdy ktoś wraca do jego początku oraz analizuje i ujawnia fałszywe założenia wstępne i rozumowanie, które dały początek grzechowi. Osoba taka nie powinna jednak oczekiwać dobrego przyjęcia. Z pewnością będzie prześladowana przez „Establishment”. Jeśli jednak ma sposób rozpowszechniania swoich ustaleń, może wpłynąć na przyszłość.</w:t>
      </w:r>
    </w:p>
    <w:p>
      <w:pPr>
        <w:pStyle w:val="BodyText"/>
      </w:pPr>
      <w:r>
        <w:t xml:space="preserve">Rozważmy teraz konsekwencje tego grzechu pokoleniowego. Coraz trudniej jest rzeczywiście prowadzić lekcję szkoły niedzielnej — w sali może znajdować się sześć różnych przekładów i zaczynamy omawiać różne teksty i tłumaczenia, nie ma autorytetu pozwalającego dokonać wyboru, nikt nie wie na pewno, czym jest słowo Boga! Przypisy wraz z różnicami między przekładami (często znaczącymi) podważyły zaufanie ludzi do integralności Tekstu. Jeśli kaznodzieja emenduje Tekst z kazalnicy, zamieszanie zostaje spotęgowane. Autorytet Pism został podważony. Niewielu ma pewność, by powstać i powiedzieć: „Tak mówi PAN!”. Praktyczny skutek jest taki, że ilekroć jakaś nauka Pisma staje się niewygodna z przyczyn osobistych albo kulturowych, po prostu mówimy o wszystkim wokół niej, wyjaśniamy ją tak, by ją usunąć, albo zwyczajnie wzruszamy ramionami. Bezwarunkowe posłuszeństwo zwykłemu znaczeniu Tekstu jest teraz beznadziejnie niemodne! Ostatecznie w dzisiejszych czasach to nasz rozum i logika (łagodzone przez naszą wygodę) są ostatecznym autorytetem, ostatecznym arbitrem — Słowo Boga już nad nami nie panuje, to my panujemy nad nim (</w:t>
      </w:r>
      <w:r>
        <w:rPr>
          <w:iCs/>
          <w:i/>
        </w:rPr>
        <w:t xml:space="preserve">à la</w:t>
      </w:r>
      <w:r>
        <w:t xml:space="preserve"> </w:t>
      </w:r>
      <w:r>
        <w:t xml:space="preserve">Fee).</w:t>
      </w:r>
    </w:p>
    <w:p>
      <w:pPr>
        <w:pStyle w:val="BodyText"/>
      </w:pPr>
      <w:r>
        <w:t xml:space="preserve">Dlaczego Bóg miałby błogosławić nasz kraj, nasz kościół, nasze domy, nasze życie, skoro trwamy w tak zgubnej formie bałwochwalstwa?</w:t>
      </w:r>
    </w:p>
    <w:bookmarkEnd w:id="531"/>
    <w:bookmarkEnd w:id="532"/>
    <w:bookmarkStart w:id="533" w:name="metoda-genealogiczna-oparta-na-spójności"/>
    <w:p>
      <w:pPr>
        <w:pStyle w:val="Heading2"/>
      </w:pPr>
      <w:r>
        <w:t xml:space="preserve">Metoda genealogiczna oparta na spójności</w:t>
      </w:r>
    </w:p>
    <w:p>
      <w:pPr>
        <w:pStyle w:val="FirstParagraph"/>
      </w:pPr>
      <w:r>
        <w:t xml:space="preserve">Każdy, kto w jakikolwiek sposób zajmuje się krytyką tekstu Nowego Testamentu, przypuszczalnie słyszał o Metodzie genealogicznej opartej na spójności (</w:t>
      </w:r>
      <w:r>
        <w:rPr>
          <w:iCs/>
          <w:i/>
        </w:rPr>
        <w:t xml:space="preserve">Coherence-Based Genealogical Method</w:t>
      </w:r>
      <w:r>
        <w:t xml:space="preserve">, CBGM). Ilekroć widzisz wyrażenie „metoda genealogiczna”, powinieneś powiedzieć sobie: „Aha, to będzie po prostu kolejna próba uniknięcia harówki polegającej na kolacjonowaniu wszystkich manuskryptów”. Ponieważ sam skolacjonowałem co najmniej jedną księgę w ponad stu manuskryptach (ponad 30 w całości), mogę zapewnić, że rzeczywiście jest to harówka, niewolnicza praca.</w:t>
      </w:r>
    </w:p>
    <w:p>
      <w:pPr>
        <w:pStyle w:val="BodyText"/>
      </w:pPr>
      <w:r>
        <w:t xml:space="preserve">CBGM jest zasadniczo kolejną próbą uniknięcia pracy polegającej na kolacjonowaniu wszystkich zachowanych manuskryptów. Używa komputera do wykreślania prawdopodobieństw. Głównym problemem tej metody (z naszego punktu widzenia) jest to, że na niemal każdym etapie procedury krytyk musi dokonywać subiektywnych wyborów, a będzie ich dokonywał przy użyciu tych samych kryteriów, których używa się w eklektyzmie (preferuj trudniejszy odczyt, krótszy odczyt i tak dalej). W niedawnym</w:t>
      </w:r>
      <w:r>
        <w:t xml:space="preserve"> </w:t>
      </w:r>
      <w:r>
        <w:rPr>
          <w:iCs/>
          <w:i/>
        </w:rPr>
        <w:t xml:space="preserve">ECM</w:t>
      </w:r>
      <w:r>
        <w:t xml:space="preserve"> </w:t>
      </w:r>
      <w:r>
        <w:t xml:space="preserve">Dziejów Apostolskich Klaus Wachtel stwierdza jasno: „Na pierwszym etapie stosuje się tradycyjne metody eklektycznej krytyki tekstu” (s. 28*). Zasadniczo jest to więc stary eklektyzm przebrany w nowe szaty. Metoda nie jest empiryczna, chociaż wykorzystuje rzeczywiste warianty.</w:t>
      </w:r>
    </w:p>
    <w:p>
      <w:pPr>
        <w:pStyle w:val="BodyText"/>
      </w:pPr>
      <w:r>
        <w:t xml:space="preserve">Tendencję tę ilustruje seria</w:t>
      </w:r>
      <w:r>
        <w:t xml:space="preserve"> </w:t>
      </w:r>
      <w:r>
        <w:rPr>
          <w:iCs/>
          <w:i/>
        </w:rPr>
        <w:t xml:space="preserve">Editio Critica Maior</w:t>
      </w:r>
      <w:r>
        <w:t xml:space="preserve"> </w:t>
      </w:r>
      <w:r>
        <w:t xml:space="preserve">(</w:t>
      </w:r>
      <w:r>
        <w:rPr>
          <w:iCs/>
          <w:i/>
        </w:rPr>
        <w:t xml:space="preserve">ECM</w:t>
      </w:r>
      <w:r>
        <w:t xml:space="preserve">) dla Listów Ogólnych. Dla Listu Jakuba uwzględniono 182 manuskrypty spośród 522 kompletnych manuskryptów i większych fragmentów. Zgodnie z własną definicją uwzględniono 78 manuskryptów, które uznano za tak bizantyjskie, że zgrupowano je pod symbolem „</w:t>
      </w:r>
      <w:r>
        <w:rPr>
          <w:bCs/>
          <w:b/>
        </w:rPr>
        <w:t xml:space="preserve">Byz</w:t>
      </w:r>
      <w:r>
        <w:t xml:space="preserve">”. Jednak dla pozostałych sześciu ksiąg całkowitą liczbę manuskryptów zmniejszono średnio o 50, podczas gdy całkowitą liczbę manuskryptów „</w:t>
      </w:r>
      <w:r>
        <w:rPr>
          <w:bCs/>
          <w:b/>
        </w:rPr>
        <w:t xml:space="preserve">Byz</w:t>
      </w:r>
      <w:r>
        <w:t xml:space="preserve">” zmniejszono średnio o 35. Z mojego punktu widzenia</w:t>
      </w:r>
      <w:r>
        <w:t xml:space="preserve"> </w:t>
      </w:r>
      <w:r>
        <w:rPr>
          <w:iCs/>
          <w:i/>
        </w:rPr>
        <w:t xml:space="preserve">ECM</w:t>
      </w:r>
      <w:r>
        <w:t xml:space="preserve"> </w:t>
      </w:r>
      <w:r>
        <w:t xml:space="preserve">Listu Jakuba jest wyraźnie bardziej użyteczne niż pozostałych sześć ksiąg.</w:t>
      </w:r>
    </w:p>
    <w:p>
      <w:pPr>
        <w:pStyle w:val="BodyText"/>
      </w:pPr>
      <w:r>
        <w:t xml:space="preserve">W</w:t>
      </w:r>
      <w:r>
        <w:t xml:space="preserve"> </w:t>
      </w:r>
      <w:r>
        <w:rPr>
          <w:iCs/>
          <w:i/>
        </w:rPr>
        <w:t xml:space="preserve">ECM</w:t>
      </w:r>
      <w:r>
        <w:t xml:space="preserve"> </w:t>
      </w:r>
      <w:r>
        <w:t xml:space="preserve">Dziejów Apostolskich nadal nazywają tekst bizantyjski „starannie kontrolowaną formą” (s. 18</w:t>
      </w:r>
      <w:r>
        <w:rPr>
          <w:iCs/>
          <w:i/>
        </w:rPr>
        <w:t xml:space="preserve">), podobnie jak uczynili dwadzieścia lat wcześniej w</w:t>
      </w:r>
      <w:r>
        <w:rPr>
          <w:iCs/>
          <w:i/>
        </w:rPr>
        <w:t xml:space="preserve"> </w:t>
      </w:r>
      <w:r>
        <w:t xml:space="preserve">ECM* Listu Jakuba (s. 11*), nigdy jednak nie mówią, kto sprawował kontrolę. Powód jest prosty: nie mogą, ponieważ stwierdzenie to jest fałszywe. Powtarzają jedynie hołubioną kaczkę dziennikarską.</w:t>
      </w:r>
    </w:p>
    <w:bookmarkEnd w:id="533"/>
    <w:bookmarkStart w:id="567" w:name="X0bbc3bb85cb85f5389ff1a4bce576e42d5c9f7a"/>
    <w:p>
      <w:pPr>
        <w:pStyle w:val="Heading2"/>
      </w:pPr>
      <w:r>
        <w:t xml:space="preserve">Czy krytyka tekstu Nowego Testamentu jest nauką?</w:t>
      </w:r>
    </w:p>
    <w:p>
      <w:pPr>
        <w:pStyle w:val="FirstParagraph"/>
      </w:pPr>
      <w:r>
        <w:t xml:space="preserve">Czy kiedykolwiek słyszałeś albo czytałeś (lub wypowiedziałeś) wyrażenie „nauka krytyki tekstu Nowego Testamentu”? A co z wyrażeniem „krytyk tekstu”? Co zatem robi krytyk? Krytykuje. Co krytykuje? W tym przypadku jest to tekst Nowego Testamentu w języku greckim. Co jednak dokładnie krytykuje? Krytyk literacki przygląda się takim rzeczom jak styl i dobór słownictwa, komentator próbuje ustalić znaczenie zamierzone przez autora tekstu. Co zatem robi krytyk tekstu? Próbuje odtworzyć oryginalne sformułowania tekstu — zauważ, że zakłada, iż oryginalne sformułowania „zaginęły”, w tym sensie, że nikt nie wie na pewno, jakie są lub były. (Zauważ również, że stawia to krytyka ponad tekstem, do czego wrócę). Krytyka tekstu istnieje tylko w odniesieniu do tekstów, których oryginalne sformułowania uznaje się za „zaginione”. Nikt nie uprawia krytyki tekstu dzisiejszej gazety ani zeszłotygodniowego magazynu informacyjnego. Nikt nie uprawia nawet krytyki tekstu Biblii Króla Jakuba z 1611 roku, ponieważ nadal mamy jej drukowane egzemplarze. Wszelkie argumenty dotyczące KJV należą do innych kategorii, nie są krytyką tekstu.</w:t>
      </w:r>
    </w:p>
    <w:p>
      <w:pPr>
        <w:pStyle w:val="BodyText"/>
      </w:pPr>
      <w:r>
        <w:t xml:space="preserve">Każdy, kto zna ten teren, wie, że przez ostatnie 150 lat (co najmniej) świat akademicki był zdominowany przez pogląd, iż oryginalne sformułowania tekstu Nowego Testamentu rzeczywiście „zaginęły”. Tytułem ilustracji około 65 lat temu Robert M. Grant napisał: „powszechnie uznaje się, że oryginalnego tekstu Biblii nie można odzyskać”.</w:t>
      </w:r>
      <w:r>
        <w:rPr>
          <w:rStyle w:val="FootnoteReference"/>
        </w:rPr>
        <w:footnoteReference w:id="534"/>
      </w:r>
      <w:r>
        <w:t xml:space="preserve"> </w:t>
      </w:r>
      <w:r>
        <w:t xml:space="preserve">Kilka dalszych odniesień powtarzających tę opinię można znaleźć na stronach 3–4 mojego</w:t>
      </w:r>
      <w:r>
        <w:t xml:space="preserve"> </w:t>
      </w:r>
      <w:r>
        <w:rPr>
          <w:iCs/>
          <w:i/>
        </w:rPr>
        <w:t xml:space="preserve">Identity IV</w:t>
      </w:r>
      <w:r>
        <w:t xml:space="preserve">. Zanim spróbuję obalić tę — jak uważam — fikcję (kaczkę dziennikarską?), naszkicuję nieco istotnej historii.</w:t>
      </w:r>
    </w:p>
    <w:bookmarkStart w:id="543" w:name="nieco-istotnej-historii-1"/>
    <w:p>
      <w:pPr>
        <w:pStyle w:val="Heading3"/>
      </w:pPr>
      <w:r>
        <w:t xml:space="preserve">Nieco istotnej historii</w:t>
      </w:r>
    </w:p>
    <w:p>
      <w:pPr>
        <w:pStyle w:val="FirstParagraph"/>
      </w:pPr>
      <w:r>
        <w:t xml:space="preserve">Dyscyplina, jaką znamy, jest zasadniczo „dzieckiem” Europy Zachodniej i jej kolonii, Wschodnie Kościoły Prawosławne na ogół nie były w nią zaangażowane. (Zawsze wiedziały, że prawdziwy Tekst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 Krótko mówiąc, Kościół rzymski zmusił reformację do zmierzenia się ze zróżnicowaniem tekstowym wśród greckich manuskryptów. Reformatorzy nie wiedzieli jednak, jak się do tego zabrać, ponieważ była to nowa dziedzina badań i po prostu nie posiadali wystarczającej części istotnych dowodów.</w:t>
      </w:r>
      <w:r>
        <w:rPr>
          <w:rStyle w:val="FootnoteReference"/>
        </w:rPr>
        <w:footnoteReference w:id="535"/>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 List do Efezjan 2,2.</w:t>
      </w:r>
      <w:r>
        <w:rPr>
          <w:rStyle w:val="FootnoteReference"/>
        </w:rPr>
        <w:footnoteReference w:id="536"/>
      </w:r>
      <w:r>
        <w:t xml:space="preserve"> </w:t>
      </w:r>
      <w:r>
        <w:t xml:space="preserve">„Synowie nieposłuszeństwa” przyłączyli się do ataku na Pismo. Tak zwana „wyższa krytyka” całkowicie zaprzeczyła boskiemu natchnieniu. Inni wykorzystali zróżnicowanie tekstowe, by argumentować, że w każdym razie oryginalne sformułowania „zaginęły”, ponieważ nie istnieje żaden obiektywny sposób ustalenia, jakie mogły być (to znaczy w tamtym czasie nie potrafili dostrzec takiego sposobu).</w:t>
      </w:r>
    </w:p>
    <w:p>
      <w:pPr>
        <w:pStyle w:val="BodyText"/>
      </w:pPr>
      <w:r>
        <w:t xml:space="preserve">Ważnym czynnikiem było bezkrytyczne założenie, że „najstarsze znaczy najlepsze”, a w miarę odkrywania wcześniejszych uncjałów nabierało ono coraz większego znaczenia. Zarówno Kodeks Watykański, jak i Kodeks Bezy były dostępne od dawna, a tylko w Ewangeliach występują między nimi tysiące rozbieżności (w Dziejach Apostolskich Beza jest niepohamowany niemal ponad wszelką wiarę). Jeśli „najstarsze znaczy najlepsze”, a najstarsze manuskrypty nieustannie i masowo nie zgadzają się między sobą, wówczas odzyskanie zaginionego tekstu staje się beznadziejne. Czy to do ciebie dotarło? Beznadziejne, całkowicie beznadziejne! Argumentowałem jednak, że „najstarsze znaczy najgorsze”, a to radykalnie zmienia obraz.</w:t>
      </w:r>
      <w:r>
        <w:rPr>
          <w:rStyle w:val="FootnoteReference"/>
        </w:rPr>
        <w:footnoteReference w:id="537"/>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 i rozum. Jak dotąd wszystko dobrze, lecz wielu nie chciało Pisma, pozostał im więc tylko 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w:t>
      </w:r>
    </w:p>
    <w:p>
      <w:pPr>
        <w:pStyle w:val="BodyText"/>
      </w:pPr>
      <w:r>
        <w:t xml:space="preserve">Wszystko to postawiło obrońców natchnionej greckiej Biblii w defensywie, przed bardzo realnym problemem ustalenia, gdzie najlepiej wyznaczyć obwód obronny.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538"/>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539"/>
      </w:r>
      <w:r>
        <w:t xml:space="preserve"> </w:t>
      </w:r>
      <w:r>
        <w:t xml:space="preserve">Jego teoria krytyki tekstu Nowego Testamentu, opublikowana w 1881 roku,</w:t>
      </w:r>
      <w:r>
        <w:rPr>
          <w:rStyle w:val="FootnoteReference"/>
        </w:rPr>
        <w:footnoteReference w:id="540"/>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541"/>
      </w:r>
    </w:p>
    <w:p>
      <w:pPr>
        <w:pStyle w:val="BodyText"/>
      </w:pPr>
      <w:r>
        <w:t xml:space="preserve">Co więcej, Hort twierdził, że wskutek jego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w:t>
      </w:r>
      <w:r>
        <w:rPr>
          <w:rStyle w:val="FootnoteReference"/>
        </w:rPr>
        <w:footnoteReference w:id="542"/>
      </w:r>
    </w:p>
    <w:bookmarkEnd w:id="543"/>
    <w:bookmarkStart w:id="553" w:name="charakter-przedsięwzięcia-naukowego"/>
    <w:p>
      <w:pPr>
        <w:pStyle w:val="Heading3"/>
      </w:pPr>
      <w:r>
        <w:t xml:space="preserve">Charakter przedsięwzięcia naukowego</w:t>
      </w:r>
    </w:p>
    <w:p>
      <w:pPr>
        <w:pStyle w:val="FirstParagraph"/>
      </w:pPr>
      <w:r>
        <w:t xml:space="preserve">Tyle mojego szkicu historii. Wrócę teraz do pytania zawartego w tytule. Na początek zauważam i obstaję przy tym, że w każdym przedsięwzięciu naukowym należy rygorystycznie rozróżniać dowody, interpretację i założenia wstępne. Przedstawianie własnych założeń wstępnych jako części dowodów jest nieuczciwe (opinia nie jest dowodem). Jeśli zatem krytyka tekstu Nowego Testamentu ma być „nauką”, założenia wstępne trzeba wykluczyć. Jeśli jednak wykluczymy założenie, że oryginalne sformułowania „zaginęły”, krytyka tekstu przestaje istnieć, a jak można mieć „naukę” o czymś, co nie istnieje? Nauka to jedno, teoria to co innego. Teoria z konieczności opiera się na założeniu wstępnym, dlatego uprawnione jest mówienie o hortowskiej teorii krytyki tekstu, ponieważ Hort uważał oryginalne sformułowania za zaginione. Moja własna teoria nie obejmuje krytyki tekstu, ponieważ uważam, że oryginalne sformułowania nie zaginęły. Bronię teorii Boskiego zachowania Tekstu Nowego Testamentu.</w:t>
      </w:r>
      <w:r>
        <w:rPr>
          <w:rStyle w:val="FootnoteReference"/>
        </w:rPr>
        <w:footnoteReference w:id="544"/>
      </w:r>
    </w:p>
    <w:p>
      <w:pPr>
        <w:pStyle w:val="BodyText"/>
      </w:pPr>
      <w:r>
        <w:t xml:space="preserve">Do tej pory dla czytelnika powinno stać się oczywiste, że kwestia „zaginionego” oryginału jest sednem, centralnym zagadnieniem każdej próby rozpoznania oryginalnych sformułowań Nowego Testamentu. Przechodzę więc teraz do tej kwestii. Dla uczciwości trzeba rozpoznać dwie definicje słowa „zaginiony”: 1) zaginiony bez możliwości odzyskania, przynajmniej środkami obiektywnymi, 2) utracony z pola widzenia, w tym sensie, że dostępne dowody nie zostały zbadane wystarczająco, aby pozwolić na empiryczny wybór między konkurującymi wariantami. Uważam, że moje</w:t>
      </w:r>
      <w:r>
        <w:t xml:space="preserve"> </w:t>
      </w:r>
      <w:r>
        <w:rPr>
          <w:iCs/>
          <w:i/>
        </w:rPr>
        <w:t xml:space="preserve">Identity IV</w:t>
      </w:r>
      <w:r>
        <w:t xml:space="preserve"> </w:t>
      </w:r>
      <w:r>
        <w:t xml:space="preserve">przedstawia więcej niż dostateczne dowody wykazujące, iż pierwsza definicja jest fałszywa. Teoria Horta i wszystkie jej pochodne, takie jak eklektyzm (dowolnego rodzaju), nie są nauką i nie można ich uczciwie nazywać nauką. Druga definicja pozwala na postępowanie naukowe. Sugeruję i zalecam, abyśmy zaczęli używać terminu „manuskryptologia” zamiast „krytyka tekstu” — manuskryptologia odnosi się do badania manuskryptów i jest neutralna względem założeń wstępnych. Każde przedsięwzięcie naukowe powinno rozpoczynać się od dowodów, jakie są zatem dowody?</w:t>
      </w:r>
    </w:p>
    <w:p>
      <w:pPr>
        <w:pStyle w:val="BodyText"/>
      </w:pPr>
      <w:r>
        <w:t xml:space="preserve">Dowodów pierwszorzędnych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są pomocnicze. Gdy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545"/>
      </w:r>
      <w:r>
        <w:t xml:space="preserve"> </w:t>
      </w:r>
      <w:r>
        <w:t xml:space="preserve">Gdy wszystkie są zgodne, nie może istnieć uprawniona wątpliwość co do oryginalnych sformułowań. Co jednak, jeśli ujawni się wczesny papirus zawierający wariant, czy zmienia to obraz? Sam fakt, że jest wczesny, sugeruje, iż jest zły, dlaczego nie został zużyty wskutek używania?</w:t>
      </w:r>
    </w:p>
    <w:p>
      <w:pPr>
        <w:pStyle w:val="BodyText"/>
      </w:pPr>
      <w:r>
        <w:t xml:space="preserve">Prawdopodobnie wszyscy słyszeliśmy albo czytaliśmy kaczkę dziennikarską: „manuskrypty należy ważyć, nie liczyć”. Podstawowe znaczenie czasownika „ważyć” odnosi się do obiektywnej procedury, dokonuje się tego przy użyciu fizycznie weryfikowalnych odważników. Czy jednak zwolennicy Horta (którzy przede wszystkim wciąż to powtarzają) „ważą” manuskrypty przy użyciu obiektywnych kryteriów? Nie, dlatego nazywam to „kaczką dziennikarską”. Mimo to poddaję pod rozwagę wszystkich zainteresowanych, że rzeczywiście możliwe jest ważenie manuskryptów przy użyciu obiektywnych kryteriów.</w:t>
      </w:r>
    </w:p>
    <w:p>
      <w:pPr>
        <w:pStyle w:val="BodyText"/>
      </w:pPr>
      <w:r>
        <w:t xml:space="preserve">Jak dokładnie należy ważyć manuskrypty? I kto mógłby mieć kwalifikacje do przeprowadzenia ważenia? Jak czytelnik jest już dobrze świadomy, Hort i większość późniejszych uczonych dokonywali swojego „ważenia” na podstawie tak zwanych „dowodów wewnętrznych” — dwa standardowe kryteria brzmią: „wybierz odczyt pasujący do kontekstu” oraz „wybierz odczyt wyjaśniający powstanie drugiego odczytu”.</w:t>
      </w:r>
    </w:p>
    <w:p>
      <w:pPr>
        <w:pStyle w:val="BodyText"/>
      </w:pPr>
      <w:r>
        <w:t xml:space="preserve">Jeden problem z takim postępowaniem dobrze wyraził E.C. Colwell: „W rzeczywistości te dwa standardowe kryteria oceny wewnętrznych dowodów odczytów mogą łatwo wzajemnie się znosić i pozostawiać uczonemu swobodę wyboru według jego własnych uprzednich sądów”.</w:t>
      </w:r>
      <w:r>
        <w:rPr>
          <w:rStyle w:val="FootnoteReference"/>
        </w:rPr>
        <w:footnoteReference w:id="546"/>
      </w:r>
      <w:r>
        <w:t xml:space="preserve"> </w:t>
      </w:r>
      <w:r>
        <w:t xml:space="preserve">Co więcej, „im większą wiedzę posiada uczony, tym łatwiej jest mu przedstawić rozsądną obronę obu odczytów…”.</w:t>
      </w:r>
      <w:r>
        <w:rPr>
          <w:rStyle w:val="FootnoteReference"/>
        </w:rPr>
        <w:footnoteReference w:id="547"/>
      </w:r>
      <w:r>
        <w:t xml:space="preserve"> </w:t>
      </w:r>
      <w:r>
        <w:t xml:space="preserve">Cały proces jest tak subiektywny, że czyni ze słowa „ważyć” kpinę. Podstawowe znaczenie tego terminu obejmuje ocenę dokonaną przez obiektywny przyrząd. Jeśli chcemy, by nasze ważenie manuskryptów miało obiektywną ważność, musimy znaleźć obiektywną procedurę.</w:t>
      </w:r>
    </w:p>
    <w:p>
      <w:pPr>
        <w:pStyle w:val="BodyText"/>
      </w:pPr>
      <w:r>
        <w:t xml:space="preserve">Jak w rzeczywistym życiu oceniamy wiarygodność świadka? Obserwujemy, jak się zachowuje, słuchamy, co mówi i jak to mówi, oraz słuchamy opinii jego sąsiadów i współpracowników. Jeśli potrafimy wykazać, że świadek jest nałogowym kłamcą albo że jego zdolności krytyczne są upośledzone, przyjmujemy jego świadectwo ze sceptycyzmem. W znacznym zakresie możliwe jest ocenianie manuskryptów w podobny sposób i trudno zrozumieć, dlaczego uczeni na ogół zaniedbywali takiego postępowania.</w:t>
      </w:r>
    </w:p>
    <w:p>
      <w:pPr>
        <w:pStyle w:val="BodyText"/>
      </w:pPr>
      <w:r>
        <w:t xml:space="preserve">Czy możemy obiektywnie „zważyć” P</w:t>
      </w:r>
      <w:r>
        <w:rPr>
          <w:vertAlign w:val="superscript"/>
        </w:rPr>
        <w:t xml:space="preserve">66</w:t>
      </w:r>
      <w:r>
        <w:t xml:space="preserve"> </w:t>
      </w:r>
      <w:r>
        <w:t xml:space="preserve">jako świadka? (Jest najstarszym spośród wszystkich o znacznej objętości). Otóż na przestrzeni Ewangelii Jana (niekompletnej) ma ponad 900 jasnych, niewątpliwych błędów — jako świadek tożsamości tekstu Ewangelii Jana wprowadził nas w błąd ponad 900 razy. Czy P</w:t>
      </w:r>
      <w:r>
        <w:rPr>
          <w:vertAlign w:val="superscript"/>
        </w:rPr>
        <w:t xml:space="preserve">66</w:t>
      </w:r>
      <w:r>
        <w:t xml:space="preserve"> </w:t>
      </w:r>
      <w:r>
        <w:t xml:space="preserve">jest wiarygodnym świadkiem? Argumentowałbym, że żaden ze skrybów P</w:t>
      </w:r>
      <w:r>
        <w:rPr>
          <w:vertAlign w:val="superscript"/>
        </w:rPr>
        <w:t xml:space="preserve">66</w:t>
      </w:r>
      <w:r>
        <w:t xml:space="preserve"> </w:t>
      </w:r>
      <w:r>
        <w:t xml:space="preserve">i P</w:t>
      </w:r>
      <w:r>
        <w:rPr>
          <w:vertAlign w:val="superscript"/>
        </w:rPr>
        <w:t xml:space="preserve">75</w:t>
      </w:r>
      <w:r>
        <w:t xml:space="preserve"> </w:t>
      </w:r>
      <w:r>
        <w:t xml:space="preserve">nie znał greki, czy nie powinniśmy powiedzieć, że jako świadkowie byli upośledzeni?</w:t>
      </w:r>
      <w:r>
        <w:rPr>
          <w:rStyle w:val="FootnoteReference"/>
        </w:rPr>
        <w:footnoteReference w:id="548"/>
      </w:r>
    </w:p>
    <w:p>
      <w:pPr>
        <w:pStyle w:val="BodyText"/>
      </w:pPr>
      <w:r>
        <w:t xml:space="preserve">P</w:t>
      </w:r>
      <w:r>
        <w:rPr>
          <w:vertAlign w:val="superscript"/>
        </w:rPr>
        <w:t xml:space="preserve">75</w:t>
      </w:r>
      <w:r>
        <w:t xml:space="preserve"> </w:t>
      </w:r>
      <w:r>
        <w:t xml:space="preserve">pod względem daty umieszcza się blisko P</w:t>
      </w:r>
      <w:r>
        <w:rPr>
          <w:vertAlign w:val="superscript"/>
        </w:rPr>
        <w:t xml:space="preserve">66</w:t>
      </w:r>
      <w:r>
        <w:t xml:space="preserve">. Chociaż nie jest tak zły jak P</w:t>
      </w:r>
      <w:r>
        <w:rPr>
          <w:vertAlign w:val="superscript"/>
        </w:rPr>
        <w:t xml:space="preserve">66</w:t>
      </w:r>
      <w:r>
        <w:t xml:space="preserve">, trudno uznać go za dobrą kopię. Colwell znalazł w P</w:t>
      </w:r>
      <w:r>
        <w:rPr>
          <w:vertAlign w:val="superscript"/>
        </w:rPr>
        <w:t xml:space="preserve">75</w:t>
      </w:r>
      <w:r>
        <w:t xml:space="preserve"> </w:t>
      </w:r>
      <w:r>
        <w:t xml:space="preserve">około 145 itacyzmów oraz 257 innych odczytów singularnych, z których 25% jest bezsensownych.</w:t>
      </w:r>
      <w:r>
        <w:rPr>
          <w:rStyle w:val="FootnoteReference"/>
        </w:rPr>
        <w:footnoteReference w:id="549"/>
      </w:r>
      <w:r>
        <w:t xml:space="preserve"> </w:t>
      </w:r>
      <w:r>
        <w:t xml:space="preserve">Chociaż Colwell przypisuje skrybie P</w:t>
      </w:r>
      <w:r>
        <w:rPr>
          <w:vertAlign w:val="superscript"/>
        </w:rPr>
        <w:t xml:space="preserve">75</w:t>
      </w:r>
      <w:r>
        <w:t xml:space="preserve"> </w:t>
      </w:r>
      <w:r>
        <w:t xml:space="preserve">zasługę podjęcia próby sporządzenia dobrej kopii, P</w:t>
      </w:r>
      <w:r>
        <w:rPr>
          <w:vertAlign w:val="superscript"/>
        </w:rPr>
        <w:t xml:space="preserve">75</w:t>
      </w:r>
      <w:r>
        <w:t xml:space="preserve"> </w:t>
      </w:r>
      <w:r>
        <w:t xml:space="preserve">wygląda dobrze tylko w porównaniu z P</w:t>
      </w:r>
      <w:r>
        <w:rPr>
          <w:vertAlign w:val="superscript"/>
        </w:rPr>
        <w:t xml:space="preserve">66</w:t>
      </w:r>
      <w:r>
        <w:t xml:space="preserve">. (Gdyby poproszono cię o ręczne przepisanie Ewangelii Jana, czy popełniłbyś ponad 400 błędów? Spróbuj i zobacz!). Należy pamiętać, że liczby podane przez Colwella dotyczą wyłącznie błędów będących wyłączną własnością poszczególnych manuskryptów. Bez wątpienia zawierają one wiele innych błędów, które przypadkiem znajdują się również w jakimś innym świadku lub świadkach. Innymi słowy, są w rzeczywistości jeszcze gorsze, niż wskazują liczby Colwella.</w:t>
      </w:r>
    </w:p>
    <w:p>
      <w:pPr>
        <w:pStyle w:val="BodyText"/>
      </w:pPr>
      <w:r>
        <w:t xml:space="preserve">Następnie rozważymy P</w:t>
      </w:r>
      <w:r>
        <w:rPr>
          <w:vertAlign w:val="superscript"/>
        </w:rPr>
        <w:t xml:space="preserve">45</w:t>
      </w:r>
      <w:r>
        <w:t xml:space="preserve">, choć jest datowany nieco później, ponieważ stanowi trzeciego członka badania Colwella. Znalazł w P</w:t>
      </w:r>
      <w:r>
        <w:rPr>
          <w:vertAlign w:val="superscript"/>
        </w:rPr>
        <w:t xml:space="preserve">45</w:t>
      </w:r>
      <w:r>
        <w:t xml:space="preserve"> </w:t>
      </w:r>
      <w:r>
        <w:t xml:space="preserve">około 90 itacyzmów oraz 275 innych odczytów singularnych, z których 10% jest bezsensownych (</w:t>
      </w:r>
      <w:r>
        <w:rPr>
          <w:iCs/>
          <w:i/>
        </w:rPr>
        <w:t xml:space="preserve">tamże</w:t>
      </w:r>
      <w:r>
        <w:t xml:space="preserve">). P</w:t>
      </w:r>
      <w:r>
        <w:rPr>
          <w:vertAlign w:val="superscript"/>
        </w:rPr>
        <w:t xml:space="preserve">45</w:t>
      </w:r>
      <w:r>
        <w:t xml:space="preserve"> </w:t>
      </w:r>
      <w:r>
        <w:t xml:space="preserve">jest jednak krótszy od P</w:t>
      </w:r>
      <w:r>
        <w:rPr>
          <w:vertAlign w:val="superscript"/>
        </w:rPr>
        <w:t xml:space="preserve">66</w:t>
      </w:r>
      <w:r>
        <w:t xml:space="preserve"> </w:t>
      </w:r>
      <w:r>
        <w:t xml:space="preserve">(P</w:t>
      </w:r>
      <w:r>
        <w:rPr>
          <w:vertAlign w:val="superscript"/>
        </w:rPr>
        <w:t xml:space="preserve">75</w:t>
      </w:r>
      <w:r>
        <w:t xml:space="preserve"> </w:t>
      </w:r>
      <w:r>
        <w:t xml:space="preserve">jest dłuższy), dlatego w ujęciu porównawczym nie jest o tyle lepszy, o ile liczby mogłyby sugerować na pierwszy rzut oka. Colwell komentuje P</w:t>
      </w:r>
      <w:r>
        <w:rPr>
          <w:vertAlign w:val="superscript"/>
        </w:rPr>
        <w:t xml:space="preserve">45</w:t>
      </w:r>
      <w:r>
        <w:t xml:space="preserve"> </w:t>
      </w:r>
      <w:r>
        <w:t xml:space="preserve">następująco:</w:t>
      </w:r>
    </w:p>
    <w:p>
      <w:pPr>
        <w:pStyle w:val="BlockText"/>
      </w:pPr>
      <w:r>
        <w:t xml:space="preserve">Innym sposobem powiedzenia tego jest to, że gdy skryba P</w:t>
      </w:r>
      <w:r>
        <w:rPr>
          <w:vertAlign w:val="superscript"/>
        </w:rPr>
        <w:t xml:space="preserve">45</w:t>
      </w:r>
      <w:r>
        <w:t xml:space="preserve"> </w:t>
      </w:r>
      <w:r>
        <w:t xml:space="preserve">tworzy odczyt singularny, niemal zawsze ma on sens, gdy skrybowie P</w:t>
      </w:r>
      <w:r>
        <w:rPr>
          <w:vertAlign w:val="superscript"/>
        </w:rPr>
        <w:t xml:space="preserve">66</w:t>
      </w:r>
      <w:r>
        <w:t xml:space="preserve"> </w:t>
      </w:r>
      <w:r>
        <w:t xml:space="preserve">i P</w:t>
      </w:r>
      <w:r>
        <w:rPr>
          <w:vertAlign w:val="superscript"/>
        </w:rPr>
        <w:t xml:space="preserve">75</w:t>
      </w:r>
      <w:r>
        <w:t xml:space="preserve"> </w:t>
      </w:r>
      <w:r>
        <w:t xml:space="preserve">tworzą odczyty singularne, często nie mają one sensu i są oczywistymi błędami. P</w:t>
      </w:r>
      <w:r>
        <w:rPr>
          <w:vertAlign w:val="superscript"/>
        </w:rPr>
        <w:t xml:space="preserve">45</w:t>
      </w:r>
      <w:r>
        <w:t xml:space="preserve"> </w:t>
      </w:r>
      <w:r>
        <w:t xml:space="preserve">trzeba zatem przypisać znacznie większe zagęszczenie celowych zmian niż pozostałym dwóm (</w:t>
      </w:r>
      <w:r>
        <w:rPr>
          <w:iCs/>
          <w:i/>
        </w:rPr>
        <w:t xml:space="preserve">tamże</w:t>
      </w:r>
      <w:r>
        <w:t xml:space="preserve">, s. 376).</w:t>
      </w:r>
    </w:p>
    <w:p>
      <w:pPr>
        <w:pStyle w:val="BlockText"/>
      </w:pPr>
      <w:r>
        <w:t xml:space="preserve">Jako redaktor skryba P</w:t>
      </w:r>
      <w:r>
        <w:rPr>
          <w:vertAlign w:val="superscript"/>
        </w:rPr>
        <w:t xml:space="preserve">45</w:t>
      </w:r>
      <w:r>
        <w:t xml:space="preserve"> </w:t>
      </w:r>
      <w:r>
        <w:t xml:space="preserve">posługiwał się ostrą siekierą. Najbardziej uderzającym aspektem jego stylu jest zwięzłość. Zbędne słowo zostaje usunięte. Pomija przysłówki, przymiotniki, rzeczowniki, imiesłowy, czasowniki, zaimki osobowe — bez jakiegokolwiek równoważącego zwyczaju dodawania. Często pomija wyrażenia i zdania. Preferuje słowo proste zamiast złożonego. Krótko mówiąc, sprzyja zwięzłości. Skraca tekst w co najmniej pięćdziesięciu miejscach w samych odczytach singularnych. Nie usuwa jednak sylab ani liter. Jego skrócony tekst jest czytelny (</w:t>
      </w:r>
      <w:r>
        <w:rPr>
          <w:iCs/>
          <w:i/>
        </w:rPr>
        <w:t xml:space="preserve">tamże</w:t>
      </w:r>
      <w:r>
        <w:t xml:space="preserve">, s. 383).</w:t>
      </w:r>
    </w:p>
    <w:p>
      <w:pPr>
        <w:pStyle w:val="FirstParagraph"/>
      </w:pPr>
      <w:r>
        <w:t xml:space="preserve">Niektórzy uważają P</w:t>
      </w:r>
      <w:r>
        <w:rPr>
          <w:vertAlign w:val="superscript"/>
        </w:rPr>
        <w:t xml:space="preserve">46</w:t>
      </w:r>
      <w:r>
        <w:t xml:space="preserve"> </w:t>
      </w:r>
      <w:r>
        <w:t xml:space="preserve">za równie wczesny jak P</w:t>
      </w:r>
      <w:r>
        <w:rPr>
          <w:vertAlign w:val="superscript"/>
        </w:rPr>
        <w:t xml:space="preserve">66</w:t>
      </w:r>
      <w:r>
        <w:t xml:space="preserve">. Badanie tego manuskryptu dokonane przez Zuntza jest dobrze znane. „Pomimo schludnego wyglądu (został napisany przez zawodowego skrybę i poprawiony — lecz bardzo niedoskonale — przez eksperta) P</w:t>
      </w:r>
      <w:r>
        <w:rPr>
          <w:vertAlign w:val="superscript"/>
        </w:rPr>
        <w:t xml:space="preserve">46</w:t>
      </w:r>
      <w:r>
        <w:t xml:space="preserve"> </w:t>
      </w:r>
      <w:r>
        <w:t xml:space="preserve">w żadnym razie nie jest dobrym manuskryptem. Skryba popełnił bardzo wiele gaf… Odnoszę wrażenie, że miewał napady wyczerpania”.</w:t>
      </w:r>
      <w:r>
        <w:rPr>
          <w:rStyle w:val="FootnoteReference"/>
        </w:rPr>
        <w:footnoteReference w:id="550"/>
      </w:r>
    </w:p>
    <w:p>
      <w:pPr>
        <w:pStyle w:val="BodyText"/>
      </w:pPr>
      <w:r>
        <w:t xml:space="preserve">Należy mimochodem zauważyć, że Kodeks B także jest znany ze „schludnego wyglądu”, nie należy jednak zakładać, że dlatego musi być dobrą kopią. Nawet Hort przyznał, że skryba B „w żadnym razie nie osiągnął wysokiego poziomu dokładności” (Westcott i Hort, s. 233). Ze wszystkich stron przyznaje się, że Alef jest pod każdym względem gorszy od B. Zuntz mówi dalej: „P</w:t>
      </w:r>
      <w:r>
        <w:rPr>
          <w:vertAlign w:val="superscript"/>
        </w:rPr>
        <w:t xml:space="preserve">46</w:t>
      </w:r>
      <w:r>
        <w:t xml:space="preserve"> </w:t>
      </w:r>
      <w:r>
        <w:t xml:space="preserve">obfituje w gafy skryby, pominięcia, a także dodatki” (</w:t>
      </w:r>
      <w:r>
        <w:rPr>
          <w:iCs/>
          <w:i/>
        </w:rPr>
        <w:t xml:space="preserve">Op. cit.</w:t>
      </w:r>
      <w:r>
        <w:t xml:space="preserve">, s. 212).</w:t>
      </w:r>
    </w:p>
    <w:p>
      <w:pPr>
        <w:pStyle w:val="BlockText"/>
      </w:pPr>
      <w:r>
        <w:t xml:space="preserve">…skryba, który napisał papirus, wykonał swoją pracę bardzo źle. Spośród jego niezliczonych uchybień poprawiono tylko część (mniej niż jedno na dziesięć), a nawet ta część — jak często zdarza się w manuskryptach — staje się coraz mniejsza ku końcowi księgi. Całe strony pozostawiono bez jakiejkolwiek poprawki, choć bardzo jej potrzebowały (</w:t>
      </w:r>
      <w:r>
        <w:rPr>
          <w:iCs/>
          <w:i/>
        </w:rPr>
        <w:t xml:space="preserve">tamże</w:t>
      </w:r>
      <w:r>
        <w:t xml:space="preserve">, s. 252).</w:t>
      </w:r>
    </w:p>
    <w:p>
      <w:pPr>
        <w:pStyle w:val="FirstParagraph"/>
      </w:pPr>
      <w:r>
        <w:t xml:space="preserve">Przypomnijmy z badania Colwella, że skryba P</w:t>
      </w:r>
      <w:r>
        <w:rPr>
          <w:vertAlign w:val="superscript"/>
        </w:rPr>
        <w:t xml:space="preserve">45</w:t>
      </w:r>
      <w:r>
        <w:t xml:space="preserve"> </w:t>
      </w:r>
      <w:r>
        <w:t xml:space="preserve">najwyraźniej dokonał w tekście licznych</w:t>
      </w:r>
      <w:r>
        <w:t xml:space="preserve"> </w:t>
      </w:r>
      <w:r>
        <w:rPr>
          <w:bCs/>
          <w:b/>
        </w:rPr>
        <w:t xml:space="preserve">celowych</w:t>
      </w:r>
      <w:r>
        <w:t xml:space="preserve"> </w:t>
      </w:r>
      <w:r>
        <w:t xml:space="preserve">zmian — czy nie powinniśmy powiedzieć, że był upośledzony moralnie? W każdym razie wielokrotnie udzielał nam fałszywych informacji. Czy nadal mamy mu ufać? Podobnie wykazano, że między Alefem i B występuje ponad 3000 błędów tylko w Ewangeliach. Alef jest wyraźnie gorszy od B, lecz prawdopodobnie nie dwa razy gorszy — co najmniej 1000 spośród tych błędów należy do B. Czy Alef i B odpowiadają twojemu wyobrażeniu dobrego świadka?</w:t>
      </w:r>
      <w:r>
        <w:rPr>
          <w:rStyle w:val="FootnoteReference"/>
        </w:rPr>
        <w:footnoteReference w:id="551"/>
      </w:r>
      <w:r>
        <w:t xml:space="preserve"> </w:t>
      </w:r>
      <w:r>
        <w:t xml:space="preserve">Ponownie mówię: najstarsze znaczy najgorsze!</w:t>
      </w:r>
    </w:p>
    <w:p>
      <w:pPr>
        <w:pStyle w:val="BodyText"/>
      </w:pPr>
      <w:r>
        <w:t xml:space="preserve">Naprawdę musimy zrozumieć, że wiek nie gwarantuje niczego w kwestii jakości. Każdego świadka trzeba oceniać osobno, zupełnie niezależnie od wieku. Co więcej, i być może bardziej istotne, musimy wiedzieć, jak dany manuskrypt odnosi się do innych. Gdy manuskrypt zostanie empirycznie rozpoznany jako należący do rodziny (linii przekazu), nie jest już niezależnym świadkiem oryginału — jest świadkiem archetypu rodziny. Jak trafnie ujął to Colwell: „Kluczowe pytanie zarówno w odniesieniu do wczesnych, jak i późnych świadków nadal brzmi: «GDZIE PASUJĄ DO WIARYGODNEGO ODTWORZENIA HISTORII TRADYCJI MANUSKRYPTÓW?»”.</w:t>
      </w:r>
      <w:r>
        <w:rPr>
          <w:rStyle w:val="FootnoteReference"/>
        </w:rPr>
        <w:footnoteReference w:id="552"/>
      </w:r>
    </w:p>
    <w:p>
      <w:pPr>
        <w:pStyle w:val="BodyText"/>
      </w:pPr>
      <w:r>
        <w:t xml:space="preserve">Niestety teoria Horta, sprzymierzona z fikcją, że „najstarsze znaczy najlepsze”, wywarła na dyscyplinę działanie usypiające, wskutek czego stosunkowo niewiele manuskryptów skolacjonowano w pełni, a w konsekwencji niewiele rodzin zdefiniowano empirycznie. Ogólne wyobrażenie oparte na wyrywkowym sprawdzaniu jest niewystarczające, występuje zbyt wiele mieszania.</w:t>
      </w:r>
    </w:p>
    <w:bookmarkEnd w:id="553"/>
    <w:bookmarkStart w:id="558" w:name="przekazywanie-tekstu"/>
    <w:p>
      <w:pPr>
        <w:pStyle w:val="Heading3"/>
      </w:pPr>
      <w:r>
        <w:t xml:space="preserve">Przekazywanie Tekstu</w:t>
      </w:r>
    </w:p>
    <w:p>
      <w:pPr>
        <w:pStyle w:val="FirstParagraph"/>
      </w:pPr>
      <w:r>
        <w:t xml:space="preserve">Wracając do 1700 zachowanych manuskryptów dla dowolnego miejsca w Ewangeliach, powinno być oczywiste, że wariant w jednym manuskrypcie, niezależnie od jego wieku, jest nieistotny — w tym miejscu jest on fałszywym świadkiem archetypu swojej rodziny, niczym więcej. Jeśli kilka manuskryptów dzieli wariant, lecz nie należy do tej samej rodziny, popełniły błąd niezależnie i są fałszywymi świadkami archetypów swoich rodzin —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Wisse postulował 34 grupy w masie bizantyjskiej, z 70 podgrupami). Jest jasne, że nie było „upychania urny wyborczej”, nie było „papieskiego” dekretu, nie było recenzji narzuconej przez władzę kościelną. Krótko mówiąc, przekaz był przeważająco normalny.</w:t>
      </w:r>
    </w:p>
    <w:p>
      <w:pPr>
        <w:pStyle w:val="BlockText"/>
      </w:pPr>
      <w:r>
        <w:t xml:space="preserve">W normalnych okolicznościach im dany tekst jest starszy od swoich rywali, tym większe są jego szanse na przetrwanie w wielości albo większości tekstów zachowanych w dowolnym późniejszym okresie. Jednak</w:t>
      </w:r>
      <w:r>
        <w:t xml:space="preserve"> </w:t>
      </w:r>
      <w:r>
        <w:rPr>
          <w:bCs/>
          <w:b/>
        </w:rPr>
        <w:t xml:space="preserve">najstarszym</w:t>
      </w:r>
      <w:r>
        <w:t xml:space="preserve"> </w:t>
      </w:r>
      <w:r>
        <w:t xml:space="preserve">tekstem ze wszystkich jest Autograf. Należy więc przyjąć jako rzecz oczywistą, że jeśli nie doszło do jakiegoś radykalnego zaburzenia w historii przekazu, większość tekstów będzie znacznie częściej poprawnie reprezentować charakter oryginału niż niewielka mniejszość tekstów. Jest to szczególnie prawdziwe, gdy stosunek wynosi przytłaczające 8:2. W jakichkolwiek rozsądnie normalnych warunkach przekazu byłoby… zupełnie niemożliwe, aby późniejsza forma tekstu zapewniła sobie tak jednostronną przewagę zachowanych świadków.</w:t>
      </w:r>
      <w:r>
        <w:rPr>
          <w:rStyle w:val="FootnoteReference"/>
        </w:rPr>
        <w:footnoteReference w:id="554"/>
      </w:r>
    </w:p>
    <w:p>
      <w:pPr>
        <w:pStyle w:val="FirstParagraph"/>
      </w:pPr>
      <w:r>
        <w:t xml:space="preserve">Obstaję przy tym, że przekaz Tekstu Nowego Testamentu rzeczywiście był przeważająco normalny, na podstawie dowodów historycznych. Część I powyżej wymienia i omawia te dowody, lecz oto szkic w miniaturze:</w:t>
      </w:r>
    </w:p>
    <w:p>
      <w:pPr>
        <w:numPr>
          <w:ilvl w:val="0"/>
          <w:numId w:val="1115"/>
        </w:numPr>
      </w:pPr>
      <w:r>
        <w:t xml:space="preserve">Autorzy ksiąg Nowego Testamentu wierzyli, że piszą Pismo.</w:t>
      </w:r>
    </w:p>
    <w:p>
      <w:pPr>
        <w:numPr>
          <w:ilvl w:val="0"/>
          <w:numId w:val="1115"/>
        </w:numPr>
      </w:pPr>
      <w:r>
        <w:t xml:space="preserve">Apostołowie uznawali, że ich współpracownicy piszą Pismo.</w:t>
      </w:r>
    </w:p>
    <w:p>
      <w:pPr>
        <w:numPr>
          <w:ilvl w:val="0"/>
          <w:numId w:val="1115"/>
        </w:numPr>
      </w:pPr>
      <w:r>
        <w:t xml:space="preserve">„Ojcowie Kościoła” z I i II wieku traktowali pisma Nowego Testamentu jako Pismo.</w:t>
      </w:r>
    </w:p>
    <w:p>
      <w:pPr>
        <w:numPr>
          <w:ilvl w:val="0"/>
          <w:numId w:val="1115"/>
        </w:numPr>
      </w:pPr>
      <w:r>
        <w:t xml:space="preserve">Pisma Nowego Testamentu od bardzo wczesnego okresu były używane przez zgromadzenia chrześcijańskie razem ze Starym Testamentem.</w:t>
      </w:r>
    </w:p>
    <w:p>
      <w:pPr>
        <w:numPr>
          <w:ilvl w:val="0"/>
          <w:numId w:val="1115"/>
        </w:numPr>
      </w:pPr>
      <w:r>
        <w:t xml:space="preserve">Pierwsi chrześcijanie troszczyli się o czystość Tekstu Nowego Testamentu.</w:t>
      </w:r>
    </w:p>
    <w:p>
      <w:pPr>
        <w:numPr>
          <w:ilvl w:val="0"/>
          <w:numId w:val="1115"/>
        </w:numPr>
      </w:pPr>
      <w:r>
        <w:t xml:space="preserve">Które regiony miały Autografy na początku? Obszar Morza Egejskiego (18–24), Rzym (2–7), Palestyna (0–3), Egipt (0).</w:t>
      </w:r>
    </w:p>
    <w:p>
      <w:pPr>
        <w:numPr>
          <w:ilvl w:val="0"/>
          <w:numId w:val="1115"/>
        </w:numPr>
      </w:pPr>
      <w:r>
        <w:t xml:space="preserve">Gdzie Kościół był najsilniejszy w II i III wieku? Azja Mniejsza i obszar Morza Egejskiego.</w:t>
      </w:r>
    </w:p>
    <w:p>
      <w:pPr>
        <w:numPr>
          <w:ilvl w:val="0"/>
          <w:numId w:val="1115"/>
        </w:numPr>
      </w:pPr>
      <w:r>
        <w:t xml:space="preserve">Gdzie najwięcej i najdłużej używano greki? Obszar Morza Egejskiego i Azja Mniejsza.</w:t>
      </w:r>
    </w:p>
    <w:p>
      <w:pPr>
        <w:numPr>
          <w:ilvl w:val="0"/>
          <w:numId w:val="1115"/>
        </w:numPr>
      </w:pPr>
      <w:r>
        <w:t xml:space="preserve">Jakie są konsekwencje kampanii Dioklecjana i ruchu donatystycznego?</w:t>
      </w:r>
    </w:p>
    <w:p>
      <w:pPr>
        <w:pStyle w:val="FirstParagraph"/>
      </w:pPr>
      <w:r>
        <w:t xml:space="preserve">Twierdzę, że dowody jasno wskazują, iż przekaz rzeczywiście był przeważająco normalny.</w:t>
      </w:r>
    </w:p>
    <w:p>
      <w:pPr>
        <w:pStyle w:val="BodyText"/>
      </w:pPr>
      <w:r>
        <w:t xml:space="preserve">Jakiego zatem obrazu możemy się spodziewać w zachowanych świadkach, jeśli rozumiemy, że historia przekazu Tekstu Nowego Testamentu była przeważająco normalna? Możemy spodziewać się szerokiego spektrum kopii, wykazujących drobne różnice wynikające z błędów kopiowania, lecz wszystkie odzwierciedlające jedną wspólną tradycję. Jednoczesne istnienie nienormalnego przekazu w najwcześniejszych stuleciach skutkowałoby rozproszeniem tu i ówdzie kopii poza tym głównym nurtem. Obraz wyglądałby mniej więcej jak na poniższym rysunku.</w:t>
      </w:r>
      <w:r>
        <w:rPr>
          <w:rStyle w:val="FootnoteReference"/>
        </w:rPr>
        <w:footnoteReference w:id="555"/>
      </w:r>
    </w:p>
    <w:p>
      <w:pPr>
        <w:pStyle w:val="CaptionedFigure"/>
      </w:pPr>
      <w:r>
        <w:drawing>
          <wp:inline>
            <wp:extent cx="5334000" cy="3390972"/>
            <wp:effectExtent b="0" l="0" r="0" t="0"/>
            <wp:docPr descr="Rysunek A" title="" id="556" name="Picture"/>
            <a:graphic>
              <a:graphicData uri="http://schemas.openxmlformats.org/drawingml/2006/picture">
                <pic:pic>
                  <pic:nvPicPr>
                    <pic:cNvPr descr="images/Rysunek_A.jpg" id="55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p>
    <w:p>
      <w:pPr>
        <w:pStyle w:val="ImageCaption"/>
      </w:pPr>
      <w:r>
        <w:t xml:space="preserve">Rysunek A</w:t>
      </w:r>
    </w:p>
    <w:p>
      <w:pPr>
        <w:pStyle w:val="BodyText"/>
      </w:pPr>
      <w:r>
        <w:t xml:space="preserve">Manuskrypty w obrębie stożków reprezentują „normalny” przekaz. Po lewej umieściłem kilku możliwych przedstawicieli tego, co moglibyśmy nazwać „nieodpowiedzialnym” przekazem tekstu — kopiści sporządzali kiepskie kopie z powodu niekompetencji albo niestaranności, lecz nie dokonywali celowych zmian. Po prawej umieściłem kilku możliwych przedstawicieli tego, co moglibyśmy nazwać „sfabrykowanym” przekazem tekstu — skrybowie dokonywali celowych zmian w tekście (z dowolnych powodów), wytwarzając sfabrykowane kopie, a nie prawdziwe kopie. Dobrze wiem, że manuskrypty umieszczone na powyższym rysunku zawierają zarówno błędy wynikające z niestaranności, jak i celowe, w różnych proporcjach (7Q5, 4, 8 oraz P</w:t>
      </w:r>
      <w:r>
        <w:rPr>
          <w:vertAlign w:val="superscript"/>
        </w:rPr>
        <w:t xml:space="preserve">52,64,67</w:t>
      </w:r>
      <w:r>
        <w:t xml:space="preserve"> </w:t>
      </w:r>
      <w:r>
        <w:t xml:space="preserve">są zbyt fragmentaryczne, aby pozwolić na zaklasyfikowanie ich błędów jako celowych, a nie wynikających z niestaranności), dlatego każda klasyfikacja, jakiej tutaj próbuję, musi być względna i daje zniekształcony obraz. Mimo to ośmielam się obstawać przy tym, że niewiedza, niestaranność, wścibstwo i złośliwość pozostawiły ślad na przekazie tekstu Nowego Testamentu, a w każdej próbie odtworzenia historii tego przekazu musimy wziąć je pod uwagę.</w:t>
      </w:r>
    </w:p>
    <w:p>
      <w:pPr>
        <w:pStyle w:val="BodyText"/>
      </w:pPr>
      <w:r>
        <w:t xml:space="preserve">Jak sugeruje rysunek, argumentuję, że kampania Dioklecjana wywarła oczyszczający wpływ na strumień przekazu. Aby znosić tortury zamiast oddać swój manuskrypt lub manuskrypty, trzeba było być prawdziwie zaangażowanym wierzącym, osobą, która pragnęłaby dobrych kopii Pism. Prawdopodobnie więc w większości zniszczono bardziej skażone manuskrypty, pozostawiając czystsze manuskrypty, by ponownie napełniły ziemię (proszę zobaczyć część „Imperial repression of the N.T.” w rozdziale 6 mojego</w:t>
      </w:r>
      <w:r>
        <w:t xml:space="preserve"> </w:t>
      </w:r>
      <w:r>
        <w:rPr>
          <w:iCs/>
          <w:i/>
        </w:rPr>
        <w:t xml:space="preserve">Identity IV</w:t>
      </w:r>
      <w:r>
        <w:t xml:space="preserve">). Strzałka wewnątrz stożków reprezentuje Rodzinę 35 (zob. Część II).</w:t>
      </w:r>
    </w:p>
    <w:p>
      <w:pPr>
        <w:pStyle w:val="BodyText"/>
      </w:pPr>
      <w:r>
        <w:t xml:space="preserve">Nasuwa się jeszcze jedno rozważanie — jeśli, jak podają, kampania Dioklecjana była najbardziej zaciekła i skuteczna na obszarze bizantyjskim, przewaga liczebna „bizantyjskiego” typu tekstu nad „zachodnim” i „aleksandryjskim” zostałaby zmniejszona, dając tym ostatnim szansę wysunąć się naprzód. Tak się jednak nie stało. Kościół w większości odmówił rozpowszechniania tych form tekstu greckiego. Kodeksy B, ℵ, D i tak dalej nie mają „dzieci”. Skoro na podstawie dowodów z manuskryptów nie można przedstawić formy archetypalnej ani dla tak zwanego „zachodniego”, ani „aleksandryjskiego” typu tekstu, czy w ogóle istnieją?</w:t>
      </w:r>
    </w:p>
    <w:bookmarkEnd w:id="558"/>
    <w:bookmarkStart w:id="566" w:name="sedno-zaginionego-oryginału-1"/>
    <w:p>
      <w:pPr>
        <w:pStyle w:val="Heading3"/>
      </w:pPr>
      <w:r>
        <w:t xml:space="preserve">„Sedno” „zaginionego” Oryginału</w:t>
      </w:r>
    </w:p>
    <w:p>
      <w:pPr>
        <w:pStyle w:val="FirstParagraph"/>
      </w:pPr>
      <w:r>
        <w:t xml:space="preserve">Wracając do „sedna”, czy oryginalne sformułowania zaginęły? Odpowiadam stanowczo: „</w:t>
      </w:r>
      <w:r>
        <w:rPr>
          <w:bCs/>
          <w:b/>
        </w:rPr>
        <w:t xml:space="preserve">Nie</w:t>
      </w:r>
      <w:r>
        <w:t xml:space="preserve">”. Z pewnością istnieją w masie bizantyjskiej, lecz co robimy, jeśli w obrębie tej masy występuje pomieszanie? (Obstawanie przy tym, że musi to być jeden z istniejących wariantów, jest, jak przypuszczam, lepsze niż nic, lecz przynajmniej ja chcę rozpoznać oryginalne sformułowania). W moim rozumieniu za każdym razem, gdy zgadza się co najmniej 90% świadków pierwszorzędnych, nie może istnieć rozsądna wątpliwość,</w:t>
      </w:r>
      <w:r>
        <w:t xml:space="preserve"> </w:t>
      </w:r>
      <w:r>
        <w:rPr>
          <w:u w:val="single"/>
        </w:rPr>
        <w:t xml:space="preserve">statystycznie niemożliwe jest, by nieoryginalny odczyt osiągnął tak wysoki wynik</w:t>
      </w:r>
      <w:r>
        <w:t xml:space="preserve">.</w:t>
      </w:r>
      <w:r>
        <w:rPr>
          <w:rStyle w:val="FootnoteReference"/>
        </w:rPr>
        <w:footnoteReference w:id="559"/>
      </w:r>
      <w:r>
        <w:t xml:space="preserve"> </w:t>
      </w:r>
      <w:r>
        <w:t xml:space="preserve">Za każdym razem, gdy odczyt zdobywa poświadczenie wynoszące co najmniej 80%, jego prawdopodobieństwo jest bardzo wysokie. Jednak w przypadku być może 2% słów Nowego Testamentu poświadczenie spada poniżej 80% (nieproporcjonalnie wiele z nich znajduje się w Objawieniu Jana), w tym miejscu musimy więc przenieść uwagę z manuskryptów na rodziny.</w:t>
      </w:r>
      <w:r>
        <w:rPr>
          <w:rStyle w:val="FootnoteReference"/>
        </w:rPr>
        <w:footnoteReference w:id="560"/>
      </w:r>
      <w:r>
        <w:t xml:space="preserve"> </w:t>
      </w:r>
      <w:r>
        <w:t xml:space="preserve">Wspomniałem już o przypisaniu każdej rodzinie współczynnika wiarygodności opartego na obiektywnych kryteriach i trzeba tego dokonać. Niestety w tej dziedzinie czeka do odrobienia mnóstwo „pracy domowej” (o ile mi wiadomo, tylko Rodzina 35 ma empirycznie zdefiniowany profil),</w:t>
      </w:r>
      <w:r>
        <w:rPr>
          <w:rStyle w:val="FootnoteReference"/>
        </w:rPr>
        <w:footnoteReference w:id="561"/>
      </w:r>
      <w:r>
        <w:t xml:space="preserve"> </w:t>
      </w:r>
      <w:r>
        <w:t xml:space="preserve">wykonano jednak dostatecznie wiele pracy, aby pozwolić na pewne przybliżone wyobrażenia.</w:t>
      </w:r>
    </w:p>
    <w:p>
      <w:pPr>
        <w:pStyle w:val="BodyText"/>
      </w:pPr>
      <w:r>
        <w:t xml:space="preserve">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spojrzenie na ich kolacjonowania wskazuje, że prawdopodobnie nigdzie nie istnieje</w:t>
      </w:r>
      <w:r>
        <w:t xml:space="preserve"> </w:t>
      </w:r>
      <w:r>
        <w:rPr>
          <w:bCs/>
          <w:b/>
        </w:rPr>
        <w:t xml:space="preserve">K</w:t>
      </w:r>
      <w:r>
        <w:rPr>
          <w:vertAlign w:val="superscript"/>
          <w:bCs/>
          <w:b/>
        </w:rPr>
        <w:t xml:space="preserve">x</w:t>
      </w:r>
      <w:r>
        <w:t xml:space="preserve"> </w:t>
      </w:r>
      <w:r>
        <w:t xml:space="preserve">(i przypomnijmy sobie Wissego). Weźmy na przykład tomy</w:t>
      </w:r>
      <w:r>
        <w:t xml:space="preserve"> </w:t>
      </w:r>
      <w:r>
        <w:rPr>
          <w:iCs/>
          <w:i/>
        </w:rPr>
        <w:t xml:space="preserve">TuT</w:t>
      </w:r>
      <w:r>
        <w:t xml:space="preserve"> </w:t>
      </w:r>
      <w:r>
        <w:t xml:space="preserve">dotyczące rozdziałów 1–10 Ewangelii Jana. Zbadano łącznie 1763 manuskrypty (dla 153 zestawów wariantów), a wyniki umieszczono w dwóch tomach. Strony 54–90 (tom 1) zawierają „Grupowania według stopni zgodności”, „częściej zgadzające się ze sobą niż z tekstem większościowym”. Użyto tylko jednego symbolu grupy,</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późniejsi przedstawiciele mają tylko</w:t>
      </w:r>
      <w:r>
        <w:t xml:space="preserve"> </w:t>
      </w:r>
      <w:r>
        <w:rPr>
          <w:bCs/>
          <w:b/>
        </w:rPr>
        <w:t xml:space="preserve">K</w:t>
      </w:r>
      <w:r>
        <w:rPr>
          <w:vertAlign w:val="superscript"/>
          <w:bCs/>
          <w:b/>
        </w:rPr>
        <w:t xml:space="preserve">r</w:t>
      </w:r>
      <w:r>
        <w:t xml:space="preserve"> </w:t>
      </w:r>
      <w:r>
        <w:t xml:space="preserve">(którą nazywam</w:t>
      </w:r>
      <w:r>
        <w:t xml:space="preserve"> </w:t>
      </w:r>
      <w:r>
        <w:rPr>
          <w:bCs/>
          <w:b/>
        </w:rPr>
        <w:t xml:space="preserve">f</w:t>
      </w:r>
      <w:r>
        <w:rPr>
          <w:vertAlign w:val="superscript"/>
          <w:bCs/>
          <w:b/>
        </w:rPr>
        <w:t xml:space="preserve">35</w:t>
      </w:r>
      <w:r>
        <w:t xml:space="preserve">). Po</w:t>
      </w:r>
      <w:r>
        <w:t xml:space="preserve"> </w:t>
      </w:r>
      <w:r>
        <w:rPr>
          <w:bCs/>
          <w:b/>
        </w:rPr>
        <w:t xml:space="preserve">K</w:t>
      </w:r>
      <w:r>
        <w:rPr>
          <w:vertAlign w:val="superscript"/>
          <w:bCs/>
          <w:b/>
        </w:rPr>
        <w:t xml:space="preserve">r</w:t>
      </w:r>
      <w:r>
        <w:t xml:space="preserve"> </w:t>
      </w:r>
      <w:r>
        <w:t xml:space="preserve">następują 22 grupy zawierające od 52 do 25 manuskryptów, z których wszystkie oprócz czterech są w rzeczywistości</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to samo dotyczy pewnej liczby mniejszych grup, dlatego ich</w:t>
      </w:r>
      <w:r>
        <w:t xml:space="preserve"> </w:t>
      </w:r>
      <w:r>
        <w:rPr>
          <w:bCs/>
          <w:b/>
        </w:rPr>
        <w:t xml:space="preserve">K</w:t>
      </w:r>
      <w:r>
        <w:rPr>
          <w:vertAlign w:val="superscript"/>
          <w:bCs/>
          <w:b/>
        </w:rPr>
        <w:t xml:space="preserve">r</w:t>
      </w:r>
      <w:r>
        <w:t xml:space="preserve"> </w:t>
      </w:r>
      <w:r>
        <w:t xml:space="preserve">powinna prawdopodobnie liczyć ponad 200 (powiedziałbym, że Rodzina 35 w Ewangeliach ma ponad 250 przedstawicieli, lecz ich ranking opiera się tutaj tylko na 153 zestawach wariantów w połowie Ewangelii Jana).</w:t>
      </w:r>
    </w:p>
    <w:p>
      <w:pPr>
        <w:pStyle w:val="BodyText"/>
      </w:pPr>
      <w:r>
        <w:t xml:space="preserve">Rozważmy największą grupę poza</w:t>
      </w:r>
      <w:r>
        <w:t xml:space="preserve"> </w:t>
      </w:r>
      <w:r>
        <w:rPr>
          <w:bCs/>
          <w:b/>
        </w:rPr>
        <w:t xml:space="preserve">K</w:t>
      </w:r>
      <w:r>
        <w:rPr>
          <w:vertAlign w:val="superscript"/>
          <w:bCs/>
          <w:b/>
        </w:rPr>
        <w:t xml:space="preserve">r</w:t>
      </w:r>
      <w:r>
        <w:t xml:space="preserve">, 2103. Spośród jej 52 członków 15 wykazuje tylko 95% zgodności z manuskryptem 2103. Jeśli te 52 manuskrypty zostaną kiedyś skolacjonowane w całych Ewangeliach, można z całkowitą pewnością przewidzieć, że „grupa” znacznie się skurczy, może nawet zniknąć.</w:t>
      </w:r>
    </w:p>
    <w:p>
      <w:pPr>
        <w:pStyle w:val="BodyText"/>
      </w:pPr>
      <w:r>
        <w:t xml:space="preserve">Kilka lat temu Maurice Robinson dokonał pełnego kolacjonowania 1389 manuskryptów zawierających</w:t>
      </w:r>
      <w:r>
        <w:t xml:space="preserve"> </w:t>
      </w:r>
      <w:r>
        <w:rPr>
          <w:iCs/>
          <w:i/>
        </w:rPr>
        <w:t xml:space="preserve">PA</w:t>
      </w:r>
      <w:r>
        <w:t xml:space="preserve">,</w:t>
      </w:r>
      <w:r>
        <w:rPr>
          <w:rStyle w:val="FootnoteReference"/>
        </w:rPr>
        <w:footnoteReference w:id="562"/>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dostępnym na www.prunch.org. LECZ PROSZĘ ZAUWAŻYĆ: niezależnie od tego, czy archetyp</w:t>
      </w:r>
      <w:r>
        <w:t xml:space="preserve"> </w:t>
      </w:r>
      <w:r>
        <w:rPr>
          <w:bCs/>
          <w:b/>
        </w:rPr>
        <w:t xml:space="preserve">f</w:t>
      </w:r>
      <w:r>
        <w:rPr>
          <w:vertAlign w:val="superscript"/>
          <w:bCs/>
          <w:b/>
        </w:rPr>
        <w:t xml:space="preserve">35</w:t>
      </w:r>
      <w:r>
        <w:t xml:space="preserve"> </w:t>
      </w:r>
      <w:r>
        <w:t xml:space="preserve">jest Autografem (jak twierdzę), faktem pozostaje, że manuskrypty skolacjonowane do tego badania odzwierciedlają</w:t>
      </w:r>
      <w:r>
        <w:t xml:space="preserve"> </w:t>
      </w:r>
      <w:r>
        <w:rPr>
          <w:u w:val="single"/>
        </w:rPr>
        <w:t xml:space="preserve">niewiarygodnie staranny przekaz ich źródła, i to przez całe średniowiecze</w:t>
      </w:r>
      <w:r>
        <w:t xml:space="preserve">. Moje założenia wstępne obejmują: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w:t>
      </w:r>
      <w:r>
        <w:t xml:space="preserve"> </w:t>
      </w:r>
      <w:r>
        <w:rPr>
          <w:bCs/>
          <w:b/>
        </w:rPr>
        <w:t xml:space="preserve">f</w:t>
      </w:r>
      <w:r>
        <w:rPr>
          <w:vertAlign w:val="superscript"/>
          <w:bCs/>
          <w:b/>
        </w:rPr>
        <w:t xml:space="preserve">35</w:t>
      </w:r>
      <w:r>
        <w:t xml:space="preserve">,</w:t>
      </w:r>
      <w:r>
        <w:t xml:space="preserve"> </w:t>
      </w:r>
      <w:r>
        <w:rPr>
          <w:bCs/>
          <w:b/>
        </w:rPr>
        <w:t xml:space="preserve">czy przekaz ten byłby mniej staranny niż ten, który wykazałem dla</w:t>
      </w:r>
      <w:r>
        <w:t xml:space="preserve"> </w:t>
      </w:r>
      <w:r>
        <w:rPr>
          <w:bCs/>
          <w:b/>
        </w:rPr>
        <w:t xml:space="preserve">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bCs/>
          <w:b/>
          <w:u w:val="single"/>
        </w:rPr>
        <w:t xml:space="preserve">wszystkie</w:t>
      </w:r>
      <w:r>
        <w:t xml:space="preserve"> </w:t>
      </w:r>
      <w:r>
        <w:t xml:space="preserve">inne linie przekazu, jakie dotąd widziałem!</w:t>
      </w:r>
      <w:r>
        <w:rPr>
          <w:rStyle w:val="FootnoteReference"/>
        </w:rPr>
        <w:footnoteReference w:id="563"/>
      </w:r>
    </w:p>
    <w:p>
      <w:pPr>
        <w:pStyle w:val="BodyText"/>
      </w:pPr>
      <w:r>
        <w:t xml:space="preserve">Na podstawie dostępnych dotąd dowodów twierdzę, co następuje:</w:t>
      </w:r>
    </w:p>
    <w:p>
      <w:pPr>
        <w:numPr>
          <w:ilvl w:val="0"/>
          <w:numId w:val="1116"/>
        </w:numPr>
      </w:pPr>
      <w:r>
        <w:t xml:space="preserve">Oryginalne sformułowania nigdy nie „zaginęły”, a ich przekaz na przestrzeni lat był zasadniczo normalny, ponieważ od początku uznawano je za materiał natchniony.</w:t>
      </w:r>
    </w:p>
    <w:p>
      <w:pPr>
        <w:numPr>
          <w:ilvl w:val="0"/>
          <w:numId w:val="1116"/>
        </w:numPr>
      </w:pPr>
      <w:r>
        <w:t xml:space="preserve">Ten normalny proces doprowadził do powstania linii przekazu.</w:t>
      </w:r>
    </w:p>
    <w:p>
      <w:pPr>
        <w:numPr>
          <w:ilvl w:val="0"/>
          <w:numId w:val="1116"/>
        </w:numPr>
      </w:pPr>
      <w:r>
        <w:t xml:space="preserve">Aby wyznaczyć takie linie, manuskrypty trzeba empirycznie grupować na podstawie wspólnej mozaiki odczytów.</w:t>
      </w:r>
    </w:p>
    <w:p>
      <w:pPr>
        <w:numPr>
          <w:ilvl w:val="0"/>
          <w:numId w:val="1116"/>
        </w:numPr>
      </w:pPr>
      <w:r>
        <w:t xml:space="preserve">Takie grupy lub rodziny trzeba ocenić pod względem niezależności i wiarygodności.</w:t>
      </w:r>
    </w:p>
    <w:p>
      <w:pPr>
        <w:numPr>
          <w:ilvl w:val="0"/>
          <w:numId w:val="1116"/>
        </w:numPr>
      </w:pPr>
      <w:r>
        <w:t xml:space="preserve">Największą jasno zdefiniowaną grupą jest Rodzina 35.</w:t>
      </w:r>
    </w:p>
    <w:p>
      <w:pPr>
        <w:numPr>
          <w:ilvl w:val="0"/>
          <w:numId w:val="1116"/>
        </w:numPr>
      </w:pPr>
      <w:r>
        <w:t xml:space="preserve">Rodzina 35 jest w sposób możliwy do wykazania niezależna od wszystkich innych linii przekazu w całym Nowym Testamencie.</w:t>
      </w:r>
    </w:p>
    <w:p>
      <w:pPr>
        <w:numPr>
          <w:ilvl w:val="0"/>
          <w:numId w:val="1116"/>
        </w:numPr>
      </w:pPr>
      <w:r>
        <w:t xml:space="preserve">Rodzina 35 jest w sposób możliwy do wykazania starożytna, sięga co najmniej III wieku.</w:t>
      </w:r>
    </w:p>
    <w:p>
      <w:pPr>
        <w:numPr>
          <w:ilvl w:val="0"/>
          <w:numId w:val="1116"/>
        </w:numPr>
      </w:pPr>
      <w:r>
        <w:t xml:space="preserve">Przedstawiciele Rodziny 35 pochodzą z całego obszaru śródziemnomorskiego, rozmieszczenie geograficzne jest niemal całkowite.</w:t>
      </w:r>
    </w:p>
    <w:p>
      <w:pPr>
        <w:numPr>
          <w:ilvl w:val="0"/>
          <w:numId w:val="1116"/>
        </w:numPr>
      </w:pPr>
      <w:r>
        <w:t xml:space="preserve">Rodzina 35 nie jest recenzją, nie powstała w żadnym momencie późniejszym od Autografów.</w:t>
      </w:r>
    </w:p>
    <w:p>
      <w:pPr>
        <w:numPr>
          <w:ilvl w:val="0"/>
          <w:numId w:val="1116"/>
        </w:numPr>
      </w:pPr>
      <w:r>
        <w:t xml:space="preserve">Rodzina 35 jest obiektywnie/empirycznie zdefiniowaną jednostką w całym Nowym Testamencie, ma możliwy do wykazania, diagnostyczny profil od Ewangelii Mateusza 1,1 do Objawienia Jana 22,21.</w:t>
      </w:r>
    </w:p>
    <w:p>
      <w:pPr>
        <w:numPr>
          <w:ilvl w:val="0"/>
          <w:numId w:val="1116"/>
        </w:numPr>
      </w:pPr>
      <w:r>
        <w:t xml:space="preserve">Archetypalną formę Rodziny 35 można wykazać — została wykazana (zob. Część II).</w:t>
      </w:r>
    </w:p>
    <w:p>
      <w:pPr>
        <w:numPr>
          <w:ilvl w:val="0"/>
          <w:numId w:val="1116"/>
        </w:numPr>
      </w:pPr>
      <w:r>
        <w:t xml:space="preserve">Tekst Oryginalny jest ostatecznym archetypem, każdy kandydat musi być również archetypem — rzeczywistym, najzupełniej prawdziwym, obiektywnie weryfikowalnym archetypem — istnieje tylko jeden, Rodzina 35.</w:t>
      </w:r>
      <w:r>
        <w:rPr>
          <w:rStyle w:val="FootnoteReference"/>
        </w:rPr>
        <w:footnoteReference w:id="564"/>
      </w:r>
    </w:p>
    <w:p>
      <w:pPr>
        <w:numPr>
          <w:ilvl w:val="0"/>
          <w:numId w:val="1116"/>
        </w:numPr>
      </w:pPr>
      <w:r>
        <w:t xml:space="preserve">Troska Boga o zachowanie Tekstu biblijnego jest oczywista, uważam, że fragmenty takie jak 1 Księga Kronik 16,15, Księga Psalmów 119,89, Księga Izajasza 40,8, Ewangelia Mateusza 5,18, Ewangelia Łukasza 16,17 i 21,33, Ewangelia Jana 10,35 i 16,12–13,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116"/>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116"/>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116"/>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565"/>
      </w:r>
    </w:p>
    <w:p>
      <w:pPr>
        <w:pStyle w:val="FirstParagraph"/>
      </w:pPr>
      <w:r>
        <w:t xml:space="preserve">Uczciwość niegdyś stanowiła część definicji prawdziwego uczonego. Każdy, kto chce nim być, powinien bezwzględnie przestać przedstawiać swoje założenia wstępne jako część dowodów. Ponieważ oryginał nigdy nie zaginął, nie istnieje uprawniona krytyka tekstu Nowego Testamentu, a zatem nie istnieje jej nauka. Ponieważ krytyka tekstu Nowego Testamentu (w formie praktykowanej przez społeczność akademicką przez ostatnich 130 lat) opiera się na fałszywym założeniu wstępnym, nie może być nauką. Ci, którzy odrzucają dowody pierwszorzędne, mogą i prawdopodobnie będą nadal głosić teorię krytyki tekstu. Przypuszczam, że mają prawo do swojej teorii, lecz nie mogę życzyć im powodzenia.</w:t>
      </w:r>
    </w:p>
    <w:bookmarkEnd w:id="566"/>
    <w:bookmarkEnd w:id="567"/>
    <w:bookmarkStart w:id="582" w:name="przedstawienie-dowodów-przez-alanda"/>
    <w:p>
      <w:pPr>
        <w:pStyle w:val="Heading2"/>
      </w:pPr>
      <w:r>
        <w:t xml:space="preserve">Przedstawienie dowodów przez Alanda</w:t>
      </w:r>
    </w:p>
    <w:p>
      <w:pPr>
        <w:pStyle w:val="FirstParagraph"/>
      </w:pPr>
      <w:r>
        <w:t xml:space="preserve">W tym omówieniu wykorzystam statystyki przedstawione przez Kurta Alanda i jego Instytut Badań Tekstu Nowego Testamentu. Ponieważ pogardzał Tekstem bizantyjskim i był oddanym orędownikiem swojego tekstu egipskiego, możemy być całkowicie pewni, że dowody nie zostaną przedstawione w sposób faworyzujący Tekst bizantyjski pod jakimkolwiek względem.</w:t>
      </w:r>
    </w:p>
    <w:bookmarkStart w:id="574" w:name="uncjały"/>
    <w:p>
      <w:pPr>
        <w:pStyle w:val="Heading3"/>
      </w:pPr>
      <w:r>
        <w:t xml:space="preserve">Uncjały</w:t>
      </w:r>
    </w:p>
    <w:p>
      <w:pPr>
        <w:pStyle w:val="FirstParagraph"/>
      </w:pPr>
      <w:r>
        <w:t xml:space="preserve">W</w:t>
      </w:r>
      <w:r>
        <w:t xml:space="preserve"> </w:t>
      </w:r>
      <w:r>
        <w:rPr>
          <w:iCs/>
          <w:i/>
        </w:rPr>
        <w:t xml:space="preserve">The Text of the New Testament</w:t>
      </w:r>
      <w:r>
        <w:rPr>
          <w:rStyle w:val="FootnoteReference"/>
        </w:rPr>
        <w:footnoteReference w:id="568"/>
      </w:r>
      <w:r>
        <w:t xml:space="preserve"> </w:t>
      </w:r>
      <w:r>
        <w:t xml:space="preserve">K. Aland przedstawia podsumowanie wyników „systematycznego kolacjonowania testowego” ważniejszych uncjałów z wieków IV–IX. Używa czterech nagłówków: odczyty „bizantyjskie”, „oryginalne”, „zgodności” między pierwszymi dwoma oraz „niezależne albo charakterystyczne”. Ponieważ przez „oryginalne” zdaje się rozumieć zasadniczo „egipskie” (albo „aleksandryjskie”), użyję następujących nagłówków: egipskie, większościowe („bizantyjskie”), oba („zgodności”) oraz inne („niezależne”). Przedstawiam w tabeli każdy manuskrypt z wieków od IV do IX, dla którego Aland podaje podsumowanie.</w:t>
      </w:r>
    </w:p>
    <w:p>
      <w:pPr>
        <w:pStyle w:val="BodyText"/>
      </w:pPr>
      <w:r>
        <w:t xml:space="preserve">Tytułem wyjaśnienia: „zaw.” oznacza zawartość,</w:t>
      </w:r>
      <w:r>
        <w:t xml:space="preserve"> </w:t>
      </w:r>
      <w:r>
        <w:rPr>
          <w:bCs/>
          <w:b/>
        </w:rPr>
        <w:t xml:space="preserve">e</w:t>
      </w:r>
      <w:r>
        <w:t xml:space="preserve"> </w:t>
      </w:r>
      <w:r>
        <w:t xml:space="preserve">= Ewangelie (lecz liczby Alanda obejmują tylko Ewangelie synoptyczne),</w:t>
      </w:r>
      <w:r>
        <w:t xml:space="preserve"> </w:t>
      </w:r>
      <w:r>
        <w:rPr>
          <w:bCs/>
          <w:b/>
        </w:rPr>
        <w:t xml:space="preserve">a</w:t>
      </w:r>
      <w:r>
        <w:t xml:space="preserve"> </w:t>
      </w:r>
      <w:r>
        <w:t xml:space="preserve">= Dzieje Apostolskie,</w:t>
      </w:r>
      <w:r>
        <w:t xml:space="preserve"> </w:t>
      </w:r>
      <w:r>
        <w:rPr>
          <w:bCs/>
          <w:b/>
        </w:rPr>
        <w:t xml:space="preserve">p</w:t>
      </w:r>
      <w:r>
        <w:t xml:space="preserve"> </w:t>
      </w:r>
      <w:r>
        <w:t xml:space="preserve">= Listy Pawła (łącznie z Listem do Hebrajczyków), a</w:t>
      </w:r>
      <w:r>
        <w:t xml:space="preserve"> </w:t>
      </w:r>
      <w:r>
        <w:rPr>
          <w:bCs/>
          <w:b/>
        </w:rPr>
        <w:t xml:space="preserve">c</w:t>
      </w:r>
      <w:r>
        <w:t xml:space="preserve"> </w:t>
      </w:r>
      <w:r>
        <w:t xml:space="preserve">= Listy Ogólne, „Kat.” odnosi się do pięciu kategorii Alanda (</w:t>
      </w:r>
      <w:r>
        <w:rPr>
          <w:iCs/>
          <w:i/>
        </w:rPr>
        <w:t xml:space="preserve">The Text</w:t>
      </w:r>
      <w:r>
        <w:t xml:space="preserve">, s. 105–106), a „klasa” oznacza klasyfikację opracowaną przeze mnie, w której</w:t>
      </w:r>
      <w:r>
        <w:t xml:space="preserve"> </w:t>
      </w:r>
      <w:r>
        <w:rPr>
          <w:bCs/>
          <w:b/>
        </w:rPr>
        <w:t xml:space="preserve">E</w:t>
      </w:r>
      <w:r>
        <w:t xml:space="preserve"> </w:t>
      </w:r>
      <w:r>
        <w:t xml:space="preserve">= egipski,</w:t>
      </w:r>
      <w:r>
        <w:t xml:space="preserve"> </w:t>
      </w:r>
      <w:r>
        <w:rPr>
          <w:bCs/>
          <w:b/>
        </w:rPr>
        <w:t xml:space="preserve">M</w:t>
      </w:r>
      <w:r>
        <w:t xml:space="preserve"> </w:t>
      </w:r>
      <w:r>
        <w:t xml:space="preserve">= większościowy, a</w:t>
      </w:r>
      <w:r>
        <w:t xml:space="preserve"> </w:t>
      </w:r>
      <w:r>
        <w:rPr>
          <w:bCs/>
          <w:b/>
        </w:rPr>
        <w:t xml:space="preserve">O</w:t>
      </w:r>
      <w:r>
        <w:t xml:space="preserve"> </w:t>
      </w:r>
      <w:r>
        <w:t xml:space="preserve">= inny. Ma ona następujące wartości, zilustrowane przy użyciu 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Klasyfikacja</w:t>
            </w:r>
          </w:p>
        </w:tc>
        <w:tc>
          <w:tcPr/>
          <w:p>
            <w:pPr>
              <w:pStyle w:val="Compact"/>
              <w:jc w:val="right"/>
            </w:pPr>
            <w:r>
              <w:t xml:space="preserve">Wartość</w:t>
            </w:r>
          </w:p>
        </w:tc>
        <w:tc>
          <w:tcPr/>
          <w:p>
            <w:pPr>
              <w:pStyle w:val="Compact"/>
              <w:jc w:val="right"/>
            </w:pPr>
            <w:r>
              <w:t xml:space="preserve">Stosunek</w:t>
            </w:r>
          </w:p>
        </w:tc>
        <w:tc>
          <w:tcPr/>
          <w:p>
            <w:pPr>
              <w:pStyle w:val="Compact"/>
              <w:jc w:val="left"/>
            </w:pPr>
            <w:r>
              <w:t xml:space="preserve">Opis</w:t>
            </w:r>
          </w:p>
        </w:tc>
      </w:tr>
      <w:tr>
        <w:tc>
          <w:tcPr/>
          <w:p>
            <w:pPr>
              <w:pStyle w:val="Compact"/>
              <w:jc w:val="left"/>
            </w:pPr>
            <w:r>
              <w:t xml:space="preserve">M+++++</w:t>
            </w:r>
          </w:p>
        </w:tc>
        <w:tc>
          <w:tcPr/>
          <w:p>
            <w:pPr>
              <w:pStyle w:val="Compact"/>
              <w:jc w:val="right"/>
            </w:pPr>
            <w:r>
              <w:t xml:space="preserve">100%</w:t>
            </w:r>
          </w:p>
        </w:tc>
        <w:tc>
          <w:tcPr/>
          <w:p>
            <w:pPr>
              <w:pStyle w:val="Compact"/>
            </w:pPr>
          </w:p>
        </w:tc>
        <w:tc>
          <w:tcPr/>
          <w:p>
            <w:pPr>
              <w:pStyle w:val="Compact"/>
            </w:pPr>
          </w:p>
        </w:tc>
      </w:tr>
      <w:tr>
        <w:tc>
          <w:tcPr/>
          <w:p>
            <w:pPr>
              <w:pStyle w:val="Compact"/>
              <w:jc w:val="left"/>
            </w:pPr>
            <w:r>
              <w:t xml:space="preserve">M++++</w:t>
            </w:r>
          </w:p>
        </w:tc>
        <w:tc>
          <w:tcPr/>
          <w:p>
            <w:pPr>
              <w:pStyle w:val="Compact"/>
              <w:jc w:val="right"/>
            </w:pPr>
            <w:r>
              <w:t xml:space="preserve">ponad 95%</w:t>
            </w:r>
          </w:p>
        </w:tc>
        <w:tc>
          <w:tcPr/>
          <w:p>
            <w:pPr>
              <w:pStyle w:val="Compact"/>
              <w:jc w:val="right"/>
            </w:pPr>
            <w:r>
              <w:t xml:space="preserve">19:1</w:t>
            </w:r>
          </w:p>
        </w:tc>
        <w:tc>
          <w:tcPr/>
          <w:p>
            <w:pPr>
              <w:pStyle w:val="Compact"/>
              <w:jc w:val="left"/>
            </w:pPr>
            <w:r>
              <w:t xml:space="preserve">bardzo silny</w:t>
            </w:r>
          </w:p>
        </w:tc>
      </w:tr>
      <w:tr>
        <w:tc>
          <w:tcPr/>
          <w:p>
            <w:pPr>
              <w:pStyle w:val="Compact"/>
              <w:jc w:val="left"/>
            </w:pPr>
            <w:r>
              <w:t xml:space="preserve">M+++</w:t>
            </w:r>
          </w:p>
        </w:tc>
        <w:tc>
          <w:tcPr/>
          <w:p>
            <w:pPr>
              <w:pStyle w:val="Compact"/>
              <w:jc w:val="right"/>
            </w:pPr>
            <w:r>
              <w:t xml:space="preserve">ponad 90%</w:t>
            </w:r>
          </w:p>
        </w:tc>
        <w:tc>
          <w:tcPr/>
          <w:p>
            <w:pPr>
              <w:pStyle w:val="Compact"/>
              <w:jc w:val="right"/>
            </w:pPr>
            <w:r>
              <w:t xml:space="preserve">9:1</w:t>
            </w:r>
          </w:p>
        </w:tc>
        <w:tc>
          <w:tcPr/>
          <w:p>
            <w:pPr>
              <w:pStyle w:val="Compact"/>
              <w:jc w:val="left"/>
            </w:pPr>
            <w:r>
              <w:t xml:space="preserve">silny</w:t>
            </w:r>
          </w:p>
        </w:tc>
      </w:tr>
      <w:tr>
        <w:tc>
          <w:tcPr/>
          <w:p>
            <w:pPr>
              <w:pStyle w:val="Compact"/>
              <w:jc w:val="left"/>
            </w:pPr>
            <w:r>
              <w:t xml:space="preserve">M++</w:t>
            </w:r>
          </w:p>
        </w:tc>
        <w:tc>
          <w:tcPr/>
          <w:p>
            <w:pPr>
              <w:pStyle w:val="Compact"/>
              <w:jc w:val="right"/>
            </w:pPr>
            <w:r>
              <w:t xml:space="preserve">ponad 80%</w:t>
            </w:r>
          </w:p>
        </w:tc>
        <w:tc>
          <w:tcPr/>
          <w:p>
            <w:pPr>
              <w:pStyle w:val="Compact"/>
              <w:jc w:val="right"/>
            </w:pPr>
            <w:r>
              <w:t xml:space="preserve">4:1</w:t>
            </w:r>
          </w:p>
        </w:tc>
        <w:tc>
          <w:tcPr/>
          <w:p>
            <w:pPr>
              <w:pStyle w:val="Compact"/>
              <w:jc w:val="left"/>
            </w:pPr>
            <w:r>
              <w:t xml:space="preserve">dobry</w:t>
            </w:r>
          </w:p>
        </w:tc>
      </w:tr>
      <w:tr>
        <w:tc>
          <w:tcPr/>
          <w:p>
            <w:pPr>
              <w:pStyle w:val="Compact"/>
              <w:jc w:val="left"/>
            </w:pPr>
            <w:r>
              <w:t xml:space="preserve">M+</w:t>
            </w:r>
          </w:p>
        </w:tc>
        <w:tc>
          <w:tcPr/>
          <w:p>
            <w:pPr>
              <w:pStyle w:val="Compact"/>
              <w:jc w:val="right"/>
            </w:pPr>
            <w:r>
              <w:t xml:space="preserve">ponad 66%</w:t>
            </w:r>
          </w:p>
        </w:tc>
        <w:tc>
          <w:tcPr/>
          <w:p>
            <w:pPr>
              <w:pStyle w:val="Compact"/>
              <w:jc w:val="right"/>
            </w:pPr>
            <w:r>
              <w:t xml:space="preserve">2:1</w:t>
            </w:r>
          </w:p>
        </w:tc>
        <w:tc>
          <w:tcPr/>
          <w:p>
            <w:pPr>
              <w:pStyle w:val="Compact"/>
              <w:jc w:val="left"/>
            </w:pPr>
            <w:r>
              <w:t xml:space="preserve">dostateczny</w:t>
            </w:r>
          </w:p>
        </w:tc>
      </w:tr>
      <w:tr>
        <w:tc>
          <w:tcPr/>
          <w:p>
            <w:pPr>
              <w:pStyle w:val="Compact"/>
              <w:jc w:val="left"/>
            </w:pPr>
            <w:r>
              <w:t xml:space="preserve">M</w:t>
            </w:r>
          </w:p>
        </w:tc>
        <w:tc>
          <w:tcPr/>
          <w:p>
            <w:pPr>
              <w:pStyle w:val="Compact"/>
              <w:jc w:val="right"/>
            </w:pPr>
            <w:r>
              <w:t xml:space="preserve">ponad 50%</w:t>
            </w:r>
          </w:p>
        </w:tc>
        <w:tc>
          <w:tcPr/>
          <w:p>
            <w:pPr>
              <w:pStyle w:val="Compact"/>
              <w:jc w:val="right"/>
            </w:pPr>
            <w:r>
              <w:t xml:space="preserve">1:1</w:t>
            </w:r>
          </w:p>
        </w:tc>
        <w:tc>
          <w:tcPr/>
          <w:p>
            <w:pPr>
              <w:pStyle w:val="Compact"/>
              <w:jc w:val="left"/>
            </w:pPr>
            <w:r>
              <w:t xml:space="preserve">słaby</w:t>
            </w:r>
          </w:p>
        </w:tc>
      </w:tr>
      <w:tr>
        <w:tc>
          <w:tcPr/>
          <w:p>
            <w:pPr>
              <w:pStyle w:val="Compact"/>
              <w:jc w:val="left"/>
            </w:pPr>
            <w:r>
              <w:t xml:space="preserve">M-</w:t>
            </w:r>
          </w:p>
        </w:tc>
        <w:tc>
          <w:tcPr/>
          <w:p>
            <w:pPr>
              <w:pStyle w:val="Compact"/>
              <w:jc w:val="right"/>
            </w:pPr>
            <w:r>
              <w:t xml:space="preserve">przewaga względna</w:t>
            </w:r>
          </w:p>
        </w:tc>
        <w:tc>
          <w:tcPr/>
          <w:p>
            <w:pPr>
              <w:pStyle w:val="Compact"/>
            </w:pPr>
          </w:p>
        </w:tc>
        <w:tc>
          <w:tcPr/>
          <w:p>
            <w:pPr>
              <w:pStyle w:val="Compact"/>
              <w:jc w:val="left"/>
            </w:pPr>
            <w:r>
              <w:t xml:space="preserve">marginalny</w:t>
            </w:r>
          </w:p>
        </w:tc>
      </w:tr>
      <w:tr>
        <w:tc>
          <w:tcPr/>
          <w:p>
            <w:pPr>
              <w:pStyle w:val="Compact"/>
              <w:jc w:val="left"/>
            </w:pPr>
            <w:r>
              <w:t xml:space="preserve">M/E</w:t>
            </w:r>
          </w:p>
        </w:tc>
        <w:tc>
          <w:tcPr/>
          <w:p>
            <w:pPr>
              <w:pStyle w:val="Compact"/>
              <w:jc w:val="right"/>
            </w:pPr>
            <w:r>
              <w:t xml:space="preserve">remis</w:t>
            </w:r>
          </w:p>
        </w:tc>
        <w:tc>
          <w:tcPr/>
          <w:p>
            <w:pPr>
              <w:pStyle w:val="Compact"/>
            </w:pPr>
          </w:p>
        </w:tc>
        <w:tc>
          <w:tcPr/>
          <w:p>
            <w:pPr>
              <w:pStyle w:val="Compact"/>
            </w:pPr>
          </w:p>
        </w:tc>
      </w:tr>
    </w:tbl>
    <w:p>
      <w:pPr>
        <w:pStyle w:val="BodyText"/>
      </w:pPr>
      <w:r>
        <w:t xml:space="preserve">Zakładam, że Aland zgodzi się ze mną, iż E + M jest z pewnością oryginalne, dlatego kolumnę „oba” trzeba pominąć przy próbie oceny tendencji poszczególnych manuskryptów. W związku z tym przy obliczaniu odsetków uwzględniłem wyłącznie kolumny „egipskie”, „większościowe” i „inne”.</w:t>
      </w:r>
    </w:p>
    <w:tbl>
      <w:tblPr>
        <w:tblStyle w:val="Table"/>
        <w:tblW w:type="pct" w:w="5000"/>
        <w:tblLook w:firstRow="1" w:lastRow="0" w:firstColumn="0" w:lastColumn="0" w:noHBand="0" w:noVBand="0" w:val="0020"/>
        <w:jc w:val="start"/>
      </w:tblPr>
      <w:tblGrid>
        <w:gridCol w:w="678"/>
        <w:gridCol w:w="678"/>
        <w:gridCol w:w="678"/>
        <w:gridCol w:w="905"/>
        <w:gridCol w:w="905"/>
        <w:gridCol w:w="905"/>
        <w:gridCol w:w="905"/>
        <w:gridCol w:w="905"/>
        <w:gridCol w:w="678"/>
        <w:gridCol w:w="678"/>
      </w:tblGrid>
      <w:tr>
        <w:trPr>
          <w:tblHeader w:val="true"/>
        </w:trPr>
        <w:tc>
          <w:tcPr/>
          <w:p>
            <w:pPr>
              <w:pStyle w:val="Compact"/>
              <w:jc w:val="left"/>
            </w:pPr>
            <w:r>
              <w:t xml:space="preserve">Kodeks</w:t>
            </w:r>
          </w:p>
        </w:tc>
        <w:tc>
          <w:tcPr/>
          <w:p>
            <w:pPr>
              <w:pStyle w:val="Compact"/>
              <w:jc w:val="left"/>
            </w:pPr>
            <w:r>
              <w:t xml:space="preserve">Data</w:t>
            </w:r>
          </w:p>
        </w:tc>
        <w:tc>
          <w:tcPr/>
          <w:p>
            <w:pPr>
              <w:pStyle w:val="Compact"/>
              <w:jc w:val="left"/>
            </w:pPr>
            <w:r>
              <w:t xml:space="preserve">Zaw.</w:t>
            </w:r>
          </w:p>
        </w:tc>
        <w:tc>
          <w:tcPr/>
          <w:p>
            <w:pPr>
              <w:pStyle w:val="Compact"/>
              <w:jc w:val="right"/>
            </w:pPr>
            <w:r>
              <w:t xml:space="preserve">Egip.</w:t>
            </w:r>
          </w:p>
        </w:tc>
        <w:tc>
          <w:tcPr/>
          <w:p>
            <w:pPr>
              <w:pStyle w:val="Compact"/>
              <w:jc w:val="right"/>
            </w:pPr>
            <w:r>
              <w:t xml:space="preserve">Oba</w:t>
            </w:r>
          </w:p>
        </w:tc>
        <w:tc>
          <w:tcPr/>
          <w:p>
            <w:pPr>
              <w:pStyle w:val="Compact"/>
              <w:jc w:val="right"/>
            </w:pPr>
            <w:r>
              <w:t xml:space="preserve">Większ.</w:t>
            </w:r>
          </w:p>
        </w:tc>
        <w:tc>
          <w:tcPr/>
          <w:p>
            <w:pPr>
              <w:pStyle w:val="Compact"/>
              <w:jc w:val="right"/>
            </w:pPr>
            <w:r>
              <w:t xml:space="preserve">Inne</w:t>
            </w:r>
          </w:p>
        </w:tc>
        <w:tc>
          <w:tcPr/>
          <w:p>
            <w:pPr>
              <w:pStyle w:val="Compact"/>
              <w:jc w:val="right"/>
            </w:pPr>
            <w:r>
              <w:t xml:space="preserve">Suma</w:t>
            </w:r>
          </w:p>
        </w:tc>
        <w:tc>
          <w:tcPr/>
          <w:p>
            <w:pPr>
              <w:pStyle w:val="Compact"/>
              <w:jc w:val="left"/>
            </w:pPr>
            <w:r>
              <w:t xml:space="preserve">Klasa</w:t>
            </w:r>
          </w:p>
        </w:tc>
        <w:tc>
          <w:tcPr/>
          <w:p>
            <w:pPr>
              <w:pStyle w:val="Compact"/>
              <w:jc w:val="left"/>
            </w:pPr>
            <w:r>
              <w:t xml:space="preserve">Kat.</w:t>
            </w:r>
          </w:p>
        </w:tc>
      </w:tr>
      <w:tr>
        <w:tc>
          <w:tcPr/>
          <w:p>
            <w:pPr>
              <w:pStyle w:val="Compact"/>
              <w:jc w:val="left"/>
            </w:pPr>
            <w:r>
              <w:t xml:space="preserve">01</w:t>
            </w:r>
          </w:p>
        </w:tc>
        <w:tc>
          <w:tcPr/>
          <w:p>
            <w:pPr>
              <w:pStyle w:val="Compact"/>
              <w:jc w:val="left"/>
            </w:pPr>
            <w:r>
              <w:t xml:space="preserve">IV</w:t>
            </w:r>
          </w:p>
        </w:tc>
        <w:tc>
          <w:tcPr/>
          <w:p>
            <w:pPr>
              <w:pStyle w:val="Compact"/>
              <w:jc w:val="left"/>
            </w:pPr>
            <w:r>
              <w:t xml:space="preserve">e</w:t>
            </w:r>
          </w:p>
        </w:tc>
        <w:tc>
          <w:tcPr/>
          <w:p>
            <w:pPr>
              <w:pStyle w:val="Compact"/>
              <w:jc w:val="right"/>
            </w:pPr>
            <w:r>
              <w:t xml:space="preserve">170</w:t>
            </w:r>
          </w:p>
        </w:tc>
        <w:tc>
          <w:tcPr/>
          <w:p>
            <w:pPr>
              <w:pStyle w:val="Compact"/>
              <w:jc w:val="right"/>
            </w:pPr>
            <w:r>
              <w:t xml:space="preserve">80</w:t>
            </w:r>
          </w:p>
        </w:tc>
        <w:tc>
          <w:tcPr/>
          <w:p>
            <w:pPr>
              <w:pStyle w:val="Compact"/>
              <w:jc w:val="right"/>
            </w:pPr>
            <w:r>
              <w:t xml:space="preserve">23</w:t>
            </w:r>
          </w:p>
        </w:tc>
        <w:tc>
          <w:tcPr/>
          <w:p>
            <w:pPr>
              <w:pStyle w:val="Compact"/>
              <w:jc w:val="right"/>
            </w:pPr>
            <w:r>
              <w:t xml:space="preserve">95</w:t>
            </w:r>
          </w:p>
        </w:tc>
        <w:tc>
          <w:tcPr/>
          <w:p>
            <w:pPr>
              <w:pStyle w:val="Compact"/>
              <w:jc w:val="right"/>
            </w:pPr>
            <w:r>
              <w:t xml:space="preserve">368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67</w:t>
            </w:r>
          </w:p>
        </w:tc>
        <w:tc>
          <w:tcPr/>
          <w:p>
            <w:pPr>
              <w:pStyle w:val="Compact"/>
              <w:jc w:val="right"/>
            </w:pPr>
            <w:r>
              <w:t xml:space="preserve">24</w:t>
            </w:r>
          </w:p>
        </w:tc>
        <w:tc>
          <w:tcPr/>
          <w:p>
            <w:pPr>
              <w:pStyle w:val="Compact"/>
              <w:jc w:val="right"/>
            </w:pPr>
            <w:r>
              <w:t xml:space="preserve">9</w:t>
            </w:r>
          </w:p>
        </w:tc>
        <w:tc>
          <w:tcPr/>
          <w:p>
            <w:pPr>
              <w:pStyle w:val="Compact"/>
              <w:jc w:val="right"/>
            </w:pPr>
            <w:r>
              <w:t xml:space="preserve">17</w:t>
            </w:r>
          </w:p>
        </w:tc>
        <w:tc>
          <w:tcPr/>
          <w:p>
            <w:pPr>
              <w:pStyle w:val="Compact"/>
              <w:jc w:val="right"/>
            </w:pPr>
            <w:r>
              <w:t xml:space="preserve">117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174</w:t>
            </w:r>
          </w:p>
        </w:tc>
        <w:tc>
          <w:tcPr/>
          <w:p>
            <w:pPr>
              <w:pStyle w:val="Compact"/>
              <w:jc w:val="right"/>
            </w:pPr>
            <w:r>
              <w:t xml:space="preserve">38</w:t>
            </w:r>
          </w:p>
        </w:tc>
        <w:tc>
          <w:tcPr/>
          <w:p>
            <w:pPr>
              <w:pStyle w:val="Compact"/>
              <w:jc w:val="right"/>
            </w:pPr>
            <w:r>
              <w:t xml:space="preserve">76</w:t>
            </w:r>
          </w:p>
        </w:tc>
        <w:tc>
          <w:tcPr/>
          <w:p>
            <w:pPr>
              <w:pStyle w:val="Compact"/>
              <w:jc w:val="right"/>
            </w:pPr>
            <w:r>
              <w:t xml:space="preserve">52</w:t>
            </w:r>
          </w:p>
        </w:tc>
        <w:tc>
          <w:tcPr/>
          <w:p>
            <w:pPr>
              <w:pStyle w:val="Compact"/>
              <w:jc w:val="right"/>
            </w:pPr>
            <w:r>
              <w:t xml:space="preserve">340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73</w:t>
            </w:r>
          </w:p>
        </w:tc>
        <w:tc>
          <w:tcPr/>
          <w:p>
            <w:pPr>
              <w:pStyle w:val="Compact"/>
              <w:jc w:val="right"/>
            </w:pPr>
            <w:r>
              <w:t xml:space="preserve">5</w:t>
            </w:r>
          </w:p>
        </w:tc>
        <w:tc>
          <w:tcPr/>
          <w:p>
            <w:pPr>
              <w:pStyle w:val="Compact"/>
              <w:jc w:val="right"/>
            </w:pPr>
            <w:r>
              <w:t xml:space="preserve">21</w:t>
            </w:r>
          </w:p>
        </w:tc>
        <w:tc>
          <w:tcPr/>
          <w:p>
            <w:pPr>
              <w:pStyle w:val="Compact"/>
              <w:jc w:val="right"/>
            </w:pPr>
            <w:r>
              <w:t xml:space="preserve">16</w:t>
            </w:r>
          </w:p>
        </w:tc>
        <w:tc>
          <w:tcPr/>
          <w:p>
            <w:pPr>
              <w:pStyle w:val="Compact"/>
              <w:jc w:val="right"/>
            </w:pPr>
            <w:r>
              <w:t xml:space="preserve">115</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w:t>
            </w:r>
          </w:p>
        </w:tc>
        <w:tc>
          <w:tcPr/>
          <w:p>
            <w:pPr>
              <w:pStyle w:val="Compact"/>
              <w:jc w:val="left"/>
            </w:pPr>
            <w:r>
              <w:t xml:space="preserve">IV</w:t>
            </w:r>
          </w:p>
        </w:tc>
        <w:tc>
          <w:tcPr/>
          <w:p>
            <w:pPr>
              <w:pStyle w:val="Compact"/>
              <w:jc w:val="left"/>
            </w:pPr>
            <w:r>
              <w:t xml:space="preserve">e</w:t>
            </w:r>
          </w:p>
        </w:tc>
        <w:tc>
          <w:tcPr/>
          <w:p>
            <w:pPr>
              <w:pStyle w:val="Compact"/>
              <w:jc w:val="right"/>
            </w:pPr>
            <w:r>
              <w:t xml:space="preserve">196</w:t>
            </w:r>
          </w:p>
        </w:tc>
        <w:tc>
          <w:tcPr/>
          <w:p>
            <w:pPr>
              <w:pStyle w:val="Compact"/>
              <w:jc w:val="right"/>
            </w:pPr>
            <w:r>
              <w:t xml:space="preserve">54</w:t>
            </w:r>
          </w:p>
        </w:tc>
        <w:tc>
          <w:tcPr/>
          <w:p>
            <w:pPr>
              <w:pStyle w:val="Compact"/>
              <w:jc w:val="right"/>
            </w:pPr>
            <w:r>
              <w:t xml:space="preserve">9</w:t>
            </w:r>
          </w:p>
        </w:tc>
        <w:tc>
          <w:tcPr/>
          <w:p>
            <w:pPr>
              <w:pStyle w:val="Compact"/>
              <w:jc w:val="right"/>
            </w:pPr>
            <w:r>
              <w:t xml:space="preserve">72</w:t>
            </w:r>
          </w:p>
        </w:tc>
        <w:tc>
          <w:tcPr/>
          <w:p>
            <w:pPr>
              <w:pStyle w:val="Compact"/>
              <w:jc w:val="right"/>
            </w:pPr>
            <w:r>
              <w:t xml:space="preserve">331</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72</w:t>
            </w:r>
          </w:p>
        </w:tc>
        <w:tc>
          <w:tcPr/>
          <w:p>
            <w:pPr>
              <w:pStyle w:val="Compact"/>
              <w:jc w:val="right"/>
            </w:pPr>
            <w:r>
              <w:t xml:space="preserve">22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107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144</w:t>
            </w:r>
          </w:p>
        </w:tc>
        <w:tc>
          <w:tcPr/>
          <w:p>
            <w:pPr>
              <w:pStyle w:val="Compact"/>
              <w:jc w:val="right"/>
            </w:pPr>
            <w:r>
              <w:t xml:space="preserve">31</w:t>
            </w:r>
          </w:p>
        </w:tc>
        <w:tc>
          <w:tcPr/>
          <w:p>
            <w:pPr>
              <w:pStyle w:val="Compact"/>
              <w:jc w:val="right"/>
            </w:pPr>
            <w:r>
              <w:t xml:space="preserve">8</w:t>
            </w:r>
          </w:p>
        </w:tc>
        <w:tc>
          <w:tcPr/>
          <w:p>
            <w:pPr>
              <w:pStyle w:val="Compact"/>
              <w:jc w:val="right"/>
            </w:pPr>
            <w:r>
              <w:t xml:space="preserve">27</w:t>
            </w:r>
          </w:p>
        </w:tc>
        <w:tc>
          <w:tcPr/>
          <w:p>
            <w:pPr>
              <w:pStyle w:val="Compact"/>
              <w:jc w:val="right"/>
            </w:pPr>
            <w:r>
              <w:t xml:space="preserve">210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80</w:t>
            </w:r>
          </w:p>
        </w:tc>
        <w:tc>
          <w:tcPr/>
          <w:p>
            <w:pPr>
              <w:pStyle w:val="Compact"/>
              <w:jc w:val="right"/>
            </w:pPr>
            <w:r>
              <w:t xml:space="preserve">8</w:t>
            </w:r>
          </w:p>
        </w:tc>
        <w:tc>
          <w:tcPr/>
          <w:p>
            <w:pPr>
              <w:pStyle w:val="Compact"/>
              <w:jc w:val="right"/>
            </w:pPr>
            <w:r>
              <w:t xml:space="preserve">2</w:t>
            </w:r>
          </w:p>
        </w:tc>
        <w:tc>
          <w:tcPr/>
          <w:p>
            <w:pPr>
              <w:pStyle w:val="Compact"/>
              <w:jc w:val="right"/>
            </w:pPr>
            <w:r>
              <w:t xml:space="preserve">9</w:t>
            </w:r>
          </w:p>
        </w:tc>
        <w:tc>
          <w:tcPr/>
          <w:p>
            <w:pPr>
              <w:pStyle w:val="Compact"/>
              <w:jc w:val="right"/>
            </w:pPr>
            <w:r>
              <w:t xml:space="preserve">99</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032</w:t>
            </w:r>
            <w:r>
              <w:rPr>
                <w:rStyle w:val="FootnoteReference"/>
              </w:rPr>
              <w:footnoteReference w:id="569"/>
            </w:r>
          </w:p>
        </w:tc>
        <w:tc>
          <w:tcPr/>
          <w:p>
            <w:pPr>
              <w:pStyle w:val="Compact"/>
              <w:jc w:val="left"/>
            </w:pPr>
            <w:r>
              <w:t xml:space="preserve">IV</w:t>
            </w:r>
          </w:p>
        </w:tc>
        <w:tc>
          <w:tcPr/>
          <w:p>
            <w:pPr>
              <w:pStyle w:val="Compact"/>
              <w:jc w:val="left"/>
            </w:pPr>
            <w:r>
              <w:t xml:space="preserve">e</w:t>
            </w:r>
          </w:p>
        </w:tc>
        <w:tc>
          <w:tcPr/>
          <w:p>
            <w:pPr>
              <w:pStyle w:val="Compact"/>
              <w:jc w:val="right"/>
            </w:pPr>
            <w:r>
              <w:t xml:space="preserve">54</w:t>
            </w:r>
          </w:p>
        </w:tc>
        <w:tc>
          <w:tcPr/>
          <w:p>
            <w:pPr>
              <w:pStyle w:val="Compact"/>
              <w:jc w:val="right"/>
            </w:pPr>
            <w:r>
              <w:t xml:space="preserve">70</w:t>
            </w:r>
          </w:p>
        </w:tc>
        <w:tc>
          <w:tcPr/>
          <w:p>
            <w:pPr>
              <w:pStyle w:val="Compact"/>
              <w:jc w:val="right"/>
            </w:pPr>
            <w:r>
              <w:t xml:space="preserve">118</w:t>
            </w:r>
          </w:p>
        </w:tc>
        <w:tc>
          <w:tcPr/>
          <w:p>
            <w:pPr>
              <w:pStyle w:val="Compact"/>
              <w:jc w:val="right"/>
            </w:pPr>
            <w:r>
              <w:t xml:space="preserve">88</w:t>
            </w:r>
          </w:p>
        </w:tc>
        <w:tc>
          <w:tcPr/>
          <w:p>
            <w:pPr>
              <w:pStyle w:val="Compact"/>
              <w:jc w:val="right"/>
            </w:pPr>
            <w:r>
              <w:t xml:space="preserve">330</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02</w:t>
            </w:r>
          </w:p>
        </w:tc>
        <w:tc>
          <w:tcPr/>
          <w:p>
            <w:pPr>
              <w:pStyle w:val="Compact"/>
              <w:jc w:val="left"/>
            </w:pPr>
            <w:r>
              <w:t xml:space="preserve">V</w:t>
            </w:r>
          </w:p>
        </w:tc>
        <w:tc>
          <w:tcPr/>
          <w:p>
            <w:pPr>
              <w:pStyle w:val="Compact"/>
              <w:jc w:val="left"/>
            </w:pPr>
            <w:r>
              <w:t xml:space="preserve">e</w:t>
            </w:r>
          </w:p>
        </w:tc>
        <w:tc>
          <w:tcPr/>
          <w:p>
            <w:pPr>
              <w:pStyle w:val="Compact"/>
              <w:jc w:val="right"/>
            </w:pPr>
            <w:r>
              <w:t xml:space="preserve">18</w:t>
            </w:r>
          </w:p>
        </w:tc>
        <w:tc>
          <w:tcPr/>
          <w:p>
            <w:pPr>
              <w:pStyle w:val="Compact"/>
              <w:jc w:val="right"/>
            </w:pPr>
            <w:r>
              <w:t xml:space="preserve">84</w:t>
            </w:r>
          </w:p>
        </w:tc>
        <w:tc>
          <w:tcPr/>
          <w:p>
            <w:pPr>
              <w:pStyle w:val="Compact"/>
              <w:jc w:val="right"/>
            </w:pPr>
            <w:r>
              <w:t xml:space="preserve">151</w:t>
            </w:r>
          </w:p>
        </w:tc>
        <w:tc>
          <w:tcPr/>
          <w:p>
            <w:pPr>
              <w:pStyle w:val="Compact"/>
              <w:jc w:val="right"/>
            </w:pPr>
            <w:r>
              <w:t xml:space="preserve">15</w:t>
            </w:r>
          </w:p>
        </w:tc>
        <w:tc>
          <w:tcPr/>
          <w:p>
            <w:pPr>
              <w:pStyle w:val="Compact"/>
              <w:jc w:val="right"/>
            </w:pPr>
            <w:r>
              <w:t xml:space="preserve">268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65</w:t>
            </w:r>
          </w:p>
        </w:tc>
        <w:tc>
          <w:tcPr/>
          <w:p>
            <w:pPr>
              <w:pStyle w:val="Compact"/>
              <w:jc w:val="right"/>
            </w:pPr>
            <w:r>
              <w:t xml:space="preserve">22</w:t>
            </w:r>
          </w:p>
        </w:tc>
        <w:tc>
          <w:tcPr/>
          <w:p>
            <w:pPr>
              <w:pStyle w:val="Compact"/>
              <w:jc w:val="right"/>
            </w:pPr>
            <w:r>
              <w:t xml:space="preserve">9</w:t>
            </w:r>
          </w:p>
        </w:tc>
        <w:tc>
          <w:tcPr/>
          <w:p>
            <w:pPr>
              <w:pStyle w:val="Compact"/>
              <w:jc w:val="right"/>
            </w:pPr>
            <w:r>
              <w:t xml:space="preserve">12</w:t>
            </w:r>
          </w:p>
        </w:tc>
        <w:tc>
          <w:tcPr/>
          <w:p>
            <w:pPr>
              <w:pStyle w:val="Compact"/>
              <w:jc w:val="right"/>
            </w:pPr>
            <w:r>
              <w:t xml:space="preserve">108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149</w:t>
            </w:r>
          </w:p>
        </w:tc>
        <w:tc>
          <w:tcPr/>
          <w:p>
            <w:pPr>
              <w:pStyle w:val="Compact"/>
              <w:jc w:val="right"/>
            </w:pPr>
            <w:r>
              <w:t xml:space="preserve">28</w:t>
            </w:r>
          </w:p>
        </w:tc>
        <w:tc>
          <w:tcPr/>
          <w:p>
            <w:pPr>
              <w:pStyle w:val="Compact"/>
              <w:jc w:val="right"/>
            </w:pPr>
            <w:r>
              <w:t xml:space="preserve">31</w:t>
            </w:r>
          </w:p>
        </w:tc>
        <w:tc>
          <w:tcPr/>
          <w:p>
            <w:pPr>
              <w:pStyle w:val="Compact"/>
              <w:jc w:val="right"/>
            </w:pPr>
            <w:r>
              <w:t xml:space="preserve">37</w:t>
            </w:r>
          </w:p>
        </w:tc>
        <w:tc>
          <w:tcPr/>
          <w:p>
            <w:pPr>
              <w:pStyle w:val="Compact"/>
              <w:jc w:val="right"/>
            </w:pPr>
            <w:r>
              <w:t xml:space="preserve">245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62</w:t>
            </w:r>
          </w:p>
        </w:tc>
        <w:tc>
          <w:tcPr/>
          <w:p>
            <w:pPr>
              <w:pStyle w:val="Compact"/>
              <w:jc w:val="right"/>
            </w:pPr>
            <w:r>
              <w:t xml:space="preserve">5</w:t>
            </w:r>
          </w:p>
        </w:tc>
        <w:tc>
          <w:tcPr/>
          <w:p>
            <w:pPr>
              <w:pStyle w:val="Compact"/>
              <w:jc w:val="right"/>
            </w:pPr>
            <w:r>
              <w:t xml:space="preserve">18</w:t>
            </w:r>
          </w:p>
        </w:tc>
        <w:tc>
          <w:tcPr/>
          <w:p>
            <w:pPr>
              <w:pStyle w:val="Compact"/>
              <w:jc w:val="right"/>
            </w:pPr>
            <w:r>
              <w:t xml:space="preserve">12</w:t>
            </w:r>
          </w:p>
        </w:tc>
        <w:tc>
          <w:tcPr/>
          <w:p>
            <w:pPr>
              <w:pStyle w:val="Compact"/>
              <w:jc w:val="right"/>
            </w:pPr>
            <w:r>
              <w:t xml:space="preserve">97</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04</w:t>
            </w:r>
          </w:p>
        </w:tc>
        <w:tc>
          <w:tcPr/>
          <w:p>
            <w:pPr>
              <w:pStyle w:val="Compact"/>
              <w:jc w:val="left"/>
            </w:pPr>
            <w:r>
              <w:t xml:space="preserve">V</w:t>
            </w:r>
          </w:p>
        </w:tc>
        <w:tc>
          <w:tcPr/>
          <w:p>
            <w:pPr>
              <w:pStyle w:val="Compact"/>
              <w:jc w:val="left"/>
            </w:pPr>
            <w:r>
              <w:t xml:space="preserve">e</w:t>
            </w:r>
          </w:p>
        </w:tc>
        <w:tc>
          <w:tcPr/>
          <w:p>
            <w:pPr>
              <w:pStyle w:val="Compact"/>
              <w:jc w:val="right"/>
            </w:pPr>
            <w:r>
              <w:t xml:space="preserve">66</w:t>
            </w:r>
          </w:p>
        </w:tc>
        <w:tc>
          <w:tcPr/>
          <w:p>
            <w:pPr>
              <w:pStyle w:val="Compact"/>
              <w:jc w:val="right"/>
            </w:pPr>
            <w:r>
              <w:t xml:space="preserve">66</w:t>
            </w:r>
          </w:p>
        </w:tc>
        <w:tc>
          <w:tcPr/>
          <w:p>
            <w:pPr>
              <w:pStyle w:val="Compact"/>
              <w:jc w:val="right"/>
            </w:pPr>
            <w:r>
              <w:t xml:space="preserve">87</w:t>
            </w:r>
          </w:p>
        </w:tc>
        <w:tc>
          <w:tcPr/>
          <w:p>
            <w:pPr>
              <w:pStyle w:val="Compact"/>
              <w:jc w:val="right"/>
            </w:pPr>
            <w:r>
              <w:t xml:space="preserve">50</w:t>
            </w:r>
          </w:p>
        </w:tc>
        <w:tc>
          <w:tcPr/>
          <w:p>
            <w:pPr>
              <w:pStyle w:val="Compact"/>
              <w:jc w:val="right"/>
            </w:pPr>
            <w:r>
              <w:t xml:space="preserve">269</w:t>
            </w:r>
          </w:p>
        </w:tc>
        <w:tc>
          <w:tcPr/>
          <w:p>
            <w:pPr>
              <w:pStyle w:val="Compact"/>
              <w:jc w:val="left"/>
            </w:pPr>
            <w:r>
              <w:t xml:space="preserve">M-</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37</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11</w:t>
            </w:r>
          </w:p>
        </w:tc>
        <w:tc>
          <w:tcPr/>
          <w:p>
            <w:pPr>
              <w:pStyle w:val="Compact"/>
              <w:jc w:val="right"/>
            </w:pPr>
            <w:r>
              <w:t xml:space="preserve">72</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31</w:t>
            </w:r>
          </w:p>
        </w:tc>
        <w:tc>
          <w:tcPr/>
          <w:p>
            <w:pPr>
              <w:pStyle w:val="Compact"/>
              <w:jc w:val="right"/>
            </w:pPr>
            <w:r>
              <w:t xml:space="preserve">15</w:t>
            </w:r>
          </w:p>
        </w:tc>
        <w:tc>
          <w:tcPr/>
          <w:p>
            <w:pPr>
              <w:pStyle w:val="Compact"/>
              <w:jc w:val="right"/>
            </w:pPr>
            <w:r>
              <w:t xml:space="preserve">173</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41</w:t>
            </w:r>
          </w:p>
        </w:tc>
        <w:tc>
          <w:tcPr/>
          <w:p>
            <w:pPr>
              <w:pStyle w:val="Compact"/>
              <w:jc w:val="right"/>
            </w:pPr>
            <w:r>
              <w:t xml:space="preserve">3</w:t>
            </w:r>
          </w:p>
        </w:tc>
        <w:tc>
          <w:tcPr/>
          <w:p>
            <w:pPr>
              <w:pStyle w:val="Compact"/>
              <w:jc w:val="right"/>
            </w:pPr>
            <w:r>
              <w:t xml:space="preserve">15</w:t>
            </w:r>
          </w:p>
        </w:tc>
        <w:tc>
          <w:tcPr/>
          <w:p>
            <w:pPr>
              <w:pStyle w:val="Compact"/>
              <w:jc w:val="right"/>
            </w:pPr>
            <w:r>
              <w:t xml:space="preserve">12</w:t>
            </w:r>
          </w:p>
        </w:tc>
        <w:tc>
          <w:tcPr/>
          <w:p>
            <w:pPr>
              <w:pStyle w:val="Compact"/>
              <w:jc w:val="right"/>
            </w:pPr>
            <w:r>
              <w:t xml:space="preserve">71</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05</w:t>
            </w:r>
          </w:p>
        </w:tc>
        <w:tc>
          <w:tcPr/>
          <w:p>
            <w:pPr>
              <w:pStyle w:val="Compact"/>
              <w:jc w:val="left"/>
            </w:pPr>
            <w:r>
              <w:t xml:space="preserve">V</w:t>
            </w:r>
          </w:p>
        </w:tc>
        <w:tc>
          <w:tcPr/>
          <w:p>
            <w:pPr>
              <w:pStyle w:val="Compact"/>
              <w:jc w:val="left"/>
            </w:pPr>
            <w:r>
              <w:t xml:space="preserve">e</w:t>
            </w:r>
          </w:p>
        </w:tc>
        <w:tc>
          <w:tcPr/>
          <w:p>
            <w:pPr>
              <w:pStyle w:val="Compact"/>
              <w:jc w:val="right"/>
            </w:pPr>
            <w:r>
              <w:t xml:space="preserve">77</w:t>
            </w:r>
          </w:p>
        </w:tc>
        <w:tc>
          <w:tcPr/>
          <w:p>
            <w:pPr>
              <w:pStyle w:val="Compact"/>
              <w:jc w:val="right"/>
            </w:pPr>
            <w:r>
              <w:t xml:space="preserve">48</w:t>
            </w:r>
          </w:p>
        </w:tc>
        <w:tc>
          <w:tcPr/>
          <w:p>
            <w:pPr>
              <w:pStyle w:val="Compact"/>
              <w:jc w:val="right"/>
            </w:pPr>
            <w:r>
              <w:t xml:space="preserve">65</w:t>
            </w:r>
          </w:p>
        </w:tc>
        <w:tc>
          <w:tcPr/>
          <w:p>
            <w:pPr>
              <w:pStyle w:val="Compact"/>
              <w:jc w:val="right"/>
            </w:pPr>
            <w:r>
              <w:t xml:space="preserve">134</w:t>
            </w:r>
          </w:p>
        </w:tc>
        <w:tc>
          <w:tcPr/>
          <w:p>
            <w:pPr>
              <w:pStyle w:val="Compact"/>
              <w:jc w:val="right"/>
            </w:pPr>
            <w:r>
              <w:t xml:space="preserve">324</w:t>
            </w:r>
          </w:p>
        </w:tc>
        <w:tc>
          <w:tcPr/>
          <w:p>
            <w:pPr>
              <w:pStyle w:val="Compact"/>
              <w:jc w:val="left"/>
            </w:pPr>
            <w:r>
              <w:t xml:space="preserve">O-</w:t>
            </w:r>
          </w:p>
        </w:tc>
        <w:tc>
          <w:tcPr/>
          <w:p>
            <w:pPr>
              <w:pStyle w:val="Compact"/>
              <w:jc w:val="left"/>
            </w:pPr>
            <w:r>
              <w:t xml:space="preserve">IV</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16</w:t>
            </w:r>
          </w:p>
        </w:tc>
        <w:tc>
          <w:tcPr/>
          <w:p>
            <w:pPr>
              <w:pStyle w:val="Compact"/>
              <w:jc w:val="right"/>
            </w:pPr>
            <w:r>
              <w:t xml:space="preserve">7</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77</w:t>
            </w:r>
          </w:p>
        </w:tc>
        <w:tc>
          <w:tcPr/>
          <w:p>
            <w:pPr>
              <w:pStyle w:val="Compact"/>
              <w:jc w:val="left"/>
            </w:pPr>
            <w:r>
              <w:t xml:space="preserve">O-</w:t>
            </w:r>
          </w:p>
        </w:tc>
        <w:tc>
          <w:tcPr/>
          <w:p>
            <w:pPr>
              <w:pStyle w:val="Compact"/>
              <w:jc w:val="left"/>
            </w:pPr>
            <w:r>
              <w:t xml:space="preserve">IV</w:t>
            </w:r>
          </w:p>
        </w:tc>
      </w:tr>
      <w:tr>
        <w:tc>
          <w:tcPr/>
          <w:p>
            <w:pPr>
              <w:pStyle w:val="Compact"/>
              <w:jc w:val="left"/>
            </w:pPr>
            <w:r>
              <w:t xml:space="preserve">016</w:t>
            </w:r>
          </w:p>
        </w:tc>
        <w:tc>
          <w:tcPr/>
          <w:p>
            <w:pPr>
              <w:pStyle w:val="Compact"/>
              <w:jc w:val="left"/>
            </w:pPr>
            <w:r>
              <w:t xml:space="preserve">V</w:t>
            </w:r>
          </w:p>
        </w:tc>
        <w:tc>
          <w:tcPr/>
          <w:p>
            <w:pPr>
              <w:pStyle w:val="Compact"/>
              <w:jc w:val="left"/>
            </w:pPr>
            <w:r>
              <w:t xml:space="preserve">p</w:t>
            </w:r>
          </w:p>
        </w:tc>
        <w:tc>
          <w:tcPr/>
          <w:p>
            <w:pPr>
              <w:pStyle w:val="Compact"/>
              <w:jc w:val="right"/>
            </w:pPr>
            <w:r>
              <w:t xml:space="preserve">15</w:t>
            </w:r>
          </w:p>
        </w:tc>
        <w:tc>
          <w:tcPr/>
          <w:p>
            <w:pPr>
              <w:pStyle w:val="Compact"/>
              <w:jc w:val="right"/>
            </w:pPr>
            <w:r>
              <w:t xml:space="preserve">1</w:t>
            </w:r>
          </w:p>
        </w:tc>
        <w:tc>
          <w:tcPr/>
          <w:p>
            <w:pPr>
              <w:pStyle w:val="Compact"/>
              <w:jc w:val="right"/>
            </w:pPr>
            <w:r>
              <w:t xml:space="preserve">2</w:t>
            </w:r>
          </w:p>
        </w:tc>
        <w:tc>
          <w:tcPr/>
          <w:p>
            <w:pPr>
              <w:pStyle w:val="Compact"/>
              <w:jc w:val="right"/>
            </w:pPr>
            <w:r>
              <w:t xml:space="preserve">6</w:t>
            </w:r>
          </w:p>
        </w:tc>
        <w:tc>
          <w:tcPr/>
          <w:p>
            <w:pPr>
              <w:pStyle w:val="Compact"/>
              <w:jc w:val="right"/>
            </w:pPr>
            <w:r>
              <w:t xml:space="preserve">24</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026</w:t>
            </w:r>
          </w:p>
        </w:tc>
        <w:tc>
          <w:tcPr/>
          <w:p>
            <w:pPr>
              <w:pStyle w:val="Compact"/>
              <w:jc w:val="left"/>
            </w:pPr>
            <w:r>
              <w:t xml:space="preserve">V</w:t>
            </w:r>
          </w:p>
        </w:tc>
        <w:tc>
          <w:tcPr/>
          <w:p>
            <w:pPr>
              <w:pStyle w:val="Compact"/>
              <w:jc w:val="left"/>
            </w:pPr>
            <w:r>
              <w:t xml:space="preserve">e</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right"/>
            </w:pPr>
            <w:r>
              <w:t xml:space="preserve">12</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048</w:t>
            </w:r>
          </w:p>
        </w:tc>
        <w:tc>
          <w:tcPr/>
          <w:p>
            <w:pPr>
              <w:pStyle w:val="Compact"/>
              <w:jc w:val="left"/>
            </w:pPr>
            <w:r>
              <w:t xml:space="preserve">V</w:t>
            </w:r>
          </w:p>
        </w:tc>
        <w:tc>
          <w:tcPr/>
          <w:p>
            <w:pPr>
              <w:pStyle w:val="Compact"/>
              <w:jc w:val="left"/>
            </w:pPr>
            <w:r>
              <w:t xml:space="preserve">p*</w:t>
            </w:r>
          </w:p>
        </w:tc>
        <w:tc>
          <w:tcPr/>
          <w:p>
            <w:pPr>
              <w:pStyle w:val="Compact"/>
              <w:jc w:val="right"/>
            </w:pPr>
            <w:r>
              <w:t xml:space="preserve">26</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c>
          <w:tcPr/>
          <w:p>
            <w:pPr>
              <w:pStyle w:val="Compact"/>
              <w:jc w:val="right"/>
            </w:pPr>
            <w:r>
              <w:t xml:space="preserve">40</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0274</w:t>
            </w:r>
          </w:p>
        </w:tc>
        <w:tc>
          <w:tcPr/>
          <w:p>
            <w:pPr>
              <w:pStyle w:val="Compact"/>
              <w:jc w:val="left"/>
            </w:pPr>
            <w:r>
              <w:t xml:space="preserve">V</w:t>
            </w:r>
          </w:p>
        </w:tc>
        <w:tc>
          <w:tcPr/>
          <w:p>
            <w:pPr>
              <w:pStyle w:val="Compact"/>
              <w:jc w:val="left"/>
            </w:pPr>
            <w:r>
              <w:t xml:space="preserve">e</w:t>
            </w:r>
          </w:p>
        </w:tc>
        <w:tc>
          <w:tcPr/>
          <w:p>
            <w:pPr>
              <w:pStyle w:val="Compact"/>
              <w:jc w:val="right"/>
            </w:pPr>
            <w:r>
              <w:t xml:space="preserve">19</w:t>
            </w:r>
          </w:p>
        </w:tc>
        <w:tc>
          <w:tcPr/>
          <w:p>
            <w:pPr>
              <w:pStyle w:val="Compact"/>
              <w:jc w:val="right"/>
            </w:pPr>
            <w:r>
              <w:t xml:space="preserve">6</w:t>
            </w:r>
          </w:p>
        </w:tc>
        <w:tc>
          <w:tcPr/>
          <w:p>
            <w:pPr>
              <w:pStyle w:val="Compact"/>
              <w:jc w:val="right"/>
            </w:pPr>
            <w:r>
              <w:t xml:space="preserve">0</w:t>
            </w:r>
          </w:p>
        </w:tc>
        <w:tc>
          <w:tcPr/>
          <w:p>
            <w:pPr>
              <w:pStyle w:val="Compact"/>
              <w:jc w:val="right"/>
            </w:pPr>
            <w:r>
              <w:t xml:space="preserve">2</w:t>
            </w:r>
          </w:p>
        </w:tc>
        <w:tc>
          <w:tcPr/>
          <w:p>
            <w:pPr>
              <w:pStyle w:val="Compact"/>
              <w:jc w:val="right"/>
            </w:pPr>
            <w:r>
              <w:t xml:space="preserve">27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06</w:t>
            </w:r>
          </w:p>
        </w:tc>
        <w:tc>
          <w:tcPr/>
          <w:p>
            <w:pPr>
              <w:pStyle w:val="Compact"/>
              <w:jc w:val="left"/>
            </w:pPr>
            <w:r>
              <w:t xml:space="preserve">VI</w:t>
            </w:r>
          </w:p>
        </w:tc>
        <w:tc>
          <w:tcPr/>
          <w:p>
            <w:pPr>
              <w:pStyle w:val="Compact"/>
              <w:jc w:val="left"/>
            </w:pPr>
            <w:r>
              <w:t xml:space="preserve">p</w:t>
            </w:r>
          </w:p>
        </w:tc>
        <w:tc>
          <w:tcPr/>
          <w:p>
            <w:pPr>
              <w:pStyle w:val="Compact"/>
              <w:jc w:val="right"/>
            </w:pPr>
            <w:r>
              <w:t xml:space="preserve">112</w:t>
            </w:r>
          </w:p>
        </w:tc>
        <w:tc>
          <w:tcPr/>
          <w:p>
            <w:pPr>
              <w:pStyle w:val="Compact"/>
              <w:jc w:val="right"/>
            </w:pPr>
            <w:r>
              <w:t xml:space="preserve">29</w:t>
            </w:r>
          </w:p>
        </w:tc>
        <w:tc>
          <w:tcPr/>
          <w:p>
            <w:pPr>
              <w:pStyle w:val="Compact"/>
              <w:jc w:val="right"/>
            </w:pPr>
            <w:r>
              <w:t xml:space="preserve">137</w:t>
            </w:r>
          </w:p>
        </w:tc>
        <w:tc>
          <w:tcPr/>
          <w:p>
            <w:pPr>
              <w:pStyle w:val="Compact"/>
              <w:jc w:val="right"/>
            </w:pPr>
            <w:r>
              <w:t xml:space="preserve">83</w:t>
            </w:r>
          </w:p>
        </w:tc>
        <w:tc>
          <w:tcPr/>
          <w:p>
            <w:pPr>
              <w:pStyle w:val="Compact"/>
              <w:jc w:val="right"/>
            </w:pPr>
            <w:r>
              <w:t xml:space="preserve">361</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08</w:t>
            </w:r>
          </w:p>
        </w:tc>
        <w:tc>
          <w:tcPr/>
          <w:p>
            <w:pPr>
              <w:pStyle w:val="Compact"/>
              <w:jc w:val="left"/>
            </w:pPr>
            <w:r>
              <w:t xml:space="preserve">VI</w:t>
            </w:r>
          </w:p>
        </w:tc>
        <w:tc>
          <w:tcPr/>
          <w:p>
            <w:pPr>
              <w:pStyle w:val="Compact"/>
              <w:jc w:val="left"/>
            </w:pPr>
            <w:r>
              <w:t xml:space="preserve">a</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22</w:t>
            </w:r>
          </w:p>
        </w:tc>
        <w:tc>
          <w:tcPr/>
          <w:p>
            <w:pPr>
              <w:pStyle w:val="Compact"/>
              <w:jc w:val="right"/>
            </w:pPr>
            <w:r>
              <w:t xml:space="preserve">102</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015</w:t>
            </w:r>
          </w:p>
        </w:tc>
        <w:tc>
          <w:tcPr/>
          <w:p>
            <w:pPr>
              <w:pStyle w:val="Compact"/>
              <w:jc w:val="left"/>
            </w:pPr>
            <w:r>
              <w:t xml:space="preserve">VI</w:t>
            </w:r>
          </w:p>
        </w:tc>
        <w:tc>
          <w:tcPr/>
          <w:p>
            <w:pPr>
              <w:pStyle w:val="Compact"/>
              <w:jc w:val="left"/>
            </w:pPr>
            <w:r>
              <w:t xml:space="preserve">p</w:t>
            </w:r>
          </w:p>
        </w:tc>
        <w:tc>
          <w:tcPr/>
          <w:p>
            <w:pPr>
              <w:pStyle w:val="Compact"/>
              <w:jc w:val="right"/>
            </w:pPr>
            <w:r>
              <w:t xml:space="preserve">11</w:t>
            </w:r>
          </w:p>
        </w:tc>
        <w:tc>
          <w:tcPr/>
          <w:p>
            <w:pPr>
              <w:pStyle w:val="Compact"/>
              <w:jc w:val="right"/>
            </w:pPr>
            <w:r>
              <w:t xml:space="preserve">0</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022</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48</w:t>
            </w:r>
          </w:p>
        </w:tc>
        <w:tc>
          <w:tcPr/>
          <w:p>
            <w:pPr>
              <w:pStyle w:val="Compact"/>
              <w:jc w:val="right"/>
            </w:pPr>
            <w:r>
              <w:t xml:space="preserve">89</w:t>
            </w:r>
          </w:p>
        </w:tc>
        <w:tc>
          <w:tcPr/>
          <w:p>
            <w:pPr>
              <w:pStyle w:val="Compact"/>
              <w:jc w:val="right"/>
            </w:pPr>
            <w:r>
              <w:t xml:space="preserve">15</w:t>
            </w:r>
          </w:p>
        </w:tc>
        <w:tc>
          <w:tcPr/>
          <w:p>
            <w:pPr>
              <w:pStyle w:val="Compact"/>
              <w:jc w:val="right"/>
            </w:pPr>
            <w:r>
              <w:t xml:space="preserve">160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9</w:t>
            </w:r>
          </w:p>
        </w:tc>
        <w:tc>
          <w:tcPr/>
          <w:p>
            <w:pPr>
              <w:pStyle w:val="Compact"/>
              <w:jc w:val="right"/>
            </w:pPr>
            <w:r>
              <w:t xml:space="preserve">3</w:t>
            </w:r>
          </w:p>
        </w:tc>
        <w:tc>
          <w:tcPr/>
          <w:p>
            <w:pPr>
              <w:pStyle w:val="Compact"/>
              <w:jc w:val="right"/>
            </w:pPr>
            <w:r>
              <w:t xml:space="preserve">16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024</w:t>
            </w:r>
          </w:p>
        </w:tc>
        <w:tc>
          <w:tcPr/>
          <w:p>
            <w:pPr>
              <w:pStyle w:val="Compact"/>
              <w:jc w:val="left"/>
            </w:pPr>
            <w:r>
              <w:t xml:space="preserve">VI</w:t>
            </w:r>
          </w:p>
        </w:tc>
        <w:tc>
          <w:tcPr/>
          <w:p>
            <w:pPr>
              <w:pStyle w:val="Compact"/>
              <w:jc w:val="left"/>
            </w:pPr>
            <w:r>
              <w:t xml:space="preserve">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027</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11</w:t>
            </w:r>
          </w:p>
        </w:tc>
        <w:tc>
          <w:tcPr/>
          <w:p>
            <w:pPr>
              <w:pStyle w:val="Compact"/>
              <w:jc w:val="right"/>
            </w:pPr>
            <w:r>
              <w:t xml:space="preserve">5</w:t>
            </w:r>
          </w:p>
        </w:tc>
        <w:tc>
          <w:tcPr/>
          <w:p>
            <w:pPr>
              <w:pStyle w:val="Compact"/>
              <w:jc w:val="right"/>
            </w:pPr>
            <w:r>
              <w:t xml:space="preserve">20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035</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21</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040</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15</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042</w:t>
            </w:r>
          </w:p>
        </w:tc>
        <w:tc>
          <w:tcPr/>
          <w:p>
            <w:pPr>
              <w:pStyle w:val="Compact"/>
              <w:jc w:val="left"/>
            </w:pPr>
            <w:r>
              <w:t xml:space="preserve">VI</w:t>
            </w:r>
          </w:p>
        </w:tc>
        <w:tc>
          <w:tcPr/>
          <w:p>
            <w:pPr>
              <w:pStyle w:val="Compact"/>
              <w:jc w:val="left"/>
            </w:pPr>
            <w:r>
              <w:t xml:space="preserve">e</w:t>
            </w:r>
          </w:p>
        </w:tc>
        <w:tc>
          <w:tcPr/>
          <w:p>
            <w:pPr>
              <w:pStyle w:val="Compact"/>
              <w:jc w:val="right"/>
            </w:pPr>
            <w:r>
              <w:t xml:space="preserve">15</w:t>
            </w:r>
          </w:p>
        </w:tc>
        <w:tc>
          <w:tcPr/>
          <w:p>
            <w:pPr>
              <w:pStyle w:val="Compact"/>
              <w:jc w:val="right"/>
            </w:pPr>
            <w:r>
              <w:t xml:space="preserve">83</w:t>
            </w:r>
          </w:p>
        </w:tc>
        <w:tc>
          <w:tcPr/>
          <w:p>
            <w:pPr>
              <w:pStyle w:val="Compact"/>
              <w:jc w:val="right"/>
            </w:pPr>
            <w:r>
              <w:t xml:space="preserve">140</w:t>
            </w:r>
          </w:p>
        </w:tc>
        <w:tc>
          <w:tcPr/>
          <w:p>
            <w:pPr>
              <w:pStyle w:val="Compact"/>
              <w:jc w:val="right"/>
            </w:pPr>
            <w:r>
              <w:t xml:space="preserve">25</w:t>
            </w:r>
          </w:p>
        </w:tc>
        <w:tc>
          <w:tcPr/>
          <w:p>
            <w:pPr>
              <w:pStyle w:val="Compact"/>
              <w:jc w:val="right"/>
            </w:pPr>
            <w:r>
              <w:t xml:space="preserve">263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043</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83</w:t>
            </w:r>
          </w:p>
        </w:tc>
        <w:tc>
          <w:tcPr/>
          <w:p>
            <w:pPr>
              <w:pStyle w:val="Compact"/>
              <w:jc w:val="right"/>
            </w:pPr>
            <w:r>
              <w:t xml:space="preserve">131</w:t>
            </w:r>
          </w:p>
        </w:tc>
        <w:tc>
          <w:tcPr/>
          <w:p>
            <w:pPr>
              <w:pStyle w:val="Compact"/>
              <w:jc w:val="right"/>
            </w:pPr>
            <w:r>
              <w:t xml:space="preserve">18</w:t>
            </w:r>
          </w:p>
        </w:tc>
        <w:tc>
          <w:tcPr/>
          <w:p>
            <w:pPr>
              <w:pStyle w:val="Compact"/>
              <w:jc w:val="right"/>
            </w:pPr>
            <w:r>
              <w:t xml:space="preserve">243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0211</w:t>
            </w:r>
          </w:p>
        </w:tc>
        <w:tc>
          <w:tcPr/>
          <w:p>
            <w:pPr>
              <w:pStyle w:val="Compact"/>
              <w:jc w:val="left"/>
            </w:pPr>
            <w:r>
              <w:t xml:space="preserve">VII</w:t>
            </w:r>
          </w:p>
        </w:tc>
        <w:tc>
          <w:tcPr/>
          <w:p>
            <w:pPr>
              <w:pStyle w:val="Compact"/>
              <w:jc w:val="left"/>
            </w:pPr>
            <w:r>
              <w:t xml:space="preserve">e</w:t>
            </w:r>
          </w:p>
        </w:tc>
        <w:tc>
          <w:tcPr/>
          <w:p>
            <w:pPr>
              <w:pStyle w:val="Compact"/>
              <w:jc w:val="right"/>
            </w:pPr>
            <w:r>
              <w:t xml:space="preserve">10</w:t>
            </w:r>
          </w:p>
        </w:tc>
        <w:tc>
          <w:tcPr/>
          <w:p>
            <w:pPr>
              <w:pStyle w:val="Compact"/>
              <w:jc w:val="right"/>
            </w:pPr>
            <w:r>
              <w:t xml:space="preserve">101</w:t>
            </w:r>
          </w:p>
        </w:tc>
        <w:tc>
          <w:tcPr/>
          <w:p>
            <w:pPr>
              <w:pStyle w:val="Compact"/>
              <w:jc w:val="right"/>
            </w:pPr>
            <w:r>
              <w:t xml:space="preserve">189</w:t>
            </w:r>
          </w:p>
        </w:tc>
        <w:tc>
          <w:tcPr/>
          <w:p>
            <w:pPr>
              <w:pStyle w:val="Compact"/>
              <w:jc w:val="right"/>
            </w:pPr>
            <w:r>
              <w:t xml:space="preserve">23</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w:t>
            </w:r>
          </w:p>
        </w:tc>
        <w:tc>
          <w:tcPr/>
          <w:p>
            <w:pPr>
              <w:pStyle w:val="Compact"/>
              <w:jc w:val="right"/>
            </w:pPr>
            <w:r>
              <w:t xml:space="preserve">107</w:t>
            </w:r>
          </w:p>
        </w:tc>
        <w:tc>
          <w:tcPr/>
          <w:p>
            <w:pPr>
              <w:pStyle w:val="Compact"/>
              <w:jc w:val="right"/>
            </w:pPr>
            <w:r>
              <w:t xml:space="preserve">209</w:t>
            </w:r>
          </w:p>
        </w:tc>
        <w:tc>
          <w:tcPr/>
          <w:p>
            <w:pPr>
              <w:pStyle w:val="Compact"/>
              <w:jc w:val="right"/>
            </w:pPr>
            <w:r>
              <w:t xml:space="preserve">9</w:t>
            </w:r>
          </w:p>
        </w:tc>
        <w:tc>
          <w:tcPr/>
          <w:p>
            <w:pPr>
              <w:pStyle w:val="Compact"/>
              <w:jc w:val="right"/>
            </w:pPr>
            <w:r>
              <w:t xml:space="preserve">326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019</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125</w:t>
            </w:r>
          </w:p>
        </w:tc>
        <w:tc>
          <w:tcPr/>
          <w:p>
            <w:pPr>
              <w:pStyle w:val="Compact"/>
              <w:jc w:val="right"/>
            </w:pPr>
            <w:r>
              <w:t xml:space="preserve">75</w:t>
            </w:r>
          </w:p>
        </w:tc>
        <w:tc>
          <w:tcPr/>
          <w:p>
            <w:pPr>
              <w:pStyle w:val="Compact"/>
              <w:jc w:val="right"/>
            </w:pPr>
            <w:r>
              <w:t xml:space="preserve">52</w:t>
            </w:r>
          </w:p>
        </w:tc>
        <w:tc>
          <w:tcPr/>
          <w:p>
            <w:pPr>
              <w:pStyle w:val="Compact"/>
              <w:jc w:val="right"/>
            </w:pPr>
            <w:r>
              <w:t xml:space="preserve">64</w:t>
            </w:r>
          </w:p>
        </w:tc>
        <w:tc>
          <w:tcPr/>
          <w:p>
            <w:pPr>
              <w:pStyle w:val="Compact"/>
              <w:jc w:val="right"/>
            </w:pPr>
            <w:r>
              <w:t xml:space="preserve">316</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044</w:t>
            </w:r>
          </w:p>
        </w:tc>
        <w:tc>
          <w:tcPr/>
          <w:p>
            <w:pPr>
              <w:pStyle w:val="Compact"/>
              <w:jc w:val="left"/>
            </w:pPr>
            <w:r>
              <w:t xml:space="preserve">VIII</w:t>
            </w:r>
          </w:p>
        </w:tc>
        <w:tc>
          <w:tcPr/>
          <w:p>
            <w:pPr>
              <w:pStyle w:val="Compact"/>
              <w:jc w:val="left"/>
            </w:pPr>
            <w:r>
              <w:t xml:space="preserve">e</w:t>
            </w:r>
          </w:p>
        </w:tc>
        <w:tc>
          <w:tcPr/>
          <w:p>
            <w:pPr>
              <w:pStyle w:val="Compact"/>
              <w:jc w:val="right"/>
            </w:pPr>
            <w:r>
              <w:t xml:space="preserve">52</w:t>
            </w:r>
          </w:p>
        </w:tc>
        <w:tc>
          <w:tcPr/>
          <w:p>
            <w:pPr>
              <w:pStyle w:val="Compact"/>
              <w:jc w:val="right"/>
            </w:pPr>
            <w:r>
              <w:t xml:space="preserve">21</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132</w:t>
            </w:r>
          </w:p>
        </w:tc>
        <w:tc>
          <w:tcPr/>
          <w:p>
            <w:pPr>
              <w:pStyle w:val="Compact"/>
              <w:jc w:val="left"/>
            </w:pPr>
            <w:r>
              <w:t xml:space="preserve">E-</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22</w:t>
            </w:r>
          </w:p>
        </w:tc>
        <w:tc>
          <w:tcPr/>
          <w:p>
            <w:pPr>
              <w:pStyle w:val="Compact"/>
              <w:jc w:val="right"/>
            </w:pPr>
            <w:r>
              <w:t xml:space="preserve">25</w:t>
            </w:r>
          </w:p>
        </w:tc>
        <w:tc>
          <w:tcPr/>
          <w:p>
            <w:pPr>
              <w:pStyle w:val="Compact"/>
              <w:jc w:val="right"/>
            </w:pPr>
            <w:r>
              <w:t xml:space="preserve">43</w:t>
            </w:r>
          </w:p>
        </w:tc>
        <w:tc>
          <w:tcPr/>
          <w:p>
            <w:pPr>
              <w:pStyle w:val="Compact"/>
              <w:jc w:val="right"/>
            </w:pPr>
            <w:r>
              <w:t xml:space="preserve">15</w:t>
            </w:r>
          </w:p>
        </w:tc>
        <w:tc>
          <w:tcPr/>
          <w:p>
            <w:pPr>
              <w:pStyle w:val="Compact"/>
              <w:jc w:val="right"/>
            </w:pPr>
            <w:r>
              <w:t xml:space="preserve">105</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38</w:t>
            </w:r>
          </w:p>
        </w:tc>
        <w:tc>
          <w:tcPr/>
          <w:p>
            <w:pPr>
              <w:pStyle w:val="Compact"/>
              <w:jc w:val="right"/>
            </w:pPr>
            <w:r>
              <w:t xml:space="preserve">42</w:t>
            </w:r>
          </w:p>
        </w:tc>
        <w:tc>
          <w:tcPr/>
          <w:p>
            <w:pPr>
              <w:pStyle w:val="Compact"/>
              <w:jc w:val="right"/>
            </w:pPr>
            <w:r>
              <w:t xml:space="preserve">135</w:t>
            </w:r>
          </w:p>
        </w:tc>
        <w:tc>
          <w:tcPr/>
          <w:p>
            <w:pPr>
              <w:pStyle w:val="Compact"/>
              <w:jc w:val="right"/>
            </w:pPr>
            <w:r>
              <w:t xml:space="preserve">33</w:t>
            </w:r>
          </w:p>
        </w:tc>
        <w:tc>
          <w:tcPr/>
          <w:p>
            <w:pPr>
              <w:pStyle w:val="Compact"/>
              <w:jc w:val="right"/>
            </w:pPr>
            <w:r>
              <w:t xml:space="preserve">248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54</w:t>
            </w:r>
          </w:p>
        </w:tc>
        <w:tc>
          <w:tcPr/>
          <w:p>
            <w:pPr>
              <w:pStyle w:val="Compact"/>
              <w:jc w:val="right"/>
            </w:pPr>
            <w:r>
              <w:t xml:space="preserve">8</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97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6</w:t>
            </w:r>
          </w:p>
        </w:tc>
        <w:tc>
          <w:tcPr/>
          <w:p>
            <w:pPr>
              <w:pStyle w:val="Compact"/>
              <w:jc w:val="right"/>
            </w:pPr>
            <w:r>
              <w:t xml:space="preserve">96</w:t>
            </w:r>
          </w:p>
        </w:tc>
        <w:tc>
          <w:tcPr/>
          <w:p>
            <w:pPr>
              <w:pStyle w:val="Compact"/>
              <w:jc w:val="right"/>
            </w:pPr>
            <w:r>
              <w:t xml:space="preserve">175</w:t>
            </w:r>
          </w:p>
        </w:tc>
        <w:tc>
          <w:tcPr/>
          <w:p>
            <w:pPr>
              <w:pStyle w:val="Compact"/>
              <w:jc w:val="right"/>
            </w:pPr>
            <w:r>
              <w:t xml:space="preserve">21</w:t>
            </w:r>
          </w:p>
        </w:tc>
        <w:tc>
          <w:tcPr/>
          <w:p>
            <w:pPr>
              <w:pStyle w:val="Compact"/>
              <w:jc w:val="right"/>
            </w:pPr>
            <w:r>
              <w:t xml:space="preserve">298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0233</w:t>
            </w:r>
          </w:p>
        </w:tc>
        <w:tc>
          <w:tcPr/>
          <w:p>
            <w:pPr>
              <w:pStyle w:val="Compact"/>
              <w:jc w:val="left"/>
            </w:pPr>
            <w:r>
              <w:t xml:space="preserve">VIII</w:t>
            </w:r>
          </w:p>
        </w:tc>
        <w:tc>
          <w:tcPr/>
          <w:p>
            <w:pPr>
              <w:pStyle w:val="Compact"/>
              <w:jc w:val="left"/>
            </w:pPr>
            <w:r>
              <w:t xml:space="preserve">e</w:t>
            </w:r>
          </w:p>
        </w:tc>
        <w:tc>
          <w:tcPr/>
          <w:p>
            <w:pPr>
              <w:pStyle w:val="Compact"/>
              <w:jc w:val="right"/>
            </w:pPr>
            <w:r>
              <w:t xml:space="preserve">3</w:t>
            </w:r>
          </w:p>
        </w:tc>
        <w:tc>
          <w:tcPr/>
          <w:p>
            <w:pPr>
              <w:pStyle w:val="Compact"/>
              <w:jc w:val="right"/>
            </w:pPr>
            <w:r>
              <w:t xml:space="preserve">23</w:t>
            </w:r>
          </w:p>
        </w:tc>
        <w:tc>
          <w:tcPr/>
          <w:p>
            <w:pPr>
              <w:pStyle w:val="Compact"/>
              <w:jc w:val="right"/>
            </w:pPr>
            <w:r>
              <w:t xml:space="preserve">47</w:t>
            </w:r>
          </w:p>
        </w:tc>
        <w:tc>
          <w:tcPr/>
          <w:p>
            <w:pPr>
              <w:pStyle w:val="Compact"/>
              <w:jc w:val="right"/>
            </w:pPr>
            <w:r>
              <w:t xml:space="preserve">5</w:t>
            </w:r>
          </w:p>
        </w:tc>
        <w:tc>
          <w:tcPr/>
          <w:p>
            <w:pPr>
              <w:pStyle w:val="Compact"/>
              <w:jc w:val="right"/>
            </w:pPr>
            <w:r>
              <w:t xml:space="preserve">78</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78</w:t>
            </w:r>
          </w:p>
        </w:tc>
        <w:tc>
          <w:tcPr/>
          <w:p>
            <w:pPr>
              <w:pStyle w:val="Compact"/>
              <w:jc w:val="right"/>
            </w:pPr>
            <w:r>
              <w:t xml:space="preserve">156</w:t>
            </w:r>
          </w:p>
        </w:tc>
        <w:tc>
          <w:tcPr/>
          <w:p>
            <w:pPr>
              <w:pStyle w:val="Compact"/>
              <w:jc w:val="right"/>
            </w:pPr>
            <w:r>
              <w:t xml:space="preserve">11</w:t>
            </w:r>
          </w:p>
        </w:tc>
        <w:tc>
          <w:tcPr/>
          <w:p>
            <w:pPr>
              <w:pStyle w:val="Compact"/>
              <w:jc w:val="right"/>
            </w:pPr>
            <w:r>
              <w:t xml:space="preserve">245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010</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41</w:t>
            </w:r>
          </w:p>
        </w:tc>
        <w:tc>
          <w:tcPr/>
          <w:p>
            <w:pPr>
              <w:pStyle w:val="Compact"/>
              <w:jc w:val="right"/>
            </w:pPr>
            <w:r>
              <w:t xml:space="preserve">69</w:t>
            </w:r>
          </w:p>
        </w:tc>
        <w:tc>
          <w:tcPr/>
          <w:p>
            <w:pPr>
              <w:pStyle w:val="Compact"/>
              <w:jc w:val="right"/>
            </w:pPr>
            <w:r>
              <w:t xml:space="preserve">213</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011</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87</w:t>
            </w:r>
          </w:p>
        </w:tc>
        <w:tc>
          <w:tcPr/>
          <w:p>
            <w:pPr>
              <w:pStyle w:val="Compact"/>
              <w:jc w:val="right"/>
            </w:pPr>
            <w:r>
              <w:t xml:space="preserve">176</w:t>
            </w:r>
          </w:p>
        </w:tc>
        <w:tc>
          <w:tcPr/>
          <w:p>
            <w:pPr>
              <w:pStyle w:val="Compact"/>
              <w:jc w:val="right"/>
            </w:pPr>
            <w:r>
              <w:t xml:space="preserve">21</w:t>
            </w:r>
          </w:p>
        </w:tc>
        <w:tc>
          <w:tcPr/>
          <w:p>
            <w:pPr>
              <w:pStyle w:val="Compact"/>
              <w:jc w:val="right"/>
            </w:pPr>
            <w:r>
              <w:t xml:space="preserve">288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012</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43</w:t>
            </w:r>
          </w:p>
        </w:tc>
        <w:tc>
          <w:tcPr/>
          <w:p>
            <w:pPr>
              <w:pStyle w:val="Compact"/>
              <w:jc w:val="right"/>
            </w:pPr>
            <w:r>
              <w:t xml:space="preserve">66</w:t>
            </w:r>
          </w:p>
        </w:tc>
        <w:tc>
          <w:tcPr/>
          <w:p>
            <w:pPr>
              <w:pStyle w:val="Compact"/>
              <w:jc w:val="right"/>
            </w:pPr>
            <w:r>
              <w:t xml:space="preserve">212</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013</w:t>
            </w:r>
          </w:p>
        </w:tc>
        <w:tc>
          <w:tcPr/>
          <w:p>
            <w:pPr>
              <w:pStyle w:val="Compact"/>
              <w:jc w:val="left"/>
            </w:pPr>
            <w:r>
              <w:t xml:space="preserve">IX</w:t>
            </w:r>
          </w:p>
        </w:tc>
        <w:tc>
          <w:tcPr/>
          <w:p>
            <w:pPr>
              <w:pStyle w:val="Compact"/>
              <w:jc w:val="left"/>
            </w:pPr>
            <w:r>
              <w:t xml:space="preserve">e</w:t>
            </w:r>
          </w:p>
        </w:tc>
        <w:tc>
          <w:tcPr/>
          <w:p>
            <w:pPr>
              <w:pStyle w:val="Compact"/>
              <w:jc w:val="right"/>
            </w:pPr>
            <w:r>
              <w:t xml:space="preserve">2</w:t>
            </w:r>
          </w:p>
        </w:tc>
        <w:tc>
          <w:tcPr/>
          <w:p>
            <w:pPr>
              <w:pStyle w:val="Compact"/>
              <w:jc w:val="right"/>
            </w:pPr>
            <w:r>
              <w:t xml:space="preserve">82</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265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014</w:t>
            </w:r>
          </w:p>
        </w:tc>
        <w:tc>
          <w:tcPr/>
          <w:p>
            <w:pPr>
              <w:pStyle w:val="Compact"/>
              <w:jc w:val="left"/>
            </w:pPr>
            <w:r>
              <w:t xml:space="preserve">IX</w:t>
            </w:r>
          </w:p>
        </w:tc>
        <w:tc>
          <w:tcPr/>
          <w:p>
            <w:pPr>
              <w:pStyle w:val="Compact"/>
              <w:jc w:val="left"/>
            </w:pPr>
            <w:r>
              <w:t xml:space="preserve">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48</w:t>
            </w:r>
          </w:p>
        </w:tc>
        <w:tc>
          <w:tcPr/>
          <w:p>
            <w:pPr>
              <w:pStyle w:val="Compact"/>
              <w:jc w:val="right"/>
            </w:pPr>
            <w:r>
              <w:t xml:space="preserve">1</w:t>
            </w:r>
          </w:p>
        </w:tc>
        <w:tc>
          <w:tcPr/>
          <w:p>
            <w:pPr>
              <w:pStyle w:val="Compact"/>
              <w:jc w:val="right"/>
            </w:pPr>
            <w:r>
              <w:t xml:space="preserve">73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017</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107</w:t>
            </w:r>
          </w:p>
        </w:tc>
        <w:tc>
          <w:tcPr/>
          <w:p>
            <w:pPr>
              <w:pStyle w:val="Compact"/>
              <w:jc w:val="right"/>
            </w:pPr>
            <w:r>
              <w:t xml:space="preserve">197</w:t>
            </w:r>
          </w:p>
        </w:tc>
        <w:tc>
          <w:tcPr/>
          <w:p>
            <w:pPr>
              <w:pStyle w:val="Compact"/>
              <w:jc w:val="right"/>
            </w:pPr>
            <w:r>
              <w:t xml:space="preserve">15</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018</w:t>
            </w:r>
          </w:p>
        </w:tc>
        <w:tc>
          <w:tcPr/>
          <w:p>
            <w:pPr>
              <w:pStyle w:val="Compact"/>
              <w:jc w:val="left"/>
            </w:pPr>
            <w:r>
              <w:t xml:space="preserve">IX</w:t>
            </w:r>
          </w:p>
        </w:tc>
        <w:tc>
          <w:tcPr/>
          <w:p>
            <w:pPr>
              <w:pStyle w:val="Compact"/>
              <w:jc w:val="left"/>
            </w:pPr>
            <w:r>
              <w:t xml:space="preserve">p</w:t>
            </w:r>
          </w:p>
        </w:tc>
        <w:tc>
          <w:tcPr/>
          <w:p>
            <w:pPr>
              <w:pStyle w:val="Compact"/>
              <w:jc w:val="right"/>
            </w:pPr>
            <w:r>
              <w:t xml:space="preserve">8</w:t>
            </w:r>
          </w:p>
        </w:tc>
        <w:tc>
          <w:tcPr/>
          <w:p>
            <w:pPr>
              <w:pStyle w:val="Compact"/>
              <w:jc w:val="right"/>
            </w:pPr>
            <w:r>
              <w:t xml:space="preserve">32</w:t>
            </w:r>
          </w:p>
        </w:tc>
        <w:tc>
          <w:tcPr/>
          <w:p>
            <w:pPr>
              <w:pStyle w:val="Compact"/>
              <w:jc w:val="right"/>
            </w:pPr>
            <w:r>
              <w:t xml:space="preserve">154</w:t>
            </w:r>
          </w:p>
        </w:tc>
        <w:tc>
          <w:tcPr/>
          <w:p>
            <w:pPr>
              <w:pStyle w:val="Compact"/>
              <w:jc w:val="right"/>
            </w:pPr>
            <w:r>
              <w:t xml:space="preserve">8</w:t>
            </w:r>
          </w:p>
        </w:tc>
        <w:tc>
          <w:tcPr/>
          <w:p>
            <w:pPr>
              <w:pStyle w:val="Compact"/>
              <w:jc w:val="right"/>
            </w:pPr>
            <w:r>
              <w:t xml:space="preserve">202</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w:t>
            </w:r>
          </w:p>
        </w:tc>
        <w:tc>
          <w:tcPr/>
          <w:p>
            <w:pPr>
              <w:pStyle w:val="Compact"/>
              <w:jc w:val="right"/>
            </w:pPr>
            <w:r>
              <w:t xml:space="preserve">9</w:t>
            </w:r>
          </w:p>
        </w:tc>
        <w:tc>
          <w:tcPr/>
          <w:p>
            <w:pPr>
              <w:pStyle w:val="Compact"/>
              <w:jc w:val="right"/>
            </w:pPr>
            <w:r>
              <w:t xml:space="preserve">77</w:t>
            </w:r>
          </w:p>
        </w:tc>
        <w:tc>
          <w:tcPr/>
          <w:p>
            <w:pPr>
              <w:pStyle w:val="Compact"/>
              <w:jc w:val="right"/>
            </w:pPr>
            <w:r>
              <w:t xml:space="preserve">6</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020</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23</w:t>
            </w:r>
          </w:p>
        </w:tc>
        <w:tc>
          <w:tcPr/>
          <w:p>
            <w:pPr>
              <w:pStyle w:val="Compact"/>
              <w:jc w:val="right"/>
            </w:pPr>
            <w:r>
              <w:t xml:space="preserve">51</w:t>
            </w:r>
          </w:p>
        </w:tc>
        <w:tc>
          <w:tcPr/>
          <w:p>
            <w:pPr>
              <w:pStyle w:val="Compact"/>
              <w:jc w:val="right"/>
            </w:pPr>
            <w:r>
              <w:t xml:space="preserve">3</w:t>
            </w:r>
          </w:p>
        </w:tc>
        <w:tc>
          <w:tcPr/>
          <w:p>
            <w:pPr>
              <w:pStyle w:val="Compact"/>
              <w:jc w:val="right"/>
            </w:pPr>
            <w:r>
              <w:t xml:space="preserve">78</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5</w:t>
            </w:r>
          </w:p>
        </w:tc>
        <w:tc>
          <w:tcPr/>
          <w:p>
            <w:pPr>
              <w:pStyle w:val="Compact"/>
              <w:jc w:val="right"/>
            </w:pPr>
            <w:r>
              <w:t xml:space="preserve">44</w:t>
            </w:r>
          </w:p>
        </w:tc>
        <w:tc>
          <w:tcPr/>
          <w:p>
            <w:pPr>
              <w:pStyle w:val="Compact"/>
              <w:jc w:val="right"/>
            </w:pPr>
            <w:r>
              <w:t xml:space="preserve">188</w:t>
            </w:r>
          </w:p>
        </w:tc>
        <w:tc>
          <w:tcPr/>
          <w:p>
            <w:pPr>
              <w:pStyle w:val="Compact"/>
              <w:jc w:val="right"/>
            </w:pPr>
            <w:r>
              <w:t xml:space="preserve">4</w:t>
            </w:r>
          </w:p>
        </w:tc>
        <w:tc>
          <w:tcPr/>
          <w:p>
            <w:pPr>
              <w:pStyle w:val="Compact"/>
              <w:jc w:val="right"/>
            </w:pPr>
            <w:r>
              <w:t xml:space="preserve">241</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w:t>
            </w:r>
          </w:p>
        </w:tc>
        <w:tc>
          <w:tcPr/>
          <w:p>
            <w:pPr>
              <w:pStyle w:val="Compact"/>
              <w:jc w:val="right"/>
            </w:pPr>
            <w:r>
              <w:t xml:space="preserve">9</w:t>
            </w:r>
          </w:p>
        </w:tc>
        <w:tc>
          <w:tcPr/>
          <w:p>
            <w:pPr>
              <w:pStyle w:val="Compact"/>
              <w:jc w:val="right"/>
            </w:pPr>
            <w:r>
              <w:t xml:space="preserve">78</w:t>
            </w:r>
          </w:p>
        </w:tc>
        <w:tc>
          <w:tcPr/>
          <w:p>
            <w:pPr>
              <w:pStyle w:val="Compact"/>
              <w:jc w:val="right"/>
            </w:pPr>
            <w:r>
              <w:t xml:space="preserve">3</w:t>
            </w:r>
          </w:p>
        </w:tc>
        <w:tc>
          <w:tcPr/>
          <w:p>
            <w:pPr>
              <w:pStyle w:val="Compact"/>
              <w:jc w:val="right"/>
            </w:pPr>
            <w:r>
              <w:t xml:space="preserve">95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w:t>
            </w:r>
          </w:p>
        </w:tc>
        <w:tc>
          <w:tcPr/>
          <w:p>
            <w:pPr>
              <w:pStyle w:val="Compact"/>
              <w:jc w:val="left"/>
            </w:pPr>
            <w:r>
              <w:t xml:space="preserve">IX</w:t>
            </w:r>
          </w:p>
        </w:tc>
        <w:tc>
          <w:tcPr/>
          <w:p>
            <w:pPr>
              <w:pStyle w:val="Compact"/>
              <w:jc w:val="left"/>
            </w:pPr>
            <w:r>
              <w:t xml:space="preserve">e</w:t>
            </w:r>
          </w:p>
        </w:tc>
        <w:tc>
          <w:tcPr/>
          <w:p>
            <w:pPr>
              <w:pStyle w:val="Compact"/>
              <w:jc w:val="right"/>
            </w:pPr>
            <w:r>
              <w:t xml:space="preserve">7</w:t>
            </w:r>
          </w:p>
        </w:tc>
        <w:tc>
          <w:tcPr/>
          <w:p>
            <w:pPr>
              <w:pStyle w:val="Compact"/>
              <w:jc w:val="right"/>
            </w:pPr>
            <w:r>
              <w:t xml:space="preserve">106</w:t>
            </w:r>
          </w:p>
        </w:tc>
        <w:tc>
          <w:tcPr/>
          <w:p>
            <w:pPr>
              <w:pStyle w:val="Compact"/>
              <w:jc w:val="right"/>
            </w:pPr>
            <w:r>
              <w:t xml:space="preserve">202</w:t>
            </w:r>
          </w:p>
        </w:tc>
        <w:tc>
          <w:tcPr/>
          <w:p>
            <w:pPr>
              <w:pStyle w:val="Compact"/>
              <w:jc w:val="right"/>
            </w:pPr>
            <w:r>
              <w:t xml:space="preserve">12</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025</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29</w:t>
            </w:r>
          </w:p>
        </w:tc>
        <w:tc>
          <w:tcPr/>
          <w:p>
            <w:pPr>
              <w:pStyle w:val="Compact"/>
              <w:jc w:val="right"/>
            </w:pPr>
            <w:r>
              <w:t xml:space="preserve">70</w:t>
            </w:r>
          </w:p>
        </w:tc>
        <w:tc>
          <w:tcPr/>
          <w:p>
            <w:pPr>
              <w:pStyle w:val="Compact"/>
              <w:jc w:val="right"/>
            </w:pPr>
            <w:r>
              <w:t xml:space="preserve">0</w:t>
            </w:r>
          </w:p>
        </w:tc>
        <w:tc>
          <w:tcPr/>
          <w:p>
            <w:pPr>
              <w:pStyle w:val="Compact"/>
              <w:jc w:val="right"/>
            </w:pPr>
            <w:r>
              <w:t xml:space="preserve">100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236</w:t>
            </w:r>
          </w:p>
        </w:tc>
        <w:tc>
          <w:tcPr/>
          <w:p>
            <w:pPr>
              <w:pStyle w:val="Compact"/>
              <w:jc w:val="left"/>
            </w:pPr>
            <w:r>
              <w:t xml:space="preserve">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26</w:t>
            </w:r>
          </w:p>
        </w:tc>
        <w:tc>
          <w:tcPr/>
          <w:p>
            <w:pPr>
              <w:pStyle w:val="Compact"/>
              <w:jc w:val="right"/>
            </w:pPr>
            <w:r>
              <w:t xml:space="preserve">6</w:t>
            </w:r>
          </w:p>
        </w:tc>
        <w:tc>
          <w:tcPr/>
          <w:p>
            <w:pPr>
              <w:pStyle w:val="Compact"/>
              <w:jc w:val="right"/>
            </w:pPr>
            <w:r>
              <w:t xml:space="preserve">46</w:t>
            </w:r>
          </w:p>
        </w:tc>
        <w:tc>
          <w:tcPr/>
          <w:p>
            <w:pPr>
              <w:pStyle w:val="Compact"/>
              <w:jc w:val="right"/>
            </w:pPr>
            <w:r>
              <w:t xml:space="preserve">9</w:t>
            </w:r>
          </w:p>
        </w:tc>
        <w:tc>
          <w:tcPr/>
          <w:p>
            <w:pPr>
              <w:pStyle w:val="Compact"/>
              <w:jc w:val="right"/>
            </w:pPr>
            <w:r>
              <w:t xml:space="preserve">87</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030</w:t>
            </w:r>
          </w:p>
        </w:tc>
        <w:tc>
          <w:tcPr/>
          <w:p>
            <w:pPr>
              <w:pStyle w:val="Compact"/>
              <w:jc w:val="left"/>
            </w:pPr>
            <w:r>
              <w:t xml:space="preserve">IX</w:t>
            </w:r>
          </w:p>
        </w:tc>
        <w:tc>
          <w:tcPr/>
          <w:p>
            <w:pPr>
              <w:pStyle w:val="Compact"/>
              <w:jc w:val="left"/>
            </w:pPr>
            <w:r>
              <w:t xml:space="preserve">e</w:t>
            </w:r>
          </w:p>
        </w:tc>
        <w:tc>
          <w:tcPr/>
          <w:p>
            <w:pPr>
              <w:pStyle w:val="Compact"/>
              <w:jc w:val="right"/>
            </w:pPr>
            <w:r>
              <w:t xml:space="preserve">1</w:t>
            </w:r>
          </w:p>
        </w:tc>
        <w:tc>
          <w:tcPr/>
          <w:p>
            <w:pPr>
              <w:pStyle w:val="Compact"/>
              <w:jc w:val="right"/>
            </w:pPr>
            <w:r>
              <w:t xml:space="preserve">38</w:t>
            </w:r>
          </w:p>
        </w:tc>
        <w:tc>
          <w:tcPr/>
          <w:p>
            <w:pPr>
              <w:pStyle w:val="Compact"/>
              <w:jc w:val="right"/>
            </w:pPr>
            <w:r>
              <w:t xml:space="preserve">105</w:t>
            </w:r>
          </w:p>
        </w:tc>
        <w:tc>
          <w:tcPr/>
          <w:p>
            <w:pPr>
              <w:pStyle w:val="Compact"/>
              <w:jc w:val="right"/>
            </w:pPr>
            <w:r>
              <w:t xml:space="preserve">11</w:t>
            </w:r>
          </w:p>
        </w:tc>
        <w:tc>
          <w:tcPr/>
          <w:p>
            <w:pPr>
              <w:pStyle w:val="Compact"/>
              <w:jc w:val="right"/>
            </w:pPr>
            <w:r>
              <w:t xml:space="preserve">155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031</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101</w:t>
            </w:r>
          </w:p>
        </w:tc>
        <w:tc>
          <w:tcPr/>
          <w:p>
            <w:pPr>
              <w:pStyle w:val="Compact"/>
              <w:jc w:val="right"/>
            </w:pPr>
            <w:r>
              <w:t xml:space="preserve">192</w:t>
            </w:r>
          </w:p>
        </w:tc>
        <w:tc>
          <w:tcPr/>
          <w:p>
            <w:pPr>
              <w:pStyle w:val="Compact"/>
              <w:jc w:val="right"/>
            </w:pPr>
            <w:r>
              <w:t xml:space="preserve">17</w:t>
            </w:r>
          </w:p>
        </w:tc>
        <w:tc>
          <w:tcPr/>
          <w:p>
            <w:pPr>
              <w:pStyle w:val="Compact"/>
              <w:jc w:val="right"/>
            </w:pPr>
            <w:r>
              <w:t xml:space="preserve">318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034</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95</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297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037</w:t>
            </w:r>
          </w:p>
        </w:tc>
        <w:tc>
          <w:tcPr/>
          <w:p>
            <w:pPr>
              <w:pStyle w:val="Compact"/>
              <w:jc w:val="left"/>
            </w:pPr>
            <w:r>
              <w:t xml:space="preserve">IX</w:t>
            </w:r>
          </w:p>
        </w:tc>
        <w:tc>
          <w:tcPr/>
          <w:p>
            <w:pPr>
              <w:pStyle w:val="Compact"/>
              <w:jc w:val="left"/>
            </w:pPr>
            <w:r>
              <w:t xml:space="preserve">e</w:t>
            </w:r>
          </w:p>
        </w:tc>
        <w:tc>
          <w:tcPr/>
          <w:p>
            <w:pPr>
              <w:pStyle w:val="Compact"/>
              <w:jc w:val="right"/>
            </w:pPr>
            <w:r>
              <w:t xml:space="preserve">69</w:t>
            </w:r>
          </w:p>
        </w:tc>
        <w:tc>
          <w:tcPr/>
          <w:p>
            <w:pPr>
              <w:pStyle w:val="Compact"/>
              <w:jc w:val="right"/>
            </w:pPr>
            <w:r>
              <w:t xml:space="preserve">88</w:t>
            </w:r>
          </w:p>
        </w:tc>
        <w:tc>
          <w:tcPr/>
          <w:p>
            <w:pPr>
              <w:pStyle w:val="Compact"/>
              <w:jc w:val="right"/>
            </w:pPr>
            <w:r>
              <w:t xml:space="preserve">120</w:t>
            </w:r>
          </w:p>
        </w:tc>
        <w:tc>
          <w:tcPr/>
          <w:p>
            <w:pPr>
              <w:pStyle w:val="Compact"/>
              <w:jc w:val="right"/>
            </w:pPr>
            <w:r>
              <w:t xml:space="preserve">47</w:t>
            </w:r>
          </w:p>
        </w:tc>
        <w:tc>
          <w:tcPr/>
          <w:p>
            <w:pPr>
              <w:pStyle w:val="Compact"/>
              <w:jc w:val="right"/>
            </w:pPr>
            <w:r>
              <w:t xml:space="preserve">324</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038</w:t>
            </w:r>
          </w:p>
        </w:tc>
        <w:tc>
          <w:tcPr/>
          <w:p>
            <w:pPr>
              <w:pStyle w:val="Compact"/>
              <w:jc w:val="left"/>
            </w:pPr>
            <w:r>
              <w:t xml:space="preserve">IX</w:t>
            </w:r>
          </w:p>
        </w:tc>
        <w:tc>
          <w:tcPr/>
          <w:p>
            <w:pPr>
              <w:pStyle w:val="Compact"/>
              <w:jc w:val="left"/>
            </w:pPr>
            <w:r>
              <w:t xml:space="preserve">e</w:t>
            </w:r>
          </w:p>
        </w:tc>
        <w:tc>
          <w:tcPr/>
          <w:p>
            <w:pPr>
              <w:pStyle w:val="Compact"/>
              <w:jc w:val="right"/>
            </w:pPr>
            <w:r>
              <w:t xml:space="preserve">75</w:t>
            </w:r>
          </w:p>
        </w:tc>
        <w:tc>
          <w:tcPr/>
          <w:p>
            <w:pPr>
              <w:pStyle w:val="Compact"/>
              <w:jc w:val="right"/>
            </w:pPr>
            <w:r>
              <w:t xml:space="preserve">59</w:t>
            </w:r>
          </w:p>
        </w:tc>
        <w:tc>
          <w:tcPr/>
          <w:p>
            <w:pPr>
              <w:pStyle w:val="Compact"/>
              <w:jc w:val="right"/>
            </w:pPr>
            <w:r>
              <w:t xml:space="preserve">89</w:t>
            </w:r>
          </w:p>
        </w:tc>
        <w:tc>
          <w:tcPr/>
          <w:p>
            <w:pPr>
              <w:pStyle w:val="Compact"/>
              <w:jc w:val="right"/>
            </w:pPr>
            <w:r>
              <w:t xml:space="preserve">95</w:t>
            </w:r>
          </w:p>
        </w:tc>
        <w:tc>
          <w:tcPr/>
          <w:p>
            <w:pPr>
              <w:pStyle w:val="Compact"/>
              <w:jc w:val="right"/>
            </w:pPr>
            <w:r>
              <w:t xml:space="preserve">318</w:t>
            </w:r>
          </w:p>
        </w:tc>
        <w:tc>
          <w:tcPr/>
          <w:p>
            <w:pPr>
              <w:pStyle w:val="Compact"/>
              <w:jc w:val="left"/>
            </w:pPr>
            <w:r>
              <w:t xml:space="preserve">O-</w:t>
            </w:r>
          </w:p>
        </w:tc>
        <w:tc>
          <w:tcPr/>
          <w:p>
            <w:pPr>
              <w:pStyle w:val="Compact"/>
              <w:jc w:val="left"/>
            </w:pPr>
            <w:r>
              <w:t xml:space="preserve">II</w:t>
            </w:r>
          </w:p>
        </w:tc>
      </w:tr>
      <w:tr>
        <w:tc>
          <w:tcPr/>
          <w:p>
            <w:pPr>
              <w:pStyle w:val="Compact"/>
              <w:jc w:val="left"/>
            </w:pPr>
            <w:r>
              <w:t xml:space="preserve">039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10</w:t>
            </w:r>
          </w:p>
        </w:tc>
        <w:tc>
          <w:tcPr/>
          <w:p>
            <w:pPr>
              <w:pStyle w:val="Compact"/>
              <w:jc w:val="right"/>
            </w:pPr>
            <w:r>
              <w:t xml:space="preserve">41</w:t>
            </w:r>
          </w:p>
        </w:tc>
        <w:tc>
          <w:tcPr/>
          <w:p>
            <w:pPr>
              <w:pStyle w:val="Compact"/>
              <w:jc w:val="right"/>
            </w:pPr>
            <w:r>
              <w:t xml:space="preserve">2</w:t>
            </w:r>
          </w:p>
        </w:tc>
        <w:tc>
          <w:tcPr/>
          <w:p>
            <w:pPr>
              <w:pStyle w:val="Compact"/>
              <w:jc w:val="right"/>
            </w:pPr>
            <w:r>
              <w:t xml:space="preserve">53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041</w:t>
            </w:r>
          </w:p>
        </w:tc>
        <w:tc>
          <w:tcPr/>
          <w:p>
            <w:pPr>
              <w:pStyle w:val="Compact"/>
              <w:jc w:val="left"/>
            </w:pPr>
            <w:r>
              <w:t xml:space="preserve">IX</w:t>
            </w:r>
          </w:p>
        </w:tc>
        <w:tc>
          <w:tcPr/>
          <w:p>
            <w:pPr>
              <w:pStyle w:val="Compact"/>
              <w:jc w:val="left"/>
            </w:pPr>
            <w:r>
              <w:t xml:space="preserve">e</w:t>
            </w:r>
          </w:p>
        </w:tc>
        <w:tc>
          <w:tcPr/>
          <w:p>
            <w:pPr>
              <w:pStyle w:val="Compact"/>
              <w:jc w:val="right"/>
            </w:pPr>
            <w:r>
              <w:t xml:space="preserve">11</w:t>
            </w:r>
          </w:p>
        </w:tc>
        <w:tc>
          <w:tcPr/>
          <w:p>
            <w:pPr>
              <w:pStyle w:val="Compact"/>
              <w:jc w:val="right"/>
            </w:pPr>
            <w:r>
              <w:t xml:space="preserve">104</w:t>
            </w:r>
          </w:p>
        </w:tc>
        <w:tc>
          <w:tcPr/>
          <w:p>
            <w:pPr>
              <w:pStyle w:val="Compact"/>
              <w:jc w:val="right"/>
            </w:pPr>
            <w:r>
              <w:t xml:space="preserve">190</w:t>
            </w:r>
          </w:p>
        </w:tc>
        <w:tc>
          <w:tcPr/>
          <w:p>
            <w:pPr>
              <w:pStyle w:val="Compact"/>
              <w:jc w:val="right"/>
            </w:pPr>
            <w:r>
              <w:t xml:space="preserve">18</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045</w:t>
            </w:r>
          </w:p>
        </w:tc>
        <w:tc>
          <w:tcPr/>
          <w:p>
            <w:pPr>
              <w:pStyle w:val="Compact"/>
              <w:jc w:val="left"/>
            </w:pPr>
            <w:r>
              <w:t xml:space="preserve">IX</w:t>
            </w:r>
          </w:p>
        </w:tc>
        <w:tc>
          <w:tcPr/>
          <w:p>
            <w:pPr>
              <w:pStyle w:val="Compact"/>
              <w:jc w:val="left"/>
            </w:pPr>
            <w:r>
              <w:t xml:space="preserve">e</w:t>
            </w:r>
          </w:p>
        </w:tc>
        <w:tc>
          <w:tcPr/>
          <w:p>
            <w:pPr>
              <w:pStyle w:val="Compact"/>
              <w:jc w:val="right"/>
            </w:pPr>
            <w:r>
              <w:t xml:space="preserve">3</w:t>
            </w:r>
          </w:p>
        </w:tc>
        <w:tc>
          <w:tcPr/>
          <w:p>
            <w:pPr>
              <w:pStyle w:val="Compact"/>
              <w:jc w:val="right"/>
            </w:pPr>
            <w:r>
              <w:t xml:space="preserve">104</w:t>
            </w:r>
          </w:p>
        </w:tc>
        <w:tc>
          <w:tcPr/>
          <w:p>
            <w:pPr>
              <w:pStyle w:val="Compact"/>
              <w:jc w:val="right"/>
            </w:pPr>
            <w:r>
              <w:t xml:space="preserve">208</w:t>
            </w:r>
          </w:p>
        </w:tc>
        <w:tc>
          <w:tcPr/>
          <w:p>
            <w:pPr>
              <w:pStyle w:val="Compact"/>
              <w:jc w:val="right"/>
            </w:pPr>
            <w:r>
              <w:t xml:space="preserve">10</w:t>
            </w:r>
          </w:p>
        </w:tc>
        <w:tc>
          <w:tcPr/>
          <w:p>
            <w:pPr>
              <w:pStyle w:val="Compact"/>
              <w:jc w:val="right"/>
            </w:pPr>
            <w:r>
              <w:t xml:space="preserve">325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049</w:t>
            </w:r>
          </w:p>
        </w:tc>
        <w:tc>
          <w:tcPr/>
          <w:p>
            <w:pPr>
              <w:pStyle w:val="Compact"/>
              <w:jc w:val="left"/>
            </w:pPr>
            <w:r>
              <w:t xml:space="preserve">IX</w:t>
            </w:r>
          </w:p>
        </w:tc>
        <w:tc>
          <w:tcPr/>
          <w:p>
            <w:pPr>
              <w:pStyle w:val="Compact"/>
              <w:jc w:val="left"/>
            </w:pPr>
            <w:r>
              <w:t xml:space="preserve">a</w:t>
            </w:r>
          </w:p>
        </w:tc>
        <w:tc>
          <w:tcPr/>
          <w:p>
            <w:pPr>
              <w:pStyle w:val="Compact"/>
              <w:jc w:val="right"/>
            </w:pPr>
            <w:r>
              <w:t xml:space="preserve">3</w:t>
            </w:r>
          </w:p>
        </w:tc>
        <w:tc>
          <w:tcPr/>
          <w:p>
            <w:pPr>
              <w:pStyle w:val="Compact"/>
              <w:jc w:val="right"/>
            </w:pPr>
            <w:r>
              <w:t xml:space="preserve">29</w:t>
            </w:r>
          </w:p>
        </w:tc>
        <w:tc>
          <w:tcPr/>
          <w:p>
            <w:pPr>
              <w:pStyle w:val="Compact"/>
              <w:jc w:val="right"/>
            </w:pPr>
            <w:r>
              <w:t xml:space="preserve">69</w:t>
            </w:r>
          </w:p>
        </w:tc>
        <w:tc>
          <w:tcPr/>
          <w:p>
            <w:pPr>
              <w:pStyle w:val="Compact"/>
              <w:jc w:val="right"/>
            </w:pPr>
            <w:r>
              <w:t xml:space="preserve">3</w:t>
            </w:r>
          </w:p>
        </w:tc>
        <w:tc>
          <w:tcPr/>
          <w:p>
            <w:pPr>
              <w:pStyle w:val="Compact"/>
              <w:jc w:val="right"/>
            </w:pPr>
            <w:r>
              <w:t xml:space="preserve">104</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0</w:t>
            </w:r>
          </w:p>
        </w:tc>
        <w:tc>
          <w:tcPr/>
          <w:p>
            <w:pPr>
              <w:pStyle w:val="Compact"/>
              <w:jc w:val="right"/>
            </w:pPr>
            <w:r>
              <w:t xml:space="preserve">34</w:t>
            </w:r>
          </w:p>
        </w:tc>
        <w:tc>
          <w:tcPr/>
          <w:p>
            <w:pPr>
              <w:pStyle w:val="Compact"/>
              <w:jc w:val="right"/>
            </w:pPr>
            <w:r>
              <w:t xml:space="preserve">113</w:t>
            </w:r>
          </w:p>
        </w:tc>
        <w:tc>
          <w:tcPr/>
          <w:p>
            <w:pPr>
              <w:pStyle w:val="Compact"/>
              <w:jc w:val="right"/>
            </w:pPr>
            <w:r>
              <w:t xml:space="preserve">3</w:t>
            </w:r>
          </w:p>
        </w:tc>
        <w:tc>
          <w:tcPr/>
          <w:p>
            <w:pPr>
              <w:pStyle w:val="Compact"/>
              <w:jc w:val="right"/>
            </w:pPr>
            <w:r>
              <w:t xml:space="preserve">150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82</w:t>
            </w:r>
          </w:p>
        </w:tc>
        <w:tc>
          <w:tcPr/>
          <w:p>
            <w:pPr>
              <w:pStyle w:val="Compact"/>
              <w:jc w:val="right"/>
            </w:pPr>
            <w:r>
              <w:t xml:space="preserve">4</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063</w:t>
            </w:r>
          </w:p>
        </w:tc>
        <w:tc>
          <w:tcPr/>
          <w:p>
            <w:pPr>
              <w:pStyle w:val="Compact"/>
              <w:jc w:val="left"/>
            </w:pPr>
            <w:r>
              <w:t xml:space="preserve">IX</w:t>
            </w:r>
          </w:p>
        </w:tc>
        <w:tc>
          <w:tcPr/>
          <w:p>
            <w:pPr>
              <w:pStyle w:val="Compact"/>
              <w:jc w:val="left"/>
            </w:pPr>
            <w:r>
              <w:t xml:space="preserve">p</w:t>
            </w:r>
          </w:p>
        </w:tc>
        <w:tc>
          <w:tcPr/>
          <w:p>
            <w:pPr>
              <w:pStyle w:val="Compact"/>
              <w:jc w:val="right"/>
            </w:pPr>
            <w:r>
              <w:t xml:space="preserve">0</w:t>
            </w:r>
          </w:p>
        </w:tc>
        <w:tc>
          <w:tcPr/>
          <w:p>
            <w:pPr>
              <w:pStyle w:val="Compact"/>
              <w:jc w:val="right"/>
            </w:pPr>
            <w:r>
              <w:t xml:space="preserve">3</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0150</w:t>
            </w:r>
          </w:p>
        </w:tc>
        <w:tc>
          <w:tcPr/>
          <w:p>
            <w:pPr>
              <w:pStyle w:val="Compact"/>
              <w:jc w:val="left"/>
            </w:pPr>
            <w:r>
              <w:t xml:space="preserve">IX</w:t>
            </w:r>
          </w:p>
        </w:tc>
        <w:tc>
          <w:tcPr/>
          <w:p>
            <w:pPr>
              <w:pStyle w:val="Compact"/>
              <w:jc w:val="left"/>
            </w:pPr>
            <w:r>
              <w:t xml:space="preserve">p</w:t>
            </w:r>
          </w:p>
        </w:tc>
        <w:tc>
          <w:tcPr/>
          <w:p>
            <w:pPr>
              <w:pStyle w:val="Compact"/>
              <w:jc w:val="right"/>
            </w:pPr>
            <w:r>
              <w:t xml:space="preserve">65</w:t>
            </w:r>
          </w:p>
        </w:tc>
        <w:tc>
          <w:tcPr/>
          <w:p>
            <w:pPr>
              <w:pStyle w:val="Compact"/>
              <w:jc w:val="right"/>
            </w:pPr>
            <w:r>
              <w:t xml:space="preserve">34</w:t>
            </w:r>
          </w:p>
        </w:tc>
        <w:tc>
          <w:tcPr/>
          <w:p>
            <w:pPr>
              <w:pStyle w:val="Compact"/>
              <w:jc w:val="right"/>
            </w:pPr>
            <w:r>
              <w:t xml:space="preserve">101</w:t>
            </w:r>
          </w:p>
        </w:tc>
        <w:tc>
          <w:tcPr/>
          <w:p>
            <w:pPr>
              <w:pStyle w:val="Compact"/>
              <w:jc w:val="right"/>
            </w:pPr>
            <w:r>
              <w:t xml:space="preserve">23</w:t>
            </w:r>
          </w:p>
        </w:tc>
        <w:tc>
          <w:tcPr/>
          <w:p>
            <w:pPr>
              <w:pStyle w:val="Compact"/>
              <w:jc w:val="right"/>
            </w:pPr>
            <w:r>
              <w:t xml:space="preserve">223</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0151</w:t>
            </w:r>
          </w:p>
        </w:tc>
        <w:tc>
          <w:tcPr/>
          <w:p>
            <w:pPr>
              <w:pStyle w:val="Compact"/>
              <w:jc w:val="left"/>
            </w:pPr>
            <w:r>
              <w:t xml:space="preserve">IX</w:t>
            </w:r>
          </w:p>
        </w:tc>
        <w:tc>
          <w:tcPr/>
          <w:p>
            <w:pPr>
              <w:pStyle w:val="Compact"/>
              <w:jc w:val="left"/>
            </w:pPr>
            <w:r>
              <w:t xml:space="preserve">p</w:t>
            </w:r>
          </w:p>
        </w:tc>
        <w:tc>
          <w:tcPr/>
          <w:p>
            <w:pPr>
              <w:pStyle w:val="Compact"/>
              <w:jc w:val="right"/>
            </w:pPr>
            <w:r>
              <w:t xml:space="preserve">9</w:t>
            </w:r>
          </w:p>
        </w:tc>
        <w:tc>
          <w:tcPr/>
          <w:p>
            <w:pPr>
              <w:pStyle w:val="Compact"/>
              <w:jc w:val="right"/>
            </w:pPr>
            <w:r>
              <w:t xml:space="preserve">44</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234</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33</w:t>
            </w:r>
          </w:p>
        </w:tc>
        <w:tc>
          <w:tcPr/>
          <w:p>
            <w:pPr>
              <w:pStyle w:val="Compact"/>
              <w:jc w:val="left"/>
            </w:pPr>
            <w:r>
              <w:t xml:space="preserve">IX</w:t>
            </w:r>
          </w:p>
        </w:tc>
        <w:tc>
          <w:tcPr/>
          <w:p>
            <w:pPr>
              <w:pStyle w:val="Compact"/>
              <w:jc w:val="left"/>
            </w:pPr>
            <w:r>
              <w:t xml:space="preserve">e</w:t>
            </w:r>
          </w:p>
        </w:tc>
        <w:tc>
          <w:tcPr/>
          <w:p>
            <w:pPr>
              <w:pStyle w:val="Compact"/>
              <w:jc w:val="right"/>
            </w:pPr>
            <w:r>
              <w:t xml:space="preserve">57</w:t>
            </w:r>
          </w:p>
        </w:tc>
        <w:tc>
          <w:tcPr/>
          <w:p>
            <w:pPr>
              <w:pStyle w:val="Compact"/>
              <w:jc w:val="right"/>
            </w:pPr>
            <w:r>
              <w:t xml:space="preserve">73</w:t>
            </w:r>
          </w:p>
        </w:tc>
        <w:tc>
          <w:tcPr/>
          <w:p>
            <w:pPr>
              <w:pStyle w:val="Compact"/>
              <w:jc w:val="right"/>
            </w:pPr>
            <w:r>
              <w:t xml:space="preserve">54</w:t>
            </w:r>
          </w:p>
        </w:tc>
        <w:tc>
          <w:tcPr/>
          <w:p>
            <w:pPr>
              <w:pStyle w:val="Compact"/>
              <w:jc w:val="right"/>
            </w:pPr>
            <w:r>
              <w:t xml:space="preserve">44</w:t>
            </w:r>
          </w:p>
        </w:tc>
        <w:tc>
          <w:tcPr/>
          <w:p>
            <w:pPr>
              <w:pStyle w:val="Compact"/>
              <w:jc w:val="right"/>
            </w:pPr>
            <w:r>
              <w:t xml:space="preserve">228</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85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129</w:t>
            </w:r>
          </w:p>
        </w:tc>
        <w:tc>
          <w:tcPr/>
          <w:p>
            <w:pPr>
              <w:pStyle w:val="Compact"/>
              <w:jc w:val="right"/>
            </w:pPr>
            <w:r>
              <w:t xml:space="preserve">35</w:t>
            </w:r>
          </w:p>
        </w:tc>
        <w:tc>
          <w:tcPr/>
          <w:p>
            <w:pPr>
              <w:pStyle w:val="Compact"/>
              <w:jc w:val="right"/>
            </w:pPr>
            <w:r>
              <w:t xml:space="preserve">47</w:t>
            </w:r>
          </w:p>
        </w:tc>
        <w:tc>
          <w:tcPr/>
          <w:p>
            <w:pPr>
              <w:pStyle w:val="Compact"/>
              <w:jc w:val="right"/>
            </w:pPr>
            <w:r>
              <w:t xml:space="preserve">36</w:t>
            </w:r>
          </w:p>
        </w:tc>
        <w:tc>
          <w:tcPr/>
          <w:p>
            <w:pPr>
              <w:pStyle w:val="Compact"/>
              <w:jc w:val="right"/>
            </w:pPr>
            <w:r>
              <w:t xml:space="preserve">247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45</w:t>
            </w:r>
          </w:p>
        </w:tc>
        <w:tc>
          <w:tcPr/>
          <w:p>
            <w:pPr>
              <w:pStyle w:val="Compact"/>
              <w:jc w:val="right"/>
            </w:pPr>
            <w:r>
              <w:t xml:space="preserve">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83</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461</w:t>
            </w:r>
          </w:p>
        </w:tc>
        <w:tc>
          <w:tcPr/>
          <w:p>
            <w:pPr>
              <w:pStyle w:val="Compact"/>
              <w:jc w:val="left"/>
            </w:pPr>
            <w:r>
              <w:t xml:space="preserve">835</w:t>
            </w:r>
          </w:p>
        </w:tc>
        <w:tc>
          <w:tcPr/>
          <w:p>
            <w:pPr>
              <w:pStyle w:val="Compact"/>
              <w:jc w:val="left"/>
            </w:pPr>
            <w:r>
              <w:t xml:space="preserve">e</w:t>
            </w:r>
          </w:p>
        </w:tc>
        <w:tc>
          <w:tcPr/>
          <w:p>
            <w:pPr>
              <w:pStyle w:val="Compact"/>
              <w:jc w:val="right"/>
            </w:pPr>
            <w:r>
              <w:t xml:space="preserve">3</w:t>
            </w:r>
          </w:p>
        </w:tc>
        <w:tc>
          <w:tcPr/>
          <w:p>
            <w:pPr>
              <w:pStyle w:val="Compact"/>
              <w:jc w:val="right"/>
            </w:pPr>
            <w:r>
              <w:t xml:space="preserve">102</w:t>
            </w:r>
          </w:p>
        </w:tc>
        <w:tc>
          <w:tcPr/>
          <w:p>
            <w:pPr>
              <w:pStyle w:val="Compact"/>
              <w:jc w:val="right"/>
            </w:pPr>
            <w:r>
              <w:t xml:space="preserve">219</w:t>
            </w:r>
          </w:p>
        </w:tc>
        <w:tc>
          <w:tcPr/>
          <w:p>
            <w:pPr>
              <w:pStyle w:val="Compact"/>
              <w:jc w:val="right"/>
            </w:pPr>
            <w:r>
              <w:t xml:space="preserve">5</w:t>
            </w:r>
          </w:p>
        </w:tc>
        <w:tc>
          <w:tcPr/>
          <w:p>
            <w:pPr>
              <w:pStyle w:val="Compact"/>
              <w:jc w:val="right"/>
            </w:pPr>
            <w:r>
              <w:t xml:space="preserve">329</w:t>
            </w:r>
          </w:p>
        </w:tc>
        <w:tc>
          <w:tcPr/>
          <w:p>
            <w:pPr>
              <w:pStyle w:val="Compact"/>
              <w:jc w:val="left"/>
            </w:pPr>
            <w:r>
              <w:t xml:space="preserve">M++++</w:t>
            </w:r>
          </w:p>
        </w:tc>
        <w:tc>
          <w:tcPr/>
          <w:p>
            <w:pPr>
              <w:pStyle w:val="Compact"/>
              <w:jc w:val="left"/>
            </w:pPr>
            <w:r>
              <w:t xml:space="preserve">V</w:t>
            </w:r>
          </w:p>
        </w:tc>
      </w:tr>
    </w:tbl>
    <w:p>
      <w:pPr>
        <w:pStyle w:val="BodyText"/>
      </w:pPr>
      <w:r>
        <w:t xml:space="preserve">(Aland podaje</w:t>
      </w:r>
      <w:r>
        <w:t xml:space="preserve"> </w:t>
      </w:r>
      <w:r>
        <w:rPr>
          <w:bCs/>
          <w:b/>
        </w:rPr>
        <w:t xml:space="preserve">ap</w:t>
      </w:r>
      <w:r>
        <w:t xml:space="preserve">, lecz nie podaje liczb dla</w:t>
      </w:r>
      <w:r>
        <w:t xml:space="preserve"> </w:t>
      </w:r>
      <w:r>
        <w:rPr>
          <w:bCs/>
          <w:b/>
        </w:rPr>
        <w:t xml:space="preserve">a</w:t>
      </w:r>
      <w:r>
        <w:t xml:space="preserve">).</w:t>
      </w:r>
    </w:p>
    <w:p>
      <w:pPr>
        <w:pStyle w:val="BodyText"/>
      </w:pPr>
      <w:r>
        <w:t xml:space="preserve">Czego zatem możemy się nauczyć z tej tabeli? Być może dobrym punktem wyjścia jest korelacja między „Kat.” i „klasą” pod względem wartości, które każdy z nas przypisał konkretnym manuskryptom: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w:t>
            </w:r>
          </w:p>
        </w:tc>
        <w:tc>
          <w:tcPr/>
          <w:p>
            <w:pPr>
              <w:pStyle w:val="Compact"/>
              <w:jc w:val="left"/>
            </w:pPr>
            <w:r>
              <w:t xml:space="preserve">II</w:t>
            </w:r>
          </w:p>
        </w:tc>
        <w:tc>
          <w:tcPr/>
          <w:p>
            <w:pPr>
              <w:pStyle w:val="Compact"/>
              <w:jc w:val="left"/>
            </w:pPr>
            <w:r>
              <w:t xml:space="preserve">III</w:t>
            </w:r>
          </w:p>
        </w:tc>
        <w:tc>
          <w:tcPr/>
          <w:p>
            <w:pPr>
              <w:pStyle w:val="Compact"/>
              <w:jc w:val="left"/>
            </w:pPr>
            <w:r>
              <w:t xml:space="preserve">IV</w:t>
            </w:r>
          </w:p>
        </w:tc>
        <w:tc>
          <w:tcPr/>
          <w:p>
            <w:pPr>
              <w:pStyle w:val="Compact"/>
              <w:jc w:val="left"/>
            </w:pPr>
            <w:r>
              <w:t xml:space="preserve">V</w:t>
            </w:r>
          </w:p>
        </w:tc>
      </w:tr>
      <w:tr>
        <w:tc>
          <w:tcPr/>
          <w:p>
            <w:pPr>
              <w:pStyle w:val="Compact"/>
              <w:jc w:val="left"/>
            </w:pPr>
            <w:r>
              <w:t xml:space="preserve">E++</w:t>
            </w:r>
            <w:r>
              <w:t xml:space="preserve">E+</w:t>
            </w:r>
            <w:r>
              <w:t xml:space="preserve">E</w:t>
            </w:r>
          </w:p>
        </w:tc>
        <w:tc>
          <w:tcPr/>
          <w:p>
            <w:pPr>
              <w:pStyle w:val="Compact"/>
              <w:jc w:val="left"/>
            </w:pPr>
            <w:r>
              <w:t xml:space="preserve">E+++</w:t>
            </w:r>
            <w:r>
              <w:t xml:space="preserve">M-</w:t>
            </w:r>
            <w:r>
              <w:t xml:space="preserve">O-</w:t>
            </w:r>
            <w:r>
              <w:t xml:space="preserve">E+</w:t>
            </w:r>
            <w:r>
              <w:t xml:space="preserve">E</w:t>
            </w:r>
            <w:r>
              <w:t xml:space="preserve">E-</w:t>
            </w:r>
          </w:p>
        </w:tc>
        <w:tc>
          <w:tcPr/>
          <w:p>
            <w:pPr>
              <w:pStyle w:val="Compact"/>
              <w:jc w:val="left"/>
            </w:pPr>
            <w:r>
              <w:t xml:space="preserve">E+</w:t>
            </w:r>
            <w:r>
              <w:t xml:space="preserve">M++</w:t>
            </w:r>
            <w:r>
              <w:t xml:space="preserve">E</w:t>
            </w:r>
            <w:r>
              <w:t xml:space="preserve">M</w:t>
            </w:r>
            <w:r>
              <w:t xml:space="preserve">E-</w:t>
            </w:r>
            <w:r>
              <w:t xml:space="preserve">M-</w:t>
            </w:r>
            <w:r>
              <w:t xml:space="preserve">E/M</w:t>
            </w:r>
          </w:p>
        </w:tc>
        <w:tc>
          <w:tcPr/>
          <w:p>
            <w:pPr>
              <w:pStyle w:val="Compact"/>
              <w:jc w:val="left"/>
            </w:pPr>
            <w:r>
              <w:t xml:space="preserve">O-</w:t>
            </w:r>
          </w:p>
        </w:tc>
        <w:tc>
          <w:tcPr/>
          <w:p>
            <w:pPr>
              <w:pStyle w:val="Compact"/>
              <w:jc w:val="left"/>
            </w:pPr>
            <w:r>
              <w:t xml:space="preserve">M+++++</w:t>
            </w:r>
            <w:r>
              <w:t xml:space="preserve">M++++</w:t>
            </w:r>
            <w:r>
              <w:t xml:space="preserve">M+++</w:t>
            </w:r>
            <w:r>
              <w:t xml:space="preserve">M++</w:t>
            </w:r>
            <w:r>
              <w:t xml:space="preserve">M+</w:t>
            </w:r>
          </w:p>
        </w:tc>
      </w:tr>
    </w:tbl>
    <w:p>
      <w:pPr>
        <w:pStyle w:val="BodyText"/>
      </w:pPr>
      <w:r>
        <w:t xml:space="preserve">Kategorie I, IV i V są rozsądnie spójne, jak jednak mamy interpretować II i III? Jest to kłopotliwe, ponieważ w książce Alanda (s. 156–159) bardzo wiele manuskryptów wymieniono w III, a niemało w II. Pomocne może być sprawdzenie, ile manuskryptów albo części zawartości znajduje się na przecięciach obu parametrów:</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right"/>
            </w:pPr>
            <w:r>
              <w:t xml:space="preserve">I</w:t>
            </w:r>
          </w:p>
        </w:tc>
        <w:tc>
          <w:tcPr/>
          <w:p>
            <w:pPr>
              <w:pStyle w:val="Compact"/>
              <w:jc w:val="right"/>
            </w:pPr>
            <w:r>
              <w:t xml:space="preserve">II</w:t>
            </w:r>
          </w:p>
        </w:tc>
        <w:tc>
          <w:tcPr/>
          <w:p>
            <w:pPr>
              <w:pStyle w:val="Compact"/>
              <w:jc w:val="right"/>
            </w:pPr>
            <w:r>
              <w:t xml:space="preserve">III</w:t>
            </w:r>
          </w:p>
        </w:tc>
        <w:tc>
          <w:tcPr/>
          <w:p>
            <w:pPr>
              <w:pStyle w:val="Compact"/>
              <w:jc w:val="right"/>
            </w:pPr>
            <w:r>
              <w:t xml:space="preserve">IV</w:t>
            </w:r>
          </w:p>
        </w:tc>
        <w:tc>
          <w:tcPr/>
          <w:p>
            <w:pPr>
              <w:pStyle w:val="Compact"/>
              <w:jc w:val="right"/>
            </w:pPr>
            <w:r>
              <w:t xml:space="preserve">V</w:t>
            </w:r>
          </w:p>
        </w:tc>
        <w:tc>
          <w:tcPr/>
          <w:p>
            <w:pPr>
              <w:pStyle w:val="Compact"/>
              <w:jc w:val="right"/>
            </w:pPr>
            <w:r>
              <w:t xml:space="preserve">Łącznie</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E++</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w:t>
            </w:r>
          </w:p>
        </w:tc>
      </w:tr>
      <w:tr>
        <w:tc>
          <w:tcPr/>
          <w:p>
            <w:pPr>
              <w:pStyle w:val="Compact"/>
              <w:jc w:val="left"/>
            </w:pPr>
            <w:r>
              <w:t xml:space="preserve">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8</w:t>
            </w:r>
          </w:p>
        </w:tc>
      </w:tr>
      <w:tr>
        <w:tc>
          <w:tcPr/>
          <w:p>
            <w:pPr>
              <w:pStyle w:val="Compact"/>
              <w:jc w:val="left"/>
            </w:pPr>
            <w:r>
              <w:t xml:space="preserve">E</w:t>
            </w:r>
          </w:p>
        </w:tc>
        <w:tc>
          <w:tcPr/>
          <w:p>
            <w:pPr>
              <w:pStyle w:val="Compact"/>
              <w:jc w:val="right"/>
            </w:pPr>
            <w:r>
              <w:t xml:space="preserve">6</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13</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O-</w:t>
            </w: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3</w:t>
            </w:r>
          </w:p>
        </w:tc>
      </w:tr>
      <w:tr>
        <w:tc>
          <w:tcPr/>
          <w:p>
            <w:pPr>
              <w:pStyle w:val="Compact"/>
              <w:jc w:val="left"/>
            </w:pPr>
            <w:r>
              <w:t xml:space="preserve">E/M</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M-</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5</w:t>
            </w:r>
          </w:p>
        </w:tc>
        <w:tc>
          <w:tcPr/>
          <w:p>
            <w:pPr>
              <w:pStyle w:val="Compact"/>
            </w:pPr>
          </w:p>
        </w:tc>
        <w:tc>
          <w:tcPr/>
          <w:p>
            <w:pPr>
              <w:pStyle w:val="Compact"/>
            </w:pP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8</w:t>
            </w:r>
          </w:p>
        </w:tc>
        <w:tc>
          <w:tcPr/>
          <w:p>
            <w:pPr>
              <w:pStyle w:val="Compact"/>
              <w:jc w:val="right"/>
            </w:pPr>
            <w:r>
              <w:t xml:space="preserve">8</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r>
    </w:tbl>
    <w:p>
      <w:pPr>
        <w:pStyle w:val="BodyText"/>
      </w:pPr>
      <w:r>
        <w:t xml:space="preserve">0274 i 063 są fragmentaryczne, co przypuszczalnie odpowiada za ich wyjątkowe wyniki, odpowiednio E+++ i M+++++, gdyby były bardziej kompletne, każdy z nich prawdopodobnie spadłby o jeden poziom. Spośród 45 części M 31 osiąga wynik ponad 80%, a 9 jest „czystych” w ponad 95%. Powinno być możliwe odtworzenie większej części „bizantyjskiego” archetypu z dostateczną pewnością. Trzeba jednak zastanowić się, jak Aland doszedł do „egipskiej” normy w Ewangeliach, skoro najlepszy świadek egipski (z wyjątkiem fragmentarycznego 0274, który ma mniej niż 10% tekstu, lecz osiąga 90%), Kodeks B, ledwie przekracza 70%. (W</w:t>
      </w:r>
      <w:r>
        <w:t xml:space="preserve"> </w:t>
      </w:r>
      <w:r>
        <w:rPr>
          <w:iCs/>
          <w:i/>
        </w:rPr>
        <w:t xml:space="preserve">The Text</w:t>
      </w:r>
      <w:r>
        <w:t xml:space="preserve">, s. 95, Aland podaje podsumowanie dla P</w:t>
      </w:r>
      <w:r>
        <w:rPr>
          <w:vertAlign w:val="superscript"/>
        </w:rPr>
        <w:t xml:space="preserve">75</w:t>
      </w:r>
      <w:r>
        <w:t xml:space="preserve"> </w:t>
      </w:r>
      <w:r>
        <w:t xml:space="preserve">w Ewangelii Łukasza — osiąga on 77%). Co więcej, oprócz B i 0274 P</w:t>
      </w:r>
      <w:r>
        <w:rPr>
          <w:vertAlign w:val="superscript"/>
        </w:rPr>
        <w:t xml:space="preserve">75</w:t>
      </w:r>
      <w:r>
        <w:t xml:space="preserve"> </w:t>
      </w:r>
      <w:r>
        <w:t xml:space="preserve">i Z (oba również fragmentaryczne) są jedynymi greckimi manuskryptami, które osiągają w Ewangeliach choćby E+. Przypomina się wniosek E.C. Colwella po próbie odtworzenia „przeciętnego” albo średniego tekstu aleksandryjskiego dla pierwszego rozdziału Ewangelii Marka: „Wyniki te przekonująco pokazują, że każda próba odtworzenia archetypu typu tekstu Beta (aleksandryjskiego) na podstawie ilościowej jest skazana na niepowodzenie. Tak odtworzony tekst nie jest odtworzony, lecz skonstruowany, jest sztuczną jednostką, która nigdy nie istniała”.</w:t>
      </w:r>
      <w:r>
        <w:rPr>
          <w:rStyle w:val="FootnoteReference"/>
        </w:rPr>
        <w:footnoteReference w:id="570"/>
      </w:r>
    </w:p>
    <w:p>
      <w:pPr>
        <w:pStyle w:val="BodyText"/>
      </w:pPr>
      <w:r>
        <w:t xml:space="preserve">W przypadku pozostałych obszarów zawartości sytuacja nie jest wiele lepsza. Tylko P</w:t>
      </w:r>
      <w:r>
        <w:rPr>
          <w:vertAlign w:val="superscript"/>
        </w:rPr>
        <w:t xml:space="preserve">74</w:t>
      </w:r>
      <w:r>
        <w:t xml:space="preserve"> </w:t>
      </w:r>
      <w:r>
        <w:t xml:space="preserve">(86%), B (85%) i 81 (80%) mają ocenę E++ w</w:t>
      </w:r>
      <w:r>
        <w:t xml:space="preserve"> </w:t>
      </w:r>
      <w:r>
        <w:rPr>
          <w:bCs/>
          <w:b/>
        </w:rPr>
        <w:t xml:space="preserve">a</w:t>
      </w:r>
      <w:r>
        <w:t xml:space="preserve">, poza nimi jedynie A i Alef osiągają choćby E+. Kodeks B jest jedynym E++ (80%) w</w:t>
      </w:r>
      <w:r>
        <w:t xml:space="preserve"> </w:t>
      </w:r>
      <w:r>
        <w:rPr>
          <w:bCs/>
          <w:b/>
        </w:rPr>
        <w:t xml:space="preserve">p</w:t>
      </w:r>
      <w:r>
        <w:t xml:space="preserve">, a jedynie P</w:t>
      </w:r>
      <w:r>
        <w:rPr>
          <w:vertAlign w:val="superscript"/>
        </w:rPr>
        <w:t xml:space="preserve">46</w:t>
      </w:r>
      <w:r>
        <w:t xml:space="preserve">, A, C, 048 i 1739 osiągają E+. Poza 88% B w</w:t>
      </w:r>
      <w:r>
        <w:t xml:space="preserve"> </w:t>
      </w:r>
      <w:r>
        <w:rPr>
          <w:bCs/>
          <w:b/>
        </w:rPr>
        <w:t xml:space="preserve">c</w:t>
      </w:r>
      <w:r>
        <w:t xml:space="preserve">, jedynie P</w:t>
      </w:r>
      <w:r>
        <w:rPr>
          <w:vertAlign w:val="superscript"/>
        </w:rPr>
        <w:t xml:space="preserve">74</w:t>
      </w:r>
      <w:r>
        <w:t xml:space="preserve">, A i 1739 osiągają choćby E+. Jak Aland doszedł do swojej „egipskiej” normy w tych obszarach? Czy ta „norma” może być fikcją, jak twierdził Colwell?</w:t>
      </w:r>
    </w:p>
    <w:p>
      <w:pPr>
        <w:pStyle w:val="BodyText"/>
      </w:pPr>
      <w:r>
        <w:t xml:space="preserve">Kodeks A</w:t>
      </w:r>
      <w:r>
        <w:rPr>
          <w:vertAlign w:val="superscript"/>
        </w:rPr>
        <w:t xml:space="preserve">e</w:t>
      </w:r>
      <w:r>
        <w:t xml:space="preserve"> </w:t>
      </w:r>
      <w:r>
        <w:t xml:space="preserve">jest w 82% bizantyjski i musiał opierać się na egzemplarzu bizantyjskim, który przypuszczalnie należałby do IV wieku. Kodeks W w Ewangelii Mateusza także jest wyraźnie bizantyjski i musiał mieć egzemplarz bizantyjski. Rozproszenie odczytów bizantyjskich w B jest na tyle nieznaczne, że przypuszczam, iż można by przypisać je przypadkowi, lecz wyjaśnienie to raczej nie wystarczy w przypadku Alefa. Przynajmniej w</w:t>
      </w:r>
      <w:r>
        <w:t xml:space="preserve"> </w:t>
      </w:r>
      <w:r>
        <w:rPr>
          <w:bCs/>
          <w:b/>
        </w:rPr>
        <w:t xml:space="preserve">p</w:t>
      </w:r>
      <w:r>
        <w:t xml:space="preserve">, jeśli nie wszędzie, kopista Alefa musiał mieć dostęp do egzemplarza bizantyjskiego, który mógł należeć do III wieku. Asteriusz dostarcza jednak znacznie silniejszych dowodów: zmarł w 341 roku, przypuszczalnie więc pisał nieco wcześniej, wydaje się prawdopodobne, że jego manuskrypty pochodziłyby z III wieku — skoro wykazuje 90% preferencji dla odczytów bizantyjskich, manuskrypty te musiały być</w:t>
      </w:r>
      <w:r>
        <w:t xml:space="preserve"> </w:t>
      </w:r>
      <w:r>
        <w:rPr>
          <w:bCs/>
          <w:b/>
        </w:rPr>
        <w:t xml:space="preserve">bizantyjskie</w:t>
      </w:r>
      <w:r>
        <w:t xml:space="preserve">. (Przy użyciu mojej klasyfikacji Asteriusz byłby M++, a preferencja bizantyjska wynosiłaby 83%. W ujęciu procentowym Asteriusz jest równie silnie bizantyjski, jak B jest egipski). Adamantiusz zmarł w 300 roku, pisał więc wcześniej. Czy jego manuskrypty mogły pochodzić z pierwszej połowy III wieku? Skoro wykazuje 52% preferencji dla odczytów bizantyjskich (albo 39% przy użyciu mojej klasyfikacji), przynajmniej niektóre z jego manuskryptów były przypuszczalnie bizantyjskie. Zresztą P</w:t>
      </w:r>
      <w:r>
        <w:rPr>
          <w:vertAlign w:val="superscript"/>
        </w:rPr>
        <w:t xml:space="preserve">66</w:t>
      </w:r>
      <w:r>
        <w:t xml:space="preserve"> </w:t>
      </w:r>
      <w:r>
        <w:t xml:space="preserve">ma tak wiele odczytów bizantyjskich, że</w:t>
      </w:r>
      <w:r>
        <w:t xml:space="preserve"> </w:t>
      </w:r>
      <w:r>
        <w:rPr>
          <w:bCs/>
          <w:b/>
        </w:rPr>
        <w:t xml:space="preserve">jego</w:t>
      </w:r>
      <w:r>
        <w:t xml:space="preserve"> </w:t>
      </w:r>
      <w:r>
        <w:t xml:space="preserve">kopista musiał mieć dostęp do egzemplarza bizantyjskiego, który z konieczności należałby do</w:t>
      </w:r>
      <w:r>
        <w:t xml:space="preserve"> </w:t>
      </w:r>
      <w:r>
        <w:rPr>
          <w:bCs/>
          <w:b/>
        </w:rPr>
        <w:t xml:space="preserve">II</w:t>
      </w:r>
      <w:r>
        <w:t xml:space="preserve"> </w:t>
      </w:r>
      <w:r>
        <w:t xml:space="preserve">wieku! Okoliczność, że niektóre odczyty bizantyjskie w P</w:t>
      </w:r>
      <w:r>
        <w:rPr>
          <w:vertAlign w:val="superscript"/>
        </w:rPr>
        <w:t xml:space="preserve">66</w:t>
      </w:r>
      <w:r>
        <w:rPr>
          <w:iCs/>
          <w:i/>
          <w:vertAlign w:val="superscript"/>
        </w:rPr>
        <w:t xml:space="preserve">^ poprawiono na odczyty egipskie, a niektóre odczyty egipskie w P^66</w:t>
      </w:r>
      <w:r>
        <w:t xml:space="preserve"> </w:t>
      </w:r>
      <w:r>
        <w:t xml:space="preserve">poprawiono na odczyty bizantyjskie, zdaje się naprawdę wymagać, byśmy założyli egzemplarze obu typów — obie ręce wspólnie dostarczają jasnego dowodu, że tekst bizantyjski jako taki istniał w ich czasach.</w:t>
      </w:r>
      <w:r>
        <w:rPr>
          <w:rStyle w:val="FootnoteReference"/>
        </w:rPr>
        <w:footnoteReference w:id="571"/>
      </w:r>
    </w:p>
    <w:p>
      <w:pPr>
        <w:pStyle w:val="BodyText"/>
      </w:pPr>
      <w:r>
        <w:t xml:space="preserve">Wracając do powyższej tabeli uncjałów, w IV wieku E prowadzi we wszystkich czterech obszarach, chociaż w Alefie E jest słabe, a M zyskuje. Jeśli W pochodzi z IV wieku,</w:t>
      </w:r>
      <w:r>
        <w:rPr>
          <w:rStyle w:val="FootnoteReference"/>
        </w:rPr>
        <w:footnoteReference w:id="572"/>
      </w:r>
      <w:r>
        <w:t xml:space="preserve"> </w:t>
      </w:r>
      <w:r>
        <w:t xml:space="preserve">M zyskało jeszcze więcej. Przypominam czytelnikowi, że odnoszę się wyłącznie do informacji w tabeli podanej powyżej. W rzeczywistości zakładam, że IV wiek, podobnie jak wszystkie pozostałe, był zdominowany przez manuskrypty bizantyjskie. Ponieważ były dobrymi kopiami, używano ich i zużywano, przez co ginęły. Kopie takie jak B i Alef przetrwały, ponieważ były „odmienne”, a zatem nie były używane. Przez „używane” rozumiem zwykłe cele — dobrze wiem, że Alef ćwiczył pomysłowość pewnej liczby korektorów na przestrzeni wieków, lecz nie pozostawił potomków. W V wieku M przejmuje prowadzenie w</w:t>
      </w:r>
      <w:r>
        <w:t xml:space="preserve"> </w:t>
      </w:r>
      <w:r>
        <w:rPr>
          <w:bCs/>
          <w:b/>
        </w:rPr>
        <w:t xml:space="preserve">e</w:t>
      </w:r>
      <w:r>
        <w:t xml:space="preserve">, podczas gdy E zachowuje</w:t>
      </w:r>
      <w:r>
        <w:t xml:space="preserve"> </w:t>
      </w:r>
      <w:r>
        <w:rPr>
          <w:bCs/>
          <w:b/>
        </w:rPr>
        <w:t xml:space="preserve">apc</w:t>
      </w:r>
      <w:r>
        <w:t xml:space="preserve"> </w:t>
      </w:r>
      <w:r>
        <w:t xml:space="preserve">(dla niektórych zaskoczeniem może być, że C</w:t>
      </w:r>
      <w:r>
        <w:rPr>
          <w:vertAlign w:val="superscript"/>
        </w:rPr>
        <w:t xml:space="preserve">e</w:t>
      </w:r>
      <w:r>
        <w:t xml:space="preserve"> </w:t>
      </w:r>
      <w:r>
        <w:t xml:space="preserve">jest bardziej M niż czymkolwiek innym). W VI wieku M umacnia swoją pozycję w</w:t>
      </w:r>
      <w:r>
        <w:t xml:space="preserve"> </w:t>
      </w:r>
      <w:r>
        <w:rPr>
          <w:bCs/>
          <w:b/>
        </w:rPr>
        <w:t xml:space="preserve">e</w:t>
      </w:r>
      <w:r>
        <w:t xml:space="preserve"> </w:t>
      </w:r>
      <w:r>
        <w:t xml:space="preserve">i wkracza do</w:t>
      </w:r>
      <w:r>
        <w:t xml:space="preserve"> </w:t>
      </w:r>
      <w:r>
        <w:rPr>
          <w:bCs/>
          <w:b/>
        </w:rPr>
        <w:t xml:space="preserve">a</w:t>
      </w:r>
      <w:r>
        <w:t xml:space="preserve"> </w:t>
      </w:r>
      <w:r>
        <w:t xml:space="preserve">(dla niektórych zaskoczeniem może być, że D</w:t>
      </w:r>
      <w:r>
        <w:rPr>
          <w:vertAlign w:val="superscript"/>
        </w:rPr>
        <w:t xml:space="preserve">p</w:t>
      </w:r>
      <w:r>
        <w:t xml:space="preserve"> </w:t>
      </w:r>
      <w:r>
        <w:t xml:space="preserve">jest bardziej M niż czymkolwiek innym). Po V wieku, z jedynym wyjątkiem fragmentarycznego Z, wszyscy świadkowie „egipscy” są słabi — nawet „królowa rękopisów kursywnych”, 33, nie osiąga E+. Spośród uncjałów z X wieku, dla których Aland przedstawia podsumowanie, wszystkie są wyraźnie bizantyjskie (028, 033, 036, 056, 075 i 0124), z wyjątkiem 0243, który osiąga E.</w:t>
      </w:r>
      <w:r>
        <w:rPr>
          <w:rStyle w:val="FootnoteReference"/>
        </w:rPr>
        <w:footnoteReference w:id="573"/>
      </w:r>
    </w:p>
    <w:bookmarkEnd w:id="574"/>
    <w:bookmarkStart w:id="576" w:name="rękopisy-kursywne"/>
    <w:p>
      <w:pPr>
        <w:pStyle w:val="Heading3"/>
      </w:pPr>
      <w:r>
        <w:t xml:space="preserve">Rękopisy kursywne</w:t>
      </w:r>
    </w:p>
    <w:p>
      <w:pPr>
        <w:pStyle w:val="FirstParagraph"/>
      </w:pPr>
      <w:r>
        <w:t xml:space="preserve">Gdy przechodzimy do rękopisów kursywnych, Aland przedstawia podsumowania dla 150 wybranych na podstawie ich „niezależności” od normy bizantyjskiej. Wymienia 900 manuskryptów tylko według numerów, ponieważ „minuskuły te wykazują czysto albo przeważnie bizantyjski tekst”, a zatem uważa, że „wszystkie są nieistotne dla krytyki tekstu” (</w:t>
      </w:r>
      <w:r>
        <w:rPr>
          <w:iCs/>
          <w:i/>
        </w:rPr>
        <w:t xml:space="preserve">The Text</w:t>
      </w:r>
      <w:r>
        <w:t xml:space="preserve">, s. 155). Wykonanie dla 150 „niezależnych” rękopisów kursywnych tego, co zrobiłem dla uncjałów, zajęłoby zbyt wiele miejsca, dlatego podsumuję statystyki Alanda w formie tabeli, używając mojej klasyfikacji:</w:t>
      </w:r>
    </w:p>
    <w:tbl>
      <w:tblPr>
        <w:tblStyle w:val="Table"/>
        <w:tblW w:type="pct" w:w="5000"/>
        <w:tblLook w:firstRow="1" w:lastRow="0" w:firstColumn="0" w:lastColumn="0" w:noHBand="0" w:noVBand="0" w:val="0020"/>
        <w:jc w:val="start"/>
      </w:tblPr>
      <w:tblGrid>
        <w:gridCol w:w="465"/>
        <w:gridCol w:w="621"/>
        <w:gridCol w:w="621"/>
        <w:gridCol w:w="621"/>
        <w:gridCol w:w="621"/>
        <w:gridCol w:w="621"/>
        <w:gridCol w:w="621"/>
        <w:gridCol w:w="621"/>
        <w:gridCol w:w="621"/>
        <w:gridCol w:w="621"/>
        <w:gridCol w:w="621"/>
        <w:gridCol w:w="621"/>
        <w:gridCol w:w="621"/>
      </w:tblGrid>
      <w:tr>
        <w:trPr>
          <w:tblHeader w:val="true"/>
        </w:trPr>
        <w:tc>
          <w:tcPr/>
          <w:p>
            <w:pPr>
              <w:pStyle w:val="Compact"/>
              <w:jc w:val="left"/>
            </w:pPr>
            <w:r>
              <w:t xml:space="preserve">Zaw.</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r>
      <w:tr>
        <w:tc>
          <w:tcPr/>
          <w:p>
            <w:pPr>
              <w:pStyle w:val="Compact"/>
              <w:jc w:val="left"/>
            </w:pPr>
            <w:r>
              <w:t xml:space="preserve">e</w:t>
            </w:r>
          </w:p>
        </w:tc>
        <w:tc>
          <w:tcPr/>
          <w:p>
            <w:pPr>
              <w:pStyle w:val="Compact"/>
            </w:pPr>
          </w:p>
        </w:tc>
        <w:tc>
          <w:tcPr/>
          <w:p>
            <w:pPr>
              <w:pStyle w:val="Compact"/>
              <w:jc w:val="right"/>
            </w:pPr>
            <w:r>
              <w:t xml:space="preserve">10</w:t>
            </w:r>
          </w:p>
        </w:tc>
        <w:tc>
          <w:tcPr/>
          <w:p>
            <w:pPr>
              <w:pStyle w:val="Compact"/>
              <w:jc w:val="right"/>
            </w:pPr>
            <w:r>
              <w:t xml:space="preserve">23</w:t>
            </w:r>
          </w:p>
        </w:tc>
        <w:tc>
          <w:tcPr/>
          <w:p>
            <w:pPr>
              <w:pStyle w:val="Compact"/>
              <w:jc w:val="right"/>
            </w:pPr>
            <w:r>
              <w:t xml:space="preserve">12</w:t>
            </w:r>
          </w:p>
        </w:tc>
        <w:tc>
          <w:tcPr/>
          <w:p>
            <w:pPr>
              <w:pStyle w:val="Compact"/>
              <w:jc w:val="right"/>
            </w:pPr>
            <w:r>
              <w:t xml:space="preserve">6</w:t>
            </w:r>
          </w:p>
        </w:tc>
        <w:tc>
          <w:tcPr/>
          <w:p>
            <w:pPr>
              <w:pStyle w:val="Compact"/>
              <w:jc w:val="right"/>
            </w:pPr>
            <w:r>
              <w:t xml:space="preserve">16</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r>
      <w:tr>
        <w:tc>
          <w:tcPr/>
          <w:p>
            <w:pPr>
              <w:pStyle w:val="Compact"/>
              <w:jc w:val="left"/>
            </w:pPr>
            <w:r>
              <w:t xml:space="preserve">a</w:t>
            </w:r>
          </w:p>
        </w:tc>
        <w:tc>
          <w:tcPr/>
          <w:p>
            <w:pPr>
              <w:pStyle w:val="Compact"/>
            </w:pPr>
          </w:p>
        </w:tc>
        <w:tc>
          <w:tcPr/>
          <w:p>
            <w:pPr>
              <w:pStyle w:val="Compact"/>
              <w:jc w:val="right"/>
            </w:pPr>
            <w:r>
              <w:t xml:space="preserve">12</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r>
      <w:tr>
        <w:tc>
          <w:tcPr/>
          <w:p>
            <w:pPr>
              <w:pStyle w:val="Compact"/>
              <w:jc w:val="left"/>
            </w:pPr>
            <w:r>
              <w:t xml:space="preserve">p</w:t>
            </w:r>
          </w:p>
        </w:tc>
        <w:tc>
          <w:tcPr/>
          <w:p>
            <w:pPr>
              <w:pStyle w:val="Compact"/>
              <w:jc w:val="right"/>
            </w:pPr>
            <w:r>
              <w:t xml:space="preserve">1</w:t>
            </w:r>
          </w:p>
        </w:tc>
        <w:tc>
          <w:tcPr/>
          <w:p>
            <w:pPr>
              <w:pStyle w:val="Compact"/>
              <w:jc w:val="right"/>
            </w:pPr>
            <w:r>
              <w:t xml:space="preserve">25</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28</w:t>
            </w:r>
          </w:p>
        </w:tc>
        <w:tc>
          <w:tcPr/>
          <w:p>
            <w:pPr>
              <w:pStyle w:val="Compact"/>
              <w:jc w:val="right"/>
            </w:pPr>
            <w:r>
              <w:t xml:space="preserve">19</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r>
      <w:tr>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18</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w:t>
            </w:r>
          </w:p>
        </w:tc>
        <w:tc>
          <w:tcPr/>
          <w:p>
            <w:pPr>
              <w:pStyle w:val="Compact"/>
            </w:pPr>
          </w:p>
        </w:tc>
      </w:tr>
      <w:tr>
        <w:tc>
          <w:tcPr/>
          <w:p>
            <w:pPr>
              <w:pStyle w:val="Compact"/>
              <w:jc w:val="left"/>
            </w:pPr>
            <w:r>
              <w:t xml:space="preserve">łącznie</w:t>
            </w:r>
          </w:p>
        </w:tc>
        <w:tc>
          <w:tcPr/>
          <w:p>
            <w:pPr>
              <w:pStyle w:val="Compact"/>
              <w:jc w:val="right"/>
            </w:pPr>
            <w:r>
              <w:t xml:space="preserve">2</w:t>
            </w:r>
          </w:p>
        </w:tc>
        <w:tc>
          <w:tcPr/>
          <w:p>
            <w:pPr>
              <w:pStyle w:val="Compact"/>
              <w:jc w:val="right"/>
            </w:pPr>
            <w:r>
              <w:t xml:space="preserve">56</w:t>
            </w:r>
          </w:p>
        </w:tc>
        <w:tc>
          <w:tcPr/>
          <w:p>
            <w:pPr>
              <w:pStyle w:val="Compact"/>
              <w:jc w:val="right"/>
            </w:pPr>
            <w:r>
              <w:t xml:space="preserve">73</w:t>
            </w:r>
          </w:p>
        </w:tc>
        <w:tc>
          <w:tcPr/>
          <w:p>
            <w:pPr>
              <w:pStyle w:val="Compact"/>
              <w:jc w:val="right"/>
            </w:pPr>
            <w:r>
              <w:t xml:space="preserve">58</w:t>
            </w:r>
          </w:p>
        </w:tc>
        <w:tc>
          <w:tcPr/>
          <w:p>
            <w:pPr>
              <w:pStyle w:val="Compact"/>
              <w:jc w:val="right"/>
            </w:pPr>
            <w:r>
              <w:t xml:space="preserve">85</w:t>
            </w:r>
          </w:p>
        </w:tc>
        <w:tc>
          <w:tcPr/>
          <w:p>
            <w:pPr>
              <w:pStyle w:val="Compact"/>
              <w:jc w:val="right"/>
            </w:pPr>
            <w:r>
              <w:t xml:space="preserve">70</w:t>
            </w:r>
          </w:p>
        </w:tc>
        <w:tc>
          <w:tcPr/>
          <w:p>
            <w:pPr>
              <w:pStyle w:val="Compact"/>
              <w:jc w:val="right"/>
            </w:pPr>
            <w:r>
              <w:t xml:space="preserve">27</w:t>
            </w:r>
          </w:p>
        </w:tc>
        <w:tc>
          <w:tcPr/>
          <w:p>
            <w:pPr>
              <w:pStyle w:val="Compact"/>
              <w:jc w:val="right"/>
            </w:pPr>
            <w:r>
              <w:t xml:space="preserve">2</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2</w:t>
            </w:r>
          </w:p>
        </w:tc>
        <w:tc>
          <w:tcPr/>
          <w:p>
            <w:pPr>
              <w:pStyle w:val="Compact"/>
              <w:jc w:val="right"/>
            </w:pPr>
            <w:r>
              <w:t xml:space="preserve">1</w:t>
            </w:r>
          </w:p>
        </w:tc>
      </w:tr>
    </w:tbl>
    <w:p>
      <w:pPr>
        <w:pStyle w:val="BodyText"/>
      </w:pPr>
      <w:r>
        <w:t xml:space="preserve">Nawet wśród tych „niezależnych” rękopisów kursywnych istnieją dwie części zawartości, które w rzeczywistości osiągają stuprocentowy wynik bizantyjski! (Wyobraź sobie tylko, ile więcej musi ich być wśród 900 tak bizantyjskich, że Aland je zignorował). Najlepszym przedstawicielem egipskim jest 81 w Dziejach Apostolskich, osiągający równe 80%. 1739 osiąga 70% (E+) w</w:t>
      </w:r>
      <w:r>
        <w:t xml:space="preserve"> </w:t>
      </w:r>
      <w:r>
        <w:rPr>
          <w:bCs/>
          <w:b/>
        </w:rPr>
        <w:t xml:space="preserve">c</w:t>
      </w:r>
      <w:r>
        <w:t xml:space="preserve"> </w:t>
      </w:r>
      <w:r>
        <w:t xml:space="preserve">i 68% (E+) w</w:t>
      </w:r>
      <w:r>
        <w:t xml:space="preserve"> </w:t>
      </w:r>
      <w:r>
        <w:rPr>
          <w:bCs/>
          <w:b/>
        </w:rPr>
        <w:t xml:space="preserve">p</w:t>
      </w:r>
      <w:r>
        <w:t xml:space="preserve">. Są to jedyne trzy części, które nazwałbym „wyraźnie egipskimi”. Istnieje szesnaście części osiągających wynik między 50 a 66% (E). Zestawiając M do M+++++ z E do E++, otrzymujemy 344 do 19, i to wśród „niezależnych” minuskułów. Jeśli dodamy 900 „przeważnie bizantyjskich” manuskryptów, z których każdy będzie miał średnio ponad dwie części zawartości, rzeczywisty stosunek znacznie przekracza 100 do jednego. Zakładam, że niemal wszystkie spośród tych 900 osiągną co najmniej M++, a większość bez wątpienia osiągnie M+++ albo więcej. Gdybyśmy obliczyli tylko części osiągające co najmniej 80%, stosunek bizantyjskich do egipskich wynosiłby raczej</w:t>
      </w:r>
      <w:r>
        <w:t xml:space="preserve"> </w:t>
      </w:r>
      <w:r>
        <w:rPr>
          <w:bCs/>
          <w:b/>
        </w:rPr>
        <w:t xml:space="preserve">1000</w:t>
      </w:r>
      <w:r>
        <w:t xml:space="preserve"> </w:t>
      </w:r>
      <w:r>
        <w:t xml:space="preserve">do jednego — manuskrypty, które zostały sklasyfikowane na podstawie „kolacjonowania testowego” Alanda, jak podano w jego książce, stanowią być może 40% ogółu (z wyłączeniem lekcjonarzy), możemy jednak rozsądnie założyć, że większość „niezależnych” została już rozpoznana i przedstawiona. Wynika z tego, że pozostałe manuskrypty, co najmniej 1500, mogą tylko zwiększyć bizantyjską stronę stosunku. Jeśli tekst bizantyjski jest „najgorszy”, to na przestrzeni stuleci kopiowania manuskryptów Kościół masowo się mylił!</w:t>
      </w:r>
    </w:p>
    <w:p>
      <w:pPr>
        <w:pStyle w:val="BodyText"/>
      </w:pPr>
      <w:r>
        <w:t xml:space="preserve">Manuskrypty omówione w książce Alanda (wydanie pierwsze) odzwierciedlają kolacjonowanie przeprowadzone w jego Instytucie do 1981 roku. Od tamtego czasu bez wątpienia skolacjonowano znacznie więcej, lecz ogólne proporcje prawdopodobnie nie zmienią się znacząco. Rozważmy badanie przeprowadzone przez Frederika Wissego. Skolacjonował i porównał</w:t>
      </w:r>
      <w:r>
        <w:t xml:space="preserve"> </w:t>
      </w:r>
      <w:r>
        <w:rPr>
          <w:bCs/>
          <w:b/>
        </w:rPr>
        <w:t xml:space="preserve">1386</w:t>
      </w:r>
      <w:r>
        <w:t xml:space="preserve"> </w:t>
      </w:r>
      <w:r>
        <w:t xml:space="preserve">manuskryptów w rozdziałach 1, 10 i 20 Ewangelii Łukasza i znalazł tylko cztery uncjały (spośród 34) i cztery rękopisy kursywne (spośród 1352), które wykazywały egipski typ tekstu, a ponadto kolejne dwa z każdego rodzaju, które były egipskie w jednym z trzech rozdziałów.</w:t>
      </w:r>
      <w:r>
        <w:rPr>
          <w:rStyle w:val="FootnoteReference"/>
        </w:rPr>
        <w:footnoteReference w:id="575"/>
      </w:r>
    </w:p>
    <w:bookmarkEnd w:id="576"/>
    <w:bookmarkStart w:id="581" w:name="uwagi-końcowe-1"/>
    <w:p>
      <w:pPr>
        <w:pStyle w:val="Heading3"/>
      </w:pPr>
      <w:r>
        <w:t xml:space="preserve">Uwagi końcowe</w:t>
      </w:r>
    </w:p>
    <w:p>
      <w:pPr>
        <w:pStyle w:val="FirstParagraph"/>
      </w:pPr>
      <w:r>
        <w:t xml:space="preserve">Omówienie przekazu tekstu Nowego Testamentu w książce Alanda jest przeniknięte założeniem, że tekst bizantyjski był wtórnym rozwinięciem, które stopniowo skaziło czysty tekst egipski („aleksandryjski”).</w:t>
      </w:r>
      <w:r>
        <w:rPr>
          <w:rStyle w:val="FootnoteReference"/>
        </w:rPr>
        <w:footnoteReference w:id="577"/>
      </w:r>
      <w:r>
        <w:t xml:space="preserve"> </w:t>
      </w:r>
      <w:r>
        <w:t xml:space="preserve">Główni „aleksandryjscy” świadkowie, B, A (z wyjątkiem</w:t>
      </w:r>
      <w:r>
        <w:t xml:space="preserve"> </w:t>
      </w:r>
      <w:r>
        <w:rPr>
          <w:bCs/>
          <w:b/>
        </w:rPr>
        <w:t xml:space="preserve">e</w:t>
      </w:r>
      <w:r>
        <w:t xml:space="preserve">) i ℵ (</w:t>
      </w:r>
      <w:r>
        <w:rPr>
          <w:iCs/>
          <w:i/>
        </w:rPr>
        <w:t xml:space="preserve">The Text</w:t>
      </w:r>
      <w:r>
        <w:t xml:space="preserve">, s. 107), nieustannie i znacząco nie zgadzają się jednak między sobą, do tego stopnia, że nie istnieje obiektywny sposób odtworzenia archetypu. 150 lat wcześniej obraz jest taki sam, P</w:t>
      </w:r>
      <w:r>
        <w:rPr>
          <w:vertAlign w:val="superscript"/>
        </w:rPr>
        <w:t xml:space="preserve">45</w:t>
      </w:r>
      <w:r>
        <w:t xml:space="preserve">, P</w:t>
      </w:r>
      <w:r>
        <w:rPr>
          <w:vertAlign w:val="superscript"/>
        </w:rPr>
        <w:t xml:space="preserve">66</w:t>
      </w:r>
      <w:r>
        <w:t xml:space="preserve"> </w:t>
      </w:r>
      <w:r>
        <w:t xml:space="preserve">i P</w:t>
      </w:r>
      <w:r>
        <w:rPr>
          <w:vertAlign w:val="superscript"/>
        </w:rPr>
        <w:t xml:space="preserve">75</w:t>
      </w:r>
      <w:r>
        <w:t xml:space="preserve"> </w:t>
      </w:r>
      <w:r>
        <w:t xml:space="preserve">są całkiem odmienne i nie odzwierciedlają jednej tradycji. W roku 200 po Chrystusie „nie było króla w (Egipcie), każdy czynił to, co było słuszne w jego oczach”, a przynajmniej tak się wydaje. Co jednak, gdybyśmy rozważyli hipotezę, że tradycja bizantyjska jest najstarsza, a manuskrypty „zachodnie” i „aleksandryjskie” reprezentują rozmaite zaburzenia na obrzeżach głównego nurtu przekazu? Czy nie nadawałoby to zachowanym dowodom więcej sensu? Nie byłoby wówczas żadnych archetypów „zachodnich” ani „egipskich”, tylko rozmaite źródła skażenia, które działały tak przypadkowo, że każdy zachowany manuskrypt „zachodni” albo „egipski” ma inną „mozaikę”. Dla kontrastu rzeczywiście istniałby archetyp „bizantyjski”, który odzwierciedlałby oryginał. Przeciętny tekst zachowanych manuskryptów poprawia się z wieku na wiek, przy czym XIV jest najlepszy, ponieważ najgorszych manuskryptów nie kopiowano ani nie zużywano wskutek używania, podczas gdy dobre były używane i kopiowane, a po zużyciu wyrzucane.</w:t>
      </w:r>
    </w:p>
    <w:p>
      <w:pPr>
        <w:pStyle w:val="BodyText"/>
      </w:pPr>
      <w:r>
        <w:t xml:space="preserve">Ci, którzy katalogują manuskrypty Nowego Testamentu, informują nas, że pod względem zachowanych manuskryptów prowadzą wieki XII i XIII, po których następują w tej kolejności XIV, XI, XV, XVI i X. Manuskryptów z XIII wieku jest ponad cztery razy więcej niż z X, lecz greka koine była oczywiście w większym stopniu żywym językiem w X wieku niż w XIII, istniałoby więc większe zapotrzebowanie, a tym samym większa podaż. Innymi słowy, wiele setek naprawdę czystych manuskryptów z X wieku zginęło. Przetrwał wyższy odsetek naprawdę dobrych manuskryptów sporządzonych w XIV wieku niż tych sporządzonych w XI, i tak dalej. Dlatego istnieje wzrastający poziom zgodności wśród manuskryptów bizantyjskich, przy czym w XIV wieku odsetek zgodności jest wyższy niż w X. Gdybyśmy jednak żyli w X wieku i przeprowadzili szerokie badanie manuskryptów, znaleźlibyśmy niemal taki sam poziom zgodności (być może 98%). To samo zachodzi, gdybyśmy żyli w VIII, VI, IV albo II wieku. Innymi słowy, ZACHOWANE MANUSKRYPTY Z PIERWSZYCH DZIESIĘCIU STULECI NIE SĄ REPREZENTATYWNE DLA RZECZYWISTEGO STANU RZECZY W TAMTYM CZASIE.</w:t>
      </w:r>
      <w:r>
        <w:rPr>
          <w:rStyle w:val="FootnoteReference"/>
        </w:rPr>
        <w:footnoteReference w:id="578"/>
      </w:r>
    </w:p>
    <w:p>
      <w:pPr>
        <w:pStyle w:val="BodyText"/>
      </w:pPr>
      <w:r>
        <w:t xml:space="preserve">Aland zdaje się przyznawać, że przez stulecia historii Kościoła tekst bizantyjski uznawano za „tekst Kościoła”, a początek tego stanu rzeczy wywodzi od Lucjana.</w:t>
      </w:r>
      <w:r>
        <w:rPr>
          <w:rStyle w:val="FootnoteReference"/>
        </w:rPr>
        <w:footnoteReference w:id="579"/>
      </w:r>
      <w:r>
        <w:t xml:space="preserve"> </w:t>
      </w:r>
      <w:r>
        <w:t xml:space="preserve">Wielokrotnie wspomina o „szkole z Antiochii/w Antiochii” i o Azji Mniejszej. Wszystko to jest bardzo interesujące, ponieważ w swojej książce zgadza się z Adolfem Harnackiem, że „około roku 180 największe skupienie kościołów znajdowało się w Azji Mniejszej i wzdłuż egejskiego wybrzeża Grecji”.</w:t>
      </w:r>
      <w:r>
        <w:rPr>
          <w:rStyle w:val="FootnoteReference"/>
        </w:rPr>
        <w:footnoteReference w:id="580"/>
      </w:r>
      <w:r>
        <w:t xml:space="preserve"> </w:t>
      </w:r>
      <w:r>
        <w:t xml:space="preserve">Jest to obszar, na którym greka była językiem ojczystym i gdzie nadal jej używano. Jest to również obszar, który na początku posiadał większość Autografów. Aland kontynuuje jednak: „Nawet około roku 325 po Chrystusie sytuacja nadal była w znacznej mierze niezmieniona. Azja Mniejsza nadal była sercem Kościoła”. „Sercem Kościoła” — kto zatem byłby w lepszym położeniu, by rozpoznać poprawny tekst Nowego Testamentu? Kto mógłby „sprzedać” sfabrykowany tekst w Azji Mniejszej na początku IV wieku? Twierdzę, że tekst bizantyjski dominował w historii przekazu, ponieważ kościoły w Azji Mniejszej za niego ręczyły. Czyniły tak od samego początku, ponieważ wiedziały, że jest prawdziwym tekstem, otrzymawszy go od Apostołów. Tekst Większościowy jest tym, czym jest, właśnie dlatego, że zawsze był</w:t>
      </w:r>
      <w:r>
        <w:t xml:space="preserve"> </w:t>
      </w:r>
      <w:r>
        <w:rPr>
          <w:bCs/>
          <w:b/>
        </w:rPr>
        <w:t xml:space="preserve">Tekstem Kościoła</w:t>
      </w:r>
      <w:r>
        <w:t xml:space="preserve">.</w:t>
      </w:r>
    </w:p>
    <w:bookmarkEnd w:id="581"/>
    <w:bookmarkEnd w:id="582"/>
    <w:bookmarkEnd w:id="5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Pamiętasz Kartezjusza? „Myślę, więc jestem”.</w:t>
      </w:r>
    </w:p>
  </w:footnote>
  <w:footnote w:id="209">
    <w:p>
      <w:pPr>
        <w:pStyle w:val="FootnoteText"/>
      </w:pPr>
      <w:r>
        <w:rPr>
          <w:rStyle w:val="FootnoteReference"/>
        </w:rPr>
        <w:footnoteRef/>
      </w:r>
      <w:r>
        <w:t xml:space="preserve"> </w:t>
      </w:r>
      <w:r>
        <w:t xml:space="preserve">Obszernie pisałem na temat biblijnej walki duchowej. Większość tych treści można znaleźć w mojej książce</w:t>
      </w:r>
      <w:r>
        <w:t xml:space="preserve"> </w:t>
      </w:r>
      <w:r>
        <w:rPr>
          <w:iCs/>
          <w:i/>
        </w:rPr>
        <w:t xml:space="preserve">Essays on Discipleship, Missions and Spiritual Warfare</w:t>
      </w:r>
      <w:r>
        <w:t xml:space="preserve">, wydanie drugie, 2017. Jest ona również dostępna na mojej stronie internetowej www.prunch.org (lub www.prunch.com.br). Na początek powinieneś rozważyć List do Efezjan 2,2 wraz z Ewangelią Łukasza 8,12 oraz 2 Listem do Koryntian 4,3-4.</w:t>
      </w:r>
    </w:p>
  </w:footnote>
  <w:footnote w:id="210">
    <w:p>
      <w:pPr>
        <w:pStyle w:val="FootnoteText"/>
      </w:pPr>
      <w:r>
        <w:rPr>
          <w:rStyle w:val="FootnoteReference"/>
        </w:rPr>
        <w:footnoteRef/>
      </w:r>
      <w:r>
        <w:t xml:space="preserve"> </w:t>
      </w:r>
      <w:r>
        <w:t xml:space="preserve">E.M. Goulburn,</w:t>
      </w:r>
      <w:r>
        <w:t xml:space="preserve"> </w:t>
      </w:r>
      <w:r>
        <w:rPr>
          <w:iCs/>
          <w:i/>
        </w:rPr>
        <w:t xml:space="preserve">Life of Dean Burgon</w:t>
      </w:r>
      <w:r>
        <w:t xml:space="preserve"> </w:t>
      </w:r>
      <w:r>
        <w:t xml:space="preserve">(Londyn: John Murray, 1892, 2 tomy), I, vii.</w:t>
      </w:r>
    </w:p>
  </w:footnote>
  <w:footnote w:id="211">
    <w:p>
      <w:pPr>
        <w:pStyle w:val="FootnoteText"/>
      </w:pPr>
      <w:r>
        <w:rPr>
          <w:rStyle w:val="FootnoteReference"/>
        </w:rPr>
        <w:footnoteRef/>
      </w:r>
      <w:r>
        <w:t xml:space="preserve"> </w:t>
      </w:r>
      <w:r>
        <w:t xml:space="preserve">Leo Vaganay,</w:t>
      </w:r>
      <w:r>
        <w:t xml:space="preserve"> </w:t>
      </w:r>
      <w:r>
        <w:rPr>
          <w:iCs/>
          <w:i/>
        </w:rPr>
        <w:t xml:space="preserve">An Introduction to the Textual Criticism of the New Testament</w:t>
      </w:r>
      <w:r>
        <w:t xml:space="preserve">, tłum. B.V. Miller (Londyn: Sands and Co., Ltd., 1937), s. 48.</w:t>
      </w:r>
    </w:p>
  </w:footnote>
  <w:footnote w:id="212">
    <w:p>
      <w:pPr>
        <w:pStyle w:val="FootnoteText"/>
      </w:pPr>
      <w:r>
        <w:rPr>
          <w:rStyle w:val="FootnoteReference"/>
        </w:rPr>
        <w:footnoteRef/>
      </w:r>
      <w:r>
        <w:t xml:space="preserve"> </w:t>
      </w:r>
      <w:r>
        <w:t xml:space="preserve">Większość „uczonych” i profesorów to w rzeczywistości „papugi”, które jedynie powtarzają to, czego ich nauczono — nigdy nie wrócili do źródła, aby sprawdzić, czy to prawda. Ilu „uczonych” zajmujących się greckim Nowym Testamentem skolacjonowało choć jeden grecki manuskrypt? (Czy Hort skolacjonował jakiekolwiek manuskrypty?) Ślepo przyjmują to, co napisano na ten temat, być może nie zdając sobie sprawy, że większość tego, co napisano, została napisana przez „papugi”.</w:t>
      </w:r>
    </w:p>
  </w:footnote>
  <w:footnote w:id="213">
    <w:p>
      <w:pPr>
        <w:pStyle w:val="FootnoteText"/>
      </w:pPr>
      <w:r>
        <w:rPr>
          <w:rStyle w:val="FootnoteReference"/>
        </w:rPr>
        <w:footnoteRef/>
      </w:r>
      <w:r>
        <w:t xml:space="preserve"> </w:t>
      </w:r>
      <w:r>
        <w:t xml:space="preserve">Gdy byłem studentem seminarium teologicznego, uczono nas, że nigdy nie powinniśmy kwestionować motywów innej osoby. Naprawdę, jak sądzisz, skąd wzięła się ta „doktryna”?</w:t>
      </w:r>
    </w:p>
  </w:footnote>
  <w:footnote w:id="214">
    <w:p>
      <w:pPr>
        <w:pStyle w:val="FootnoteText"/>
      </w:pPr>
      <w:r>
        <w:rPr>
          <w:rStyle w:val="FootnoteReference"/>
        </w:rPr>
        <w:footnoteRef/>
      </w:r>
      <w:r>
        <w:t xml:space="preserve"> </w:t>
      </w:r>
      <w:r>
        <w:t xml:space="preserve">To prawda. Uważam się za badacza tekstu, Tekst stoi nade mną. Krytyk stoi nad tekstem. Nie mam teorii krytyki tekstu, moja teoria dotyczy zachowania tekstu.</w:t>
      </w:r>
    </w:p>
  </w:footnote>
  <w:footnote w:id="215">
    <w:p>
      <w:pPr>
        <w:pStyle w:val="FootnoteText"/>
      </w:pPr>
      <w:r>
        <w:rPr>
          <w:rStyle w:val="FootnoteReference"/>
        </w:rPr>
        <w:footnoteRef/>
      </w:r>
      <w:r>
        <w:t xml:space="preserve"> </w:t>
      </w:r>
      <w:r>
        <w:t xml:space="preserve">Ponieważ Szatan zmusza swoje sługi do mijania się z prawdą, nie oczekuję, że będą mnie traktować uczciwie.</w:t>
      </w:r>
    </w:p>
  </w:footnote>
  <w:footnote w:id="216">
    <w:p>
      <w:pPr>
        <w:pStyle w:val="FootnoteText"/>
      </w:pPr>
      <w:r>
        <w:rPr>
          <w:rStyle w:val="FootnoteReference"/>
        </w:rPr>
        <w:footnoteRef/>
      </w:r>
      <w:r>
        <w:t xml:space="preserve"> </w:t>
      </w:r>
      <w:r>
        <w:t xml:space="preserve">List do Hebrajczyków 1,10, Ewangelia Jana 1,10 oraz List do Kolosan 1,16 wyjaśniają, że spośród trzech Osób tworzących Bóstwo Jehowa Syn był głównym sprawcą stworzenia naszej planety i naszej rasy. Jest zatem Źródłem wszelkiej prawdziwej wiedzy dotyczącej życia na tej planecie, jak jasno stwierdza List do Kolosan 2,3: „w którym ukryte są wszystkie skarby mądrości i wiedzy”.</w:t>
      </w:r>
    </w:p>
  </w:footnote>
  <w:footnote w:id="218">
    <w:p>
      <w:pPr>
        <w:pStyle w:val="FootnoteText"/>
      </w:pPr>
      <w:r>
        <w:rPr>
          <w:rStyle w:val="FootnoteReference"/>
        </w:rPr>
        <w:footnoteRef/>
      </w:r>
      <w:r>
        <w:t xml:space="preserve"> </w:t>
      </w:r>
      <w:r>
        <w:t xml:space="preserve">„Preliminary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referat przedstawiony Evangelical Theological Society w listopadzie 1998 roku, s. 12-13. Otrzymałem jednak od Maurice’a Robinsona następujące wyjaśnienie: „Prosiłbym, aby w przypadku cytowania mojego nazwiska w związku z różnymi artykułami dotyczącymi</w:t>
      </w:r>
      <w:r>
        <w:t xml:space="preserve"> </w:t>
      </w:r>
      <w:r>
        <w:rPr>
          <w:bCs/>
          <w:b/>
        </w:rPr>
        <w:t xml:space="preserve">K</w:t>
      </w:r>
      <w:r>
        <w:rPr>
          <w:vertAlign w:val="superscript"/>
          <w:bCs/>
          <w:b/>
        </w:rPr>
        <w:t xml:space="preserve">r</w:t>
      </w:r>
      <w:r>
        <w:t xml:space="preserve"> </w:t>
      </w:r>
      <w:r>
        <w:t xml:space="preserve">lub</w:t>
      </w:r>
      <w:r>
        <w:t xml:space="preserve"> </w:t>
      </w:r>
      <w:r>
        <w:rPr>
          <w:bCs/>
          <w:b/>
        </w:rPr>
        <w:t xml:space="preserve">M</w:t>
      </w:r>
      <w:r>
        <w:rPr>
          <w:vertAlign w:val="superscript"/>
          <w:bCs/>
          <w:b/>
        </w:rPr>
        <w:t xml:space="preserve">7</w:t>
      </w:r>
      <w:r>
        <w:t xml:space="preserve"> </w:t>
      </w:r>
      <w:r>
        <w:t xml:space="preserve">jasno zaznaczać, że nie zgadzam się z pańską oceną</w:t>
      </w:r>
      <w:r>
        <w:t xml:space="preserve"> </w:t>
      </w:r>
      <w:r>
        <w:rPr>
          <w:bCs/>
          <w:b/>
        </w:rPr>
        <w:t xml:space="preserve">K</w:t>
      </w:r>
      <w:r>
        <w:rPr>
          <w:vertAlign w:val="superscript"/>
          <w:bCs/>
          <w:b/>
        </w:rPr>
        <w:t xml:space="preserve">r</w:t>
      </w:r>
      <w:r>
        <w:t xml:space="preserve"> </w:t>
      </w:r>
      <w:r>
        <w:t xml:space="preserve">ani</w:t>
      </w:r>
      <w:r>
        <w:t xml:space="preserve"> </w:t>
      </w:r>
      <w:r>
        <w:rPr>
          <w:bCs/>
          <w:b/>
        </w:rPr>
        <w:t xml:space="preserve">M</w:t>
      </w:r>
      <w:r>
        <w:rPr>
          <w:vertAlign w:val="superscript"/>
          <w:bCs/>
          <w:b/>
        </w:rPr>
        <w:t xml:space="preserve">7</w:t>
      </w:r>
      <w:r>
        <w:t xml:space="preserve">. Dotyczy to w szczególności artykułu «Preliminary Considerations regarding the</w:t>
      </w:r>
      <w:r>
        <w:t xml:space="preserve"> </w:t>
      </w:r>
      <w:r>
        <w:rPr>
          <w:iCs/>
          <w:i/>
        </w:rPr>
        <w:t xml:space="preserve">Pericope Adulterae</w:t>
      </w:r>
      <w:r>
        <w:t xml:space="preserve">», nie należy się nim posługiwać, aby sugerować, że uważam linię</w:t>
      </w:r>
      <w:r>
        <w:t xml:space="preserve"> </w:t>
      </w:r>
      <w:r>
        <w:rPr>
          <w:bCs/>
          <w:b/>
        </w:rPr>
        <w:t xml:space="preserve">M</w:t>
      </w:r>
      <w:r>
        <w:rPr>
          <w:vertAlign w:val="superscript"/>
          <w:bCs/>
          <w:b/>
        </w:rPr>
        <w:t xml:space="preserve">7</w:t>
      </w:r>
      <w:r>
        <w:t xml:space="preserve"> </w:t>
      </w:r>
      <w:r>
        <w:t xml:space="preserve">lub tekst</w:t>
      </w:r>
      <w:r>
        <w:t xml:space="preserve"> </w:t>
      </w:r>
      <w:r>
        <w:rPr>
          <w:bCs/>
          <w:b/>
        </w:rPr>
        <w:t xml:space="preserve">K</w:t>
      </w:r>
      <w:r>
        <w:rPr>
          <w:vertAlign w:val="superscript"/>
          <w:bCs/>
          <w:b/>
        </w:rPr>
        <w:t xml:space="preserve">r</w:t>
      </w:r>
      <w:r>
        <w:t xml:space="preserve"> </w:t>
      </w:r>
      <w:r>
        <w:t xml:space="preserve">za wczesne. Byłoby to całkowicie błędne, ponieważ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(Zakładając, że był szczery, gdy pisał ten artykuł, zastanawiam się, jaki nowy dowód otrzymał, że zmienił zdanie — jego język jest tam z pewnością dostatecznie jasny. Co więcej, przez dwa miesiące miałem w rękach kopię jego kolacjonowań, spędziłem wiele z tego czasu na ich dokładnym studiowaniu i nie znalazłem powodu, by kwestionować jego wnioski z artykułu z listopada 1998 roku).</w:t>
      </w:r>
    </w:p>
  </w:footnote>
  <w:footnote w:id="219">
    <w:p>
      <w:pPr>
        <w:pStyle w:val="FootnoteText"/>
      </w:pPr>
      <w:r>
        <w:rPr>
          <w:rStyle w:val="FootnoteReference"/>
        </w:rPr>
        <w:footnoteRef/>
      </w:r>
      <w:r>
        <w:t xml:space="preserve"> </w:t>
      </w:r>
      <w:r>
        <w:rPr>
          <w:iCs/>
          <w:i/>
        </w:rPr>
        <w:t xml:space="preserve">Tamże</w:t>
      </w:r>
      <w:r>
        <w:t xml:space="preserve">, s. 13.</w:t>
      </w:r>
    </w:p>
  </w:footnote>
  <w:footnote w:id="220">
    <w:p>
      <w:pPr>
        <w:pStyle w:val="FootnoteText"/>
      </w:pPr>
      <w:r>
        <w:rPr>
          <w:rStyle w:val="FootnoteReference"/>
        </w:rPr>
        <w:footnoteRef/>
      </w:r>
      <w:r>
        <w:t xml:space="preserve"> </w:t>
      </w:r>
      <w:r>
        <w:t xml:space="preserve">W przypadku przykładów z Listu Jakuba korzystałem również z</w:t>
      </w:r>
      <w:r>
        <w:t xml:space="preserve"> </w:t>
      </w:r>
      <w:r>
        <w:rPr>
          <w:iCs/>
          <w:i/>
        </w:rPr>
        <w:t xml:space="preserve">Editio Critica Maior</w:t>
      </w:r>
      <w:r>
        <w:t xml:space="preserve">.</w:t>
      </w:r>
    </w:p>
  </w:footnote>
  <w:footnote w:id="221">
    <w:p>
      <w:pPr>
        <w:pStyle w:val="FootnoteText"/>
      </w:pPr>
      <w:r>
        <w:rPr>
          <w:rStyle w:val="FootnoteReference"/>
        </w:rPr>
        <w:footnoteRef/>
      </w:r>
      <w:r>
        <w:t xml:space="preserve"> </w:t>
      </w:r>
      <w:r>
        <w:t xml:space="preserve">Ktoś może zaprotestować, że starożytne są odczyty, a nie typy tekstu, lecz jeśli dany typ tekstu jest wyraźnie niezależny, a powiązania między wczesnymi świadkami nieustannie się zmieniają, to ma on starożytne odczyty, ponieważ sam jest starożytny. W przypadku</w:t>
      </w:r>
      <w:r>
        <w:t xml:space="preserve"> </w:t>
      </w:r>
      <w:r>
        <w:rPr>
          <w:bCs/>
          <w:b/>
        </w:rPr>
        <w:t xml:space="preserve">K</w:t>
      </w:r>
      <w:r>
        <w:rPr>
          <w:vertAlign w:val="superscript"/>
          <w:bCs/>
          <w:b/>
        </w:rPr>
        <w:t xml:space="preserve">r</w:t>
      </w:r>
      <w:r>
        <w:t xml:space="preserve"> </w:t>
      </w:r>
      <w:r>
        <w:t xml:space="preserve">istnieją zaś setki zestawów wariantów, w których jego odczyt ma wyraźne wczesne poświadczenie. (Przypomnij sobie, że</w:t>
      </w:r>
      <w:r>
        <w:t xml:space="preserve"> </w:t>
      </w:r>
      <w:r>
        <w:rPr>
          <w:bCs/>
          <w:b/>
        </w:rPr>
        <w:t xml:space="preserve">M</w:t>
      </w:r>
      <w:r>
        <w:t xml:space="preserve"> </w:t>
      </w:r>
      <w:r>
        <w:t xml:space="preserve">Alanda oraz</w:t>
      </w:r>
      <w:r>
        <w:t xml:space="preserve"> </w:t>
      </w:r>
      <w:r>
        <w:rPr>
          <w:bCs/>
          <w:b/>
        </w:rPr>
        <w:t xml:space="preserve">K</w:t>
      </w:r>
      <w:r>
        <w:t xml:space="preserve"> </w:t>
      </w:r>
      <w:r>
        <w:t xml:space="preserve">Sodena obejmują</w:t>
      </w:r>
      <w:r>
        <w:t xml:space="preserve"> </w:t>
      </w:r>
      <w:r>
        <w:rPr>
          <w:bCs/>
          <w:b/>
        </w:rPr>
        <w:t xml:space="preserve">K</w:t>
      </w:r>
      <w:r>
        <w:rPr>
          <w:vertAlign w:val="superscript"/>
          <w:bCs/>
          <w:b/>
        </w:rPr>
        <w:t xml:space="preserve">r</w:t>
      </w:r>
      <w:r>
        <w:t xml:space="preserve"> </w:t>
      </w:r>
      <w:r>
        <w:t xml:space="preserve">— biednego typu tekstu nie należy obarczać odpowiedzialnością za sposób, w jaki traktują go współcześni uczeni). Jeśli można obiektywnie wykazać, że typ tekstu ma setki wczesnych odczytów, lecz nie można obiektywnie wykazać, że ma choć jeden późny, na jakiej podstawie można uznać go za późny?</w:t>
      </w:r>
    </w:p>
  </w:footnote>
  <w:footnote w:id="222">
    <w:p>
      <w:pPr>
        <w:pStyle w:val="FootnoteText"/>
      </w:pPr>
      <w:r>
        <w:rPr>
          <w:rStyle w:val="FootnoteReference"/>
        </w:rPr>
        <w:footnoteRef/>
      </w:r>
      <w:r>
        <w:t xml:space="preserve"> </w:t>
      </w:r>
      <w:r>
        <w:t xml:space="preserve">Mam również co najmniej stronę przykładów z Objawienia Jana, które potwierdzają, że</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c</w:t>
      </w:r>
      <w:r>
        <w:t xml:space="preserve">) także w tej księdze jest niezależny i pochodzi z III wieku.</w:t>
      </w:r>
    </w:p>
  </w:footnote>
  <w:footnote w:id="223">
    <w:p>
      <w:pPr>
        <w:pStyle w:val="FootnoteText"/>
      </w:pPr>
      <w:r>
        <w:rPr>
          <w:rStyle w:val="FootnoteReference"/>
        </w:rPr>
        <w:footnoteRef/>
      </w:r>
      <w:r>
        <w:t xml:space="preserve"> </w:t>
      </w:r>
      <w:r>
        <w:rPr>
          <w:iCs/>
          <w:i/>
        </w:rPr>
        <w:t xml:space="preserve">Tamże</w:t>
      </w:r>
      <w:r>
        <w:t xml:space="preserve">.</w:t>
      </w:r>
    </w:p>
  </w:footnote>
  <w:footnote w:id="225">
    <w:p>
      <w:pPr>
        <w:pStyle w:val="FootnoteText"/>
      </w:pPr>
      <w:r>
        <w:rPr>
          <w:rStyle w:val="FootnoteReference"/>
        </w:rPr>
        <w:footnoteRef/>
      </w:r>
      <w:r>
        <w:t xml:space="preserve"> </w:t>
      </w:r>
      <w:r>
        <w:t xml:space="preserve">„External Evidence and New Testament Criticism”,</w:t>
      </w:r>
      <w:r>
        <w:t xml:space="preserve"> </w:t>
      </w:r>
      <w:r>
        <w:rPr>
          <w:iCs/>
          <w:i/>
        </w:rPr>
        <w:t xml:space="preserve">Studies in the History of the Text of the New Testament</w:t>
      </w:r>
      <w:r>
        <w:t xml:space="preserve">, red. B.L. Daniels i M.J. Suggs (Salt Lake City: University of Utah Press, 1967), s. 8.</w:t>
      </w:r>
    </w:p>
  </w:footnote>
  <w:footnote w:id="226">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w:t>
      </w:r>
    </w:p>
  </w:footnote>
  <w:footnote w:id="227">
    <w:p>
      <w:pPr>
        <w:pStyle w:val="FootnoteText"/>
      </w:pPr>
      <w:r>
        <w:rPr>
          <w:rStyle w:val="FootnoteReference"/>
        </w:rPr>
        <w:footnoteRef/>
      </w:r>
      <w:r>
        <w:t xml:space="preserve"> </w:t>
      </w:r>
      <w:r>
        <w:t xml:space="preserve">Colwell, „The Significance of Grouping of New Testament Manuscripts”,</w:t>
      </w:r>
      <w:r>
        <w:t xml:space="preserve"> </w:t>
      </w:r>
      <w:r>
        <w:rPr>
          <w:iCs/>
          <w:i/>
        </w:rPr>
        <w:t xml:space="preserve">New Testament Studies</w:t>
      </w:r>
      <w:r>
        <w:t xml:space="preserve">, IV (1957-1958), s. 86-87.</w:t>
      </w:r>
    </w:p>
  </w:footnote>
  <w:footnote w:id="228">
    <w:p>
      <w:pPr>
        <w:pStyle w:val="FootnoteText"/>
      </w:pPr>
      <w:r>
        <w:rPr>
          <w:rStyle w:val="FootnoteReference"/>
        </w:rPr>
        <w:footnoteRef/>
      </w:r>
      <w:r>
        <w:t xml:space="preserve"> </w:t>
      </w:r>
      <w:r>
        <w:t xml:space="preserve">„The Text of the Church?”,</w:t>
      </w:r>
      <w:r>
        <w:t xml:space="preserve"> </w:t>
      </w:r>
      <w:r>
        <w:rPr>
          <w:iCs/>
          <w:i/>
        </w:rPr>
        <w:t xml:space="preserve">Trinity Journal</w:t>
      </w:r>
      <w:r>
        <w:t xml:space="preserve">, 1987, 8NS:138.</w:t>
      </w:r>
    </w:p>
  </w:footnote>
  <w:footnote w:id="229">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1981), s. 52-53.</w:t>
      </w:r>
    </w:p>
  </w:footnote>
  <w:footnote w:id="230">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31">
    <w:p>
      <w:pPr>
        <w:pStyle w:val="FootnoteText"/>
      </w:pPr>
      <w:r>
        <w:rPr>
          <w:rStyle w:val="FootnoteReference"/>
        </w:rPr>
        <w:footnoteRef/>
      </w:r>
      <w:r>
        <w:t xml:space="preserve"> </w:t>
      </w:r>
      <w:r>
        <w:rPr>
          <w:iCs/>
          <w:i/>
        </w:rPr>
        <w:t xml:space="preserve">Concerning the Text of the Apocalypse</w:t>
      </w:r>
      <w:r>
        <w:t xml:space="preserve">, 2 tomy (Londyn: Bernard Quaritch, 1929).</w:t>
      </w:r>
    </w:p>
  </w:footnote>
  <w:footnote w:id="232">
    <w:p>
      <w:pPr>
        <w:pStyle w:val="FootnoteText"/>
      </w:pPr>
      <w:r>
        <w:rPr>
          <w:rStyle w:val="FootnoteReference"/>
        </w:rPr>
        <w:footnoteRef/>
      </w:r>
      <w:r>
        <w:t xml:space="preserve"> </w:t>
      </w:r>
      <w:r>
        <w:t xml:space="preserve">Fragmenty oraz manuskrypty idiosynkratyczne wykazują jednak, że wszelkie zawarte w nich warianty istniały w czasie, gdy je wytworzono. Wykazują istnienie, a nie wartość.</w:t>
      </w:r>
    </w:p>
  </w:footnote>
  <w:footnote w:id="233">
    <w:p>
      <w:pPr>
        <w:pStyle w:val="FootnoteText"/>
      </w:pPr>
      <w:r>
        <w:rPr>
          <w:rStyle w:val="FootnoteReference"/>
        </w:rPr>
        <w:footnoteRef/>
      </w:r>
      <w:r>
        <w:t xml:space="preserve"> </w:t>
      </w:r>
      <w:r>
        <w:t xml:space="preserve">Na podstawie badań przeprowadzonych przeze mnie w INTF dodałem 10 manuskryptów do tych 33. Spośród 43 jeden jest zaledwie fragmentem, ale zawiera pierwszy diagnostyczny odczyt rodziny.</w:t>
      </w:r>
    </w:p>
  </w:footnote>
  <w:footnote w:id="234">
    <w:p>
      <w:pPr>
        <w:pStyle w:val="FootnoteText"/>
      </w:pPr>
      <w:r>
        <w:rPr>
          <w:rStyle w:val="FootnoteReference"/>
        </w:rPr>
        <w:footnoteRef/>
      </w:r>
      <w:r>
        <w:t xml:space="preserve"> </w:t>
      </w:r>
      <w:r>
        <w:t xml:space="preserve">Powinienem wspomnieć, że Hoskier skolacjonował 14 manuskryptów, których nie włączyłem do dziewięciu grup (z różnych powodów). Jeśli nie należą do linii przekazu ani same nie tworzą odrębnej grupy, są bez znaczenia.</w:t>
      </w:r>
    </w:p>
  </w:footnote>
  <w:footnote w:id="235">
    <w:p>
      <w:pPr>
        <w:pStyle w:val="FootnoteText"/>
      </w:pPr>
      <w:r>
        <w:rPr>
          <w:rStyle w:val="FootnoteReference"/>
        </w:rPr>
        <w:footnoteRef/>
      </w:r>
      <w:r>
        <w:t xml:space="preserve"> </w:t>
      </w:r>
      <w:r>
        <w:t xml:space="preserve">Dla porządku, wydanie</w:t>
      </w:r>
      <w:r>
        <w:t xml:space="preserve"> </w:t>
      </w:r>
      <w:r>
        <w:rPr>
          <w:iCs/>
          <w:i/>
        </w:rPr>
        <w:t xml:space="preserve">TuT</w:t>
      </w:r>
      <w:r>
        <w:t xml:space="preserve"> </w:t>
      </w:r>
      <w:r>
        <w:t xml:space="preserve">posługuje się „większością względną”. Aby dojść do tej „</w:t>
      </w:r>
      <w:r>
        <w:rPr>
          <w:iCs/>
          <w:i/>
        </w:rPr>
        <w:t xml:space="preserve">rM</w:t>
      </w:r>
      <w:r>
        <w:t xml:space="preserve">”, dodano NA</w:t>
      </w:r>
      <w:r>
        <w:rPr>
          <w:vertAlign w:val="superscript"/>
        </w:rPr>
        <w:t xml:space="preserve">28</w:t>
      </w:r>
      <w:r>
        <w:t xml:space="preserve"> </w:t>
      </w:r>
      <w:r>
        <w:t xml:space="preserve">jako czwartą linię, ale posłużono się także względami „wewnętrznymi”. Za „Koine” opowiedziano się 98 razy, za „kompluteńskim” 95 razy, za „Andreasem” 79 razy, a za NA</w:t>
      </w:r>
      <w:r>
        <w:rPr>
          <w:vertAlign w:val="superscript"/>
        </w:rPr>
        <w:t xml:space="preserve">28</w:t>
      </w:r>
      <w:r>
        <w:t xml:space="preserve"> </w:t>
      </w:r>
      <w:r>
        <w:t xml:space="preserve">41 razy (wyodrębniono to z dwunastu kombinacji). Jedenaście razy opowiedziano się wyłącznie za „Koine”, jedyną linią potraktowaną w ten sposób.</w:t>
      </w:r>
    </w:p>
  </w:footnote>
  <w:footnote w:id="237">
    <w:p>
      <w:pPr>
        <w:pStyle w:val="FootnoteText"/>
      </w:pPr>
      <w:r>
        <w:rPr>
          <w:rStyle w:val="FootnoteReference"/>
        </w:rPr>
        <w:footnoteRef/>
      </w:r>
      <w:r>
        <w:t xml:space="preserve"> </w:t>
      </w:r>
      <w:r>
        <w:rPr>
          <w:iCs/>
          <w:i/>
        </w:rPr>
        <w:t xml:space="preserve">Editio Critica Maior</w:t>
      </w:r>
      <w:r>
        <w:t xml:space="preserve">, red. The Institute for New Testament Textual Research (Stuttgart: Deutsche Bibelgesellschaft, 1997), tom IV, Listy Ogólne.</w:t>
      </w:r>
    </w:p>
  </w:footnote>
  <w:footnote w:id="238">
    <w:p>
      <w:pPr>
        <w:pStyle w:val="FootnoteText"/>
      </w:pPr>
      <w:r>
        <w:rPr>
          <w:rStyle w:val="FootnoteReference"/>
        </w:rPr>
        <w:footnoteRef/>
      </w:r>
      <w:r>
        <w:t xml:space="preserve"> </w:t>
      </w:r>
      <w:r>
        <w:t xml:space="preserve">Ta liczba jest poprawna, po prostu tak się składa, że jest taka sama.</w:t>
      </w:r>
    </w:p>
  </w:footnote>
  <w:footnote w:id="239">
    <w:p>
      <w:pPr>
        <w:pStyle w:val="FootnoteText"/>
      </w:pPr>
      <w:r>
        <w:rPr>
          <w:rStyle w:val="FootnoteReference"/>
        </w:rPr>
        <w:footnoteRef/>
      </w:r>
      <w:r>
        <w:t xml:space="preserve"> </w:t>
      </w:r>
      <w:r>
        <w:t xml:space="preserve">Jako dalszy dowód ich niezależności wymieniam odczyty singularne każdego z tych uncjałów (pięć nie ma żadnych):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t xml:space="preserve">P</w:t>
            </w:r>
            <w:r>
              <w:rPr>
                <w:vertAlign w:val="superscript"/>
              </w:rPr>
              <w:t xml:space="preserve">72</w:t>
            </w:r>
          </w:p>
        </w:tc>
        <w:tc>
          <w:tcPr/>
          <w:p>
            <w:pPr>
              <w:pStyle w:val="Compact"/>
            </w:pPr>
          </w:p>
        </w:tc>
        <w:tc>
          <w:tcPr/>
          <w:p>
            <w:pPr>
              <w:pStyle w:val="Compact"/>
              <w:jc w:val="right"/>
            </w:pPr>
            <w:r>
              <w:t xml:space="preserve">33</w:t>
            </w:r>
          </w:p>
        </w:tc>
        <w:tc>
          <w:tcPr/>
          <w:p>
            <w:pPr>
              <w:pStyle w:val="Compact"/>
              <w:jc w:val="right"/>
            </w:pPr>
            <w:r>
              <w:t xml:space="preserve">12</w:t>
            </w:r>
          </w:p>
        </w:tc>
        <w:tc>
          <w:tcPr/>
          <w:p>
            <w:pPr>
              <w:pStyle w:val="Compact"/>
            </w:pPr>
          </w:p>
        </w:tc>
        <w:tc>
          <w:tcPr/>
          <w:p>
            <w:pPr>
              <w:pStyle w:val="Compact"/>
            </w:pPr>
          </w:p>
        </w:tc>
        <w:tc>
          <w:tcPr/>
          <w:p>
            <w:pPr>
              <w:pStyle w:val="Compact"/>
              <w:jc w:val="right"/>
            </w:pPr>
            <w:r>
              <w:t xml:space="preserve">17</w:t>
            </w:r>
          </w:p>
        </w:tc>
        <w:tc>
          <w:tcPr/>
          <w:p>
            <w:pPr>
              <w:pStyle w:val="Compact"/>
              <w:jc w:val="right"/>
            </w:pPr>
            <w:r>
              <w:rPr>
                <w:bCs/>
                <w:b/>
              </w:rPr>
              <w:t xml:space="preserve">62</w:t>
            </w:r>
          </w:p>
        </w:tc>
      </w:tr>
      <w:tr>
        <w:tc>
          <w:tcPr/>
          <w:p>
            <w:pPr>
              <w:pStyle w:val="Compact"/>
              <w:jc w:val="left"/>
            </w:pPr>
            <w:r>
              <w:t xml:space="preserve">P</w:t>
            </w:r>
            <w:r>
              <w:rPr>
                <w:vertAlign w:val="superscript"/>
              </w:rPr>
              <w:t xml:space="preserve">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jc w:val="right"/>
            </w:pPr>
            <w:r>
              <w:rPr>
                <w:bCs/>
                <w:b/>
              </w:rPr>
              <w:t xml:space="preserve">2</w:t>
            </w:r>
          </w:p>
        </w:tc>
      </w:tr>
      <w:tr>
        <w:tc>
          <w:tcPr/>
          <w:p>
            <w:pPr>
              <w:pStyle w:val="Compact"/>
              <w:jc w:val="left"/>
            </w:pPr>
            <w:r>
              <w:t xml:space="preserve">ℵ</w:t>
            </w:r>
          </w:p>
        </w:tc>
        <w:tc>
          <w:tcPr/>
          <w:p>
            <w:pPr>
              <w:pStyle w:val="Compact"/>
              <w:jc w:val="right"/>
            </w:pPr>
            <w:r>
              <w:t xml:space="preserve">11</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rPr>
                <w:bCs/>
                <w:b/>
              </w:rPr>
              <w:t xml:space="preserve">76</w:t>
            </w:r>
          </w:p>
        </w:tc>
      </w:tr>
      <w:tr>
        <w:tc>
          <w:tcPr/>
          <w:p>
            <w:pPr>
              <w:pStyle w:val="Compact"/>
              <w:jc w:val="left"/>
            </w:pPr>
            <w:r>
              <w:t xml:space="preserve">A</w:t>
            </w:r>
          </w:p>
        </w:tc>
        <w:tc>
          <w:tcPr/>
          <w:p>
            <w:pPr>
              <w:pStyle w:val="Compact"/>
              <w:jc w:val="right"/>
            </w:pPr>
            <w:r>
              <w:t xml:space="preserve">8</w:t>
            </w:r>
          </w:p>
        </w:tc>
        <w:tc>
          <w:tcPr/>
          <w:p>
            <w:pPr>
              <w:pStyle w:val="Compact"/>
            </w:pPr>
          </w:p>
        </w:tc>
        <w:tc>
          <w:tcPr/>
          <w:p>
            <w:pPr>
              <w:pStyle w:val="Compact"/>
              <w:jc w:val="right"/>
            </w:pPr>
            <w:r>
              <w:t xml:space="preserve">5</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27</w:t>
            </w:r>
          </w:p>
        </w:tc>
      </w:tr>
      <w:tr>
        <w:tc>
          <w:tcPr/>
          <w:p>
            <w:pPr>
              <w:pStyle w:val="Compact"/>
              <w:jc w:val="left"/>
            </w:pPr>
            <w:r>
              <w:t xml:space="preserve">B</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jc w:val="right"/>
            </w:pPr>
            <w:r>
              <w:t xml:space="preserve">8</w:t>
            </w:r>
          </w:p>
        </w:tc>
        <w:tc>
          <w:tcPr/>
          <w:p>
            <w:pPr>
              <w:pStyle w:val="Compact"/>
              <w:jc w:val="right"/>
            </w:pPr>
            <w:r>
              <w:t xml:space="preserve">4</w:t>
            </w:r>
          </w:p>
        </w:tc>
        <w:tc>
          <w:tcPr/>
          <w:p>
            <w:pPr>
              <w:pStyle w:val="Compact"/>
              <w:jc w:val="right"/>
            </w:pPr>
            <w:r>
              <w:t xml:space="preserve">5</w:t>
            </w:r>
          </w:p>
        </w:tc>
        <w:tc>
          <w:tcPr/>
          <w:p>
            <w:pPr>
              <w:pStyle w:val="Compact"/>
              <w:jc w:val="right"/>
            </w:pPr>
            <w:r>
              <w:rPr>
                <w:bCs/>
                <w:b/>
              </w:rPr>
              <w:t xml:space="preserve">37</w:t>
            </w:r>
          </w:p>
        </w:tc>
      </w:tr>
      <w:tr>
        <w:tc>
          <w:tcPr/>
          <w:p>
            <w:pPr>
              <w:pStyle w:val="Compact"/>
              <w:jc w:val="left"/>
            </w:pPr>
            <w:r>
              <w:t xml:space="preserve">C</w:t>
            </w:r>
          </w:p>
        </w:tc>
        <w:tc>
          <w:tcPr/>
          <w:p>
            <w:pPr>
              <w:pStyle w:val="Compact"/>
              <w:jc w:val="right"/>
            </w:pPr>
            <w:r>
              <w:t xml:space="preserve">3</w:t>
            </w:r>
          </w:p>
        </w:tc>
        <w:tc>
          <w:tcPr/>
          <w:p>
            <w:pPr>
              <w:pStyle w:val="Compact"/>
              <w:jc w:val="right"/>
            </w:pPr>
            <w:r>
              <w:t xml:space="preserve">7</w:t>
            </w:r>
          </w:p>
        </w:tc>
        <w:tc>
          <w:tcPr/>
          <w:p>
            <w:pPr>
              <w:pStyle w:val="Compact"/>
              <w:jc w:val="right"/>
            </w:pPr>
            <w:r>
              <w:t xml:space="preserve">7</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rPr>
                <w:bCs/>
                <w:b/>
              </w:rPr>
              <w:t xml:space="preserve">24</w:t>
            </w:r>
          </w:p>
        </w:tc>
      </w:tr>
      <w:tr>
        <w:tc>
          <w:tcPr/>
          <w:p>
            <w:pPr>
              <w:pStyle w:val="Compact"/>
              <w:jc w:val="left"/>
            </w:pP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pPr>
          </w:p>
        </w:tc>
        <w:tc>
          <w:tcPr/>
          <w:p>
            <w:pPr>
              <w:pStyle w:val="Compact"/>
              <w:jc w:val="right"/>
            </w:pPr>
            <w:r>
              <w:rPr>
                <w:bCs/>
                <w:b/>
              </w:rPr>
              <w:t xml:space="preserve">9</w:t>
            </w:r>
          </w:p>
        </w:tc>
      </w:tr>
    </w:tbl>
  </w:footnote>
  <w:footnote w:id="241">
    <w:p>
      <w:pPr>
        <w:pStyle w:val="FootnoteText"/>
      </w:pPr>
      <w:r>
        <w:rPr>
          <w:rStyle w:val="FootnoteReference"/>
        </w:rPr>
        <w:footnoteRef/>
      </w:r>
      <w:r>
        <w:t xml:space="preserve"> </w:t>
      </w:r>
      <w:r>
        <w:t xml:space="preserve">Jest to jedyne miejsce w całym Nowym Testamencie, w którym Rodzina 35 się rozszczepia — występuje pięć istotnych wariantów (oraz dwa drobne). Zwykle tam, gdzie rodzina jest podzielona, występują tylko dwa warianty. Szczegółowe omówienie tego zestawu wariantów znajduje się w artykule „Where to place a comma—Acts 12:25”.</w:t>
      </w:r>
    </w:p>
  </w:footnote>
  <w:footnote w:id="244">
    <w:p>
      <w:pPr>
        <w:pStyle w:val="FootnoteText"/>
      </w:pPr>
      <w:r>
        <w:rPr>
          <w:rStyle w:val="FootnoteReference"/>
        </w:rPr>
        <w:footnoteRef/>
      </w:r>
      <w:r>
        <w:t xml:space="preserve"> </w:t>
      </w:r>
      <w:r>
        <w:t xml:space="preserve">Słowniki podają różne definicje terminu „kaczka dziennikarska”, ale wszystkie są zgodne, że jest to fałszywa informacja, i sugerują, że została stworzona ze złośliwym zamiarem. Oczywiście ci, którzy powtarzają taką kaczkę, mogą czynić to bez złej woli, choć robią to bez sprawdzenia dowodów.</w:t>
      </w:r>
    </w:p>
  </w:footnote>
  <w:footnote w:id="245">
    <w:p>
      <w:pPr>
        <w:pStyle w:val="FootnoteText"/>
      </w:pPr>
      <w:r>
        <w:rPr>
          <w:rStyle w:val="FootnoteReference"/>
        </w:rPr>
        <w:footnoteRef/>
      </w:r>
      <w:r>
        <w:t xml:space="preserve"> </w:t>
      </w:r>
      <w:r>
        <w:t xml:space="preserve">Kirsopp Lake,</w:t>
      </w:r>
      <w:r>
        <w:t xml:space="preserve"> </w:t>
      </w:r>
      <w:r>
        <w:rPr>
          <w:iCs/>
          <w:i/>
        </w:rPr>
        <w:t xml:space="preserve">The Text of the New Testament</w:t>
      </w:r>
      <w:r>
        <w:t xml:space="preserve">, wydanie szóste zrewidowane przez Silvę New (Londyn: Rivingtons, 1959), s. 53.</w:t>
      </w:r>
    </w:p>
  </w:footnote>
  <w:footnote w:id="246">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247">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248">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Nie obejmuje to lekcjonarzy, których również sprawdził sporą liczbę.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 Niestety, o ile wiem, Robinson nie opublikował dotąd swoich kolacjonowań, udostępniając je tym samym ogółowi.</w:t>
      </w:r>
    </w:p>
  </w:footnote>
  <w:footnote w:id="249">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50">
    <w:p>
      <w:pPr>
        <w:pStyle w:val="FootnoteText"/>
      </w:pPr>
      <w:r>
        <w:rPr>
          <w:rStyle w:val="FootnoteReference"/>
        </w:rPr>
        <w:footnoteRef/>
      </w:r>
      <w:r>
        <w:t xml:space="preserve"> </w:t>
      </w:r>
      <w:r>
        <w:rPr>
          <w:iCs/>
          <w:i/>
        </w:rPr>
        <w:t xml:space="preserve">Eight American Praxapostoloi</w:t>
      </w:r>
      <w:r>
        <w:t xml:space="preserve"> </w:t>
      </w:r>
      <w:r>
        <w:t xml:space="preserve">(Kenneth W. Clark, Chicago: The University of Chicago Press, 1941), s. 12.</w:t>
      </w:r>
    </w:p>
  </w:footnote>
  <w:footnote w:id="251">
    <w:p>
      <w:pPr>
        <w:pStyle w:val="FootnoteText"/>
      </w:pPr>
      <w:r>
        <w:rPr>
          <w:rStyle w:val="FootnoteReference"/>
        </w:rPr>
        <w:footnoteRef/>
      </w:r>
      <w:r>
        <w:t xml:space="preserve"> </w:t>
      </w:r>
      <w:r>
        <w:t xml:space="preserve">Zobacz także część „Archetyp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 w części III.</w:t>
      </w:r>
    </w:p>
  </w:footnote>
  <w:footnote w:id="252">
    <w:p>
      <w:pPr>
        <w:pStyle w:val="FootnoteText"/>
      </w:pPr>
      <w:r>
        <w:rPr>
          <w:rStyle w:val="FootnoteReference"/>
        </w:rPr>
        <w:footnoteRef/>
      </w:r>
      <w:r>
        <w:t xml:space="preserve"> </w:t>
      </w:r>
      <w:r>
        <w:t xml:space="preserve">Mam na myśli artykuł, który podejmie kwestię „poziomu wierności” i „współczynnika jakości”, porównując na tej podstawie różne linie przekazu. Dlaczego na przykład przeciętny manuskrypt</w:t>
      </w:r>
      <w:r>
        <w:t xml:space="preserve"> </w:t>
      </w:r>
      <w:r>
        <w:rPr>
          <w:bCs/>
          <w:b/>
        </w:rPr>
        <w:t xml:space="preserve">f</w:t>
      </w:r>
      <w:r>
        <w:rPr>
          <w:vertAlign w:val="superscript"/>
          <w:bCs/>
          <w:b/>
        </w:rPr>
        <w:t xml:space="preserve">35</w:t>
      </w:r>
      <w:r>
        <w:t xml:space="preserve"> </w:t>
      </w:r>
      <w:r>
        <w:t xml:space="preserve">ma tylko jeden wariant na każde dwie strony drukowanego tekstu greckiego, podczas gdy przeciętny manuskrypt masy bizantyjskiej ma co najmniej trzy warianty na stronę, a przeciętny manuskrypt aleksandryjski ponad piętnaście na stronę? Czy sugeruje to coś na temat postawy, poważnego traktowania swojej pracy? Przez „postawę” rozumiem konkretnie stosunek do kopiowanego egzemplarza — czy był on przedmiotem szacunku lub czci?</w:t>
      </w:r>
    </w:p>
  </w:footnote>
  <w:footnote w:id="253">
    <w:p>
      <w:pPr>
        <w:pStyle w:val="FootnoteText"/>
      </w:pPr>
      <w:r>
        <w:rPr>
          <w:rStyle w:val="FootnoteReference"/>
        </w:rPr>
        <w:footnoteRef/>
      </w:r>
      <w:r>
        <w:t xml:space="preserve"> </w:t>
      </w:r>
      <w:r>
        <w:rPr>
          <w:iCs/>
          <w:i/>
        </w:rPr>
        <w:t xml:space="preserve">The Identity of the New Testament Text IV</w:t>
      </w:r>
      <w:r>
        <w:t xml:space="preserve">, s. 84.</w:t>
      </w:r>
    </w:p>
  </w:footnote>
  <w:footnote w:id="254">
    <w:p>
      <w:pPr>
        <w:pStyle w:val="FootnoteText"/>
      </w:pPr>
      <w:r>
        <w:rPr>
          <w:rStyle w:val="FootnoteReference"/>
        </w:rPr>
        <w:footnoteRef/>
      </w:r>
      <w:r>
        <w:t xml:space="preserve"> </w:t>
      </w:r>
      <w:r>
        <w:t xml:space="preserve">J.W. Burgon,</w:t>
      </w:r>
      <w:r>
        <w:t xml:space="preserve"> </w:t>
      </w:r>
      <w:r>
        <w:rPr>
          <w:iCs/>
          <w:i/>
        </w:rPr>
        <w:t xml:space="preserve">The Revision Revised</w:t>
      </w:r>
      <w:r>
        <w:t xml:space="preserve"> </w:t>
      </w:r>
      <w:r>
        <w:t xml:space="preserve">(Londyn: John Murray, 1883), s. 293.</w:t>
      </w:r>
    </w:p>
  </w:footnote>
  <w:footnote w:id="255">
    <w:p>
      <w:pPr>
        <w:pStyle w:val="FootnoteText"/>
      </w:pPr>
      <w:r>
        <w:rPr>
          <w:rStyle w:val="FootnoteReference"/>
        </w:rPr>
        <w:footnoteRef/>
      </w:r>
      <w:r>
        <w:t xml:space="preserve"> </w:t>
      </w:r>
      <w:r>
        <w:t xml:space="preserve">F.G. Kenyon,</w:t>
      </w:r>
      <w:r>
        <w:t xml:space="preserve"> </w:t>
      </w:r>
      <w:r>
        <w:rPr>
          <w:iCs/>
          <w:i/>
        </w:rPr>
        <w:t xml:space="preserve">Handbook to the Textual Criticism of the Greek Bible</w:t>
      </w:r>
      <w:r>
        <w:t xml:space="preserve">, wyd. 2 (Grand Rapids: Wm. B. Eerdmans Publishing Co., 1951), s. 324-325. Podczas gdy Burgon był zdecydowanym obrońcą Tradycyjnego Tekstu Nowego Testamentu, Kenyon z całą pewnością nim nie był, będąc zwolennikiem tak zwanego „tekstu krytycznego”.</w:t>
      </w:r>
    </w:p>
  </w:footnote>
  <w:footnote w:id="257">
    <w:p>
      <w:pPr>
        <w:pStyle w:val="FootnoteText"/>
      </w:pPr>
      <w:r>
        <w:rPr>
          <w:rStyle w:val="FootnoteReference"/>
        </w:rPr>
        <w:footnoteRef/>
      </w:r>
      <w:r>
        <w:t xml:space="preserve"> </w:t>
      </w:r>
      <w:r>
        <w:t xml:space="preserve">Hermann F. von Soden,</w:t>
      </w:r>
      <w:r>
        <w:t xml:space="preserve"> </w:t>
      </w:r>
      <w:r>
        <w:rPr>
          <w:iCs/>
          <w:i/>
        </w:rPr>
        <w:t xml:space="preserve">Die Schriften des Neuen Testaments</w:t>
      </w:r>
      <w:r>
        <w:t xml:space="preserve">, 2 tomy (Getynga: Vandenhoeck und Ruprecht, 1911), s. 757-765. (Jego niemiecki jest trudny do czytania).</w:t>
      </w:r>
    </w:p>
  </w:footnote>
  <w:footnote w:id="258">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59">
    <w:p>
      <w:pPr>
        <w:pStyle w:val="FootnoteText"/>
      </w:pPr>
      <w:r>
        <w:rPr>
          <w:rStyle w:val="FootnoteReference"/>
        </w:rPr>
        <w:footnoteRef/>
      </w:r>
      <w:r>
        <w:t xml:space="preserve"> </w:t>
      </w:r>
      <w:r>
        <w:t xml:space="preserve">Alexander Roberts i James Donaldson, red.,</w:t>
      </w:r>
      <w:r>
        <w:t xml:space="preserve"> </w:t>
      </w:r>
      <w:r>
        <w:rPr>
          <w:iCs/>
          <w:i/>
        </w:rPr>
        <w:t xml:space="preserve">The Ante-Nicean Fathers</w:t>
      </w:r>
      <w:r>
        <w:t xml:space="preserve">, wydanie amerykańskie (Nowy Jork: Christian Literature Co., 1906), t. I, s. 186.</w:t>
      </w:r>
    </w:p>
  </w:footnote>
  <w:footnote w:id="260">
    <w:p>
      <w:pPr>
        <w:pStyle w:val="FootnoteText"/>
      </w:pPr>
      <w:r>
        <w:rPr>
          <w:rStyle w:val="FootnoteReference"/>
        </w:rPr>
        <w:footnoteRef/>
      </w:r>
      <w:r>
        <w:t xml:space="preserve"> </w:t>
      </w:r>
      <w:r>
        <w:t xml:space="preserve">Osobista wiadomość od dr. Michaela C. Loehrera.</w:t>
      </w:r>
    </w:p>
  </w:footnote>
  <w:footnote w:id="261">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(Berlin: Walter de Gruyter, 1994).</w:t>
      </w:r>
    </w:p>
  </w:footnote>
  <w:footnote w:id="262">
    <w:p>
      <w:pPr>
        <w:pStyle w:val="FootnoteText"/>
      </w:pPr>
      <w:r>
        <w:rPr>
          <w:rStyle w:val="FootnoteReference"/>
        </w:rPr>
        <w:footnoteRef/>
      </w:r>
      <w:r>
        <w:t xml:space="preserve"> </w:t>
      </w:r>
      <w:r>
        <w:t xml:space="preserve">Barbara Aland, Gerd Mink i Klaus Wachtel, red.,</w:t>
      </w:r>
      <w:r>
        <w:t xml:space="preserve"> </w:t>
      </w:r>
      <w:r>
        <w:rPr>
          <w:iCs/>
          <w:i/>
        </w:rPr>
        <w:t xml:space="preserve">Novum Testamentum Graecum, Editio Critica Maior</w:t>
      </w:r>
      <w:r>
        <w:t xml:space="preserve"> </w:t>
      </w:r>
      <w:r>
        <w:t xml:space="preserve">(Stuttgart: Deutsche Bibelgesellschaft, 1997).</w:t>
      </w:r>
    </w:p>
  </w:footnote>
  <w:footnote w:id="263">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tekstu ciągłego sprawdzonych przez Robinsona. Sprawdził on również pewną liczbę lekcjonarzy.</w:t>
      </w:r>
    </w:p>
  </w:footnote>
  <w:footnote w:id="264">
    <w:p>
      <w:pPr>
        <w:pStyle w:val="FootnoteText"/>
      </w:pPr>
      <w:r>
        <w:rPr>
          <w:rStyle w:val="FootnoteReference"/>
        </w:rPr>
        <w:footnoteRef/>
      </w:r>
      <w:r>
        <w:t xml:space="preserve"> </w:t>
      </w:r>
      <w:r>
        <w:t xml:space="preserve">Ponieważ nie da się obiektywnie wykazać, że</w:t>
      </w:r>
      <w:r>
        <w:t xml:space="preserve"> </w:t>
      </w:r>
      <w:r>
        <w:rPr>
          <w:bCs/>
          <w:b/>
        </w:rPr>
        <w:t xml:space="preserve">M</w:t>
      </w:r>
      <w:r>
        <w:rPr>
          <w:vertAlign w:val="superscript"/>
          <w:bCs/>
          <w:b/>
        </w:rPr>
        <w:t xml:space="preserve">7</w:t>
      </w:r>
      <w:r>
        <w:t xml:space="preserve"> </w:t>
      </w:r>
      <w:r>
        <w:t xml:space="preserve">zależy od</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nie powinno się przywoływać tej wyimaginowanej zależności jako istotnej dla wieku i natury tego typu tekstu.</w:t>
      </w:r>
    </w:p>
  </w:footnote>
  <w:footnote w:id="265">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66">
    <w:p>
      <w:pPr>
        <w:pStyle w:val="FootnoteText"/>
      </w:pPr>
      <w:r>
        <w:rPr>
          <w:rStyle w:val="FootnoteReference"/>
        </w:rPr>
        <w:footnoteRef/>
      </w:r>
      <w:r>
        <w:t xml:space="preserve"> </w:t>
      </w:r>
      <w:r>
        <w:t xml:space="preserve">Ignorowanie jasnych dowodów, na które zwrócono komuś uwagę, i dalsze rozpowszechnianie twierdzenia, o którym wie się, że jest fałszywe, jest przewrotnością.</w:t>
      </w:r>
    </w:p>
  </w:footnote>
  <w:footnote w:id="267">
    <w:p>
      <w:pPr>
        <w:pStyle w:val="FootnoteText"/>
      </w:pPr>
      <w:r>
        <w:rPr>
          <w:rStyle w:val="FootnoteReference"/>
        </w:rPr>
        <w:footnoteRef/>
      </w:r>
      <w:r>
        <w:t xml:space="preserve"> </w:t>
      </w:r>
      <w:r>
        <w:t xml:space="preserve">Nawiasem mówiąc, powszechnie wiadomo, że lekcjonarze nie zawierają lekcji z Objawienia Jana. Niewiele osób wie, że niektóre manuskrypty</w:t>
      </w:r>
      <w:r>
        <w:t xml:space="preserve"> </w:t>
      </w:r>
      <w:r>
        <w:rPr>
          <w:bCs/>
          <w:b/>
        </w:rPr>
        <w:t xml:space="preserve">f</w:t>
      </w:r>
      <w:r>
        <w:rPr>
          <w:vertAlign w:val="superscript"/>
          <w:bCs/>
          <w:b/>
        </w:rPr>
        <w:t xml:space="preserve">35</w:t>
      </w:r>
      <w:r>
        <w:t xml:space="preserve"> </w:t>
      </w:r>
      <w:r>
        <w:t xml:space="preserve">zawierają aparat liturgiczny w Objawieniu Jana. Czy nie jest to coś, co zasługuje na dalsze badanie?</w:t>
      </w:r>
    </w:p>
  </w:footnote>
  <w:footnote w:id="269">
    <w:p>
      <w:pPr>
        <w:pStyle w:val="FootnoteText"/>
      </w:pPr>
      <w:r>
        <w:rPr>
          <w:rStyle w:val="FootnoteReference"/>
        </w:rPr>
        <w:footnoteRef/>
      </w:r>
      <w:r>
        <w:t xml:space="preserve"> </w:t>
      </w:r>
      <w:r>
        <w:t xml:space="preserve">Ustaliłem archetypalną formę</w:t>
      </w:r>
      <w:r>
        <w:t xml:space="preserve"> </w:t>
      </w:r>
      <w:r>
        <w:rPr>
          <w:bCs/>
          <w:b/>
        </w:rPr>
        <w:t xml:space="preserve">f</w:t>
      </w:r>
      <w:r>
        <w:rPr>
          <w:vertAlign w:val="superscript"/>
          <w:bCs/>
          <w:b/>
        </w:rPr>
        <w:t xml:space="preserve">35</w:t>
      </w:r>
      <w:r>
        <w:t xml:space="preserve"> </w:t>
      </w:r>
      <w:r>
        <w:t xml:space="preserve">dla Ewangelii Marka na podstawie pełnych kolacjonowań 53 przedstawicieli rodziny przedstawionych w poniższej tabeli. Wyniki zapisano w moim pełnym aparacie</w:t>
      </w:r>
      <w:r>
        <w:t xml:space="preserve"> </w:t>
      </w:r>
      <w:r>
        <w:rPr>
          <w:bCs/>
          <w:b/>
        </w:rPr>
        <w:t xml:space="preserve">f</w:t>
      </w:r>
      <w:r>
        <w:rPr>
          <w:vertAlign w:val="superscript"/>
          <w:bCs/>
          <w:b/>
        </w:rPr>
        <w:t xml:space="preserve">35</w:t>
      </w:r>
      <w:r>
        <w:t xml:space="preserve"> </w:t>
      </w:r>
      <w:r>
        <w:t xml:space="preserve">dla Ewangelii Marka. Istnieje siedem podziałów oscylujących wokół 20%, przy czym cztery z nich są alternatywnymi pisowniami tego samego słowa. Istnieją dwa podziały oscylujące wokół 25%. Żaden z tych dziewięciu nie jest poważnym kandydatem do formy archetypalnej. Istnieje tylko jeden poważny podział, oscylujący wokół 40%, w 13,31. Czy czasownik odnoszący się do „nieba i ziemi” ma liczbę pojedynczą czy mnogą? W języku angielskim tłumaczeniem obu jest „przeminą”, są to więc dwa sposoby powiedzenia tego samego. Chociaż liczba mnoga ma znaczne rozmieszczenie geograficzne, liczba pojedyncza ma znacznie większe. Po obu stronach są dobrzy przedstawiciele, lecz pięć najlepszych kopii ma liczbę pojedynczą. Spośród pięciu manuskryptów z XI wieku cztery mają liczbę pojedynczą. Po zsumowaniu wszystkiego pierwszeństwo otrzymuje liczba pojedyncza.</w:t>
      </w:r>
    </w:p>
  </w:footnote>
  <w:footnote w:id="270">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Ewangelii Marka zajmuje kilka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Ewangelia Marka była jedynie fragmentem zwykłej literatury starożytnej, precyzyjne oryginalne sformułowania nie miałyby większego znaczenia. I co z tego? Jaką czyniłoby to różnicę?</w:t>
      </w:r>
    </w:p>
  </w:footnote>
  <w:footnote w:id="271">
    <w:p>
      <w:pPr>
        <w:pStyle w:val="FootnoteText"/>
      </w:pPr>
      <w:r>
        <w:rPr>
          <w:rStyle w:val="FootnoteReference"/>
        </w:rPr>
        <w:footnoteRef/>
      </w:r>
      <w:r>
        <w:t xml:space="preserve"> </w:t>
      </w:r>
      <w:r>
        <w:t xml:space="preserve">Zauważ, że jego „średni” tekst nie obejmowałby odczytu tam, gdzie podział wewnętrzny był taki, iż nie istniała większość, a skoro użył tylko sześciu manuskryptów, co robił, gdy dzieliły się po równo?</w:t>
      </w:r>
    </w:p>
  </w:footnote>
  <w:footnote w:id="27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w:t>
      </w:r>
      <w:r>
        <w:t xml:space="preserve">IV (1957-1958), s. 86-87. Por. także Colwell, „Genealogical Method”, s. 119-123. Colwell podąża za Kenyonem i używa określenia „typ tekstu Beta” w odniesieniu do dzisiejszego tekstu „aleksandryjskiego”, podczas gdy Hort używał określenia „grupa b” w odniesieniu do swojego tekstu „zachodniego”.</w:t>
      </w:r>
    </w:p>
  </w:footnote>
  <w:footnote w:id="273">
    <w:p>
      <w:pPr>
        <w:pStyle w:val="FootnoteText"/>
      </w:pPr>
      <w:r>
        <w:rPr>
          <w:rStyle w:val="FootnoteReference"/>
        </w:rPr>
        <w:footnoteRef/>
      </w:r>
      <w:r>
        <w:t xml:space="preserve"> </w:t>
      </w:r>
      <w:r>
        <w:t xml:space="preserve">Zauważ, że łączna reprezentacja tego typu tekstu wynosi zaledwie trzynaście manuskryptów (w Ewangeliach) i liczba ta nie wzrosła znacząco od czasów Colwella (sześćdziesiąt lat temu) — przypomnijmy jednak, że nie ma on możliwego do wykazania archetypu. Dla kontrastu skolacjonowane przeze mnie pięćdziesiąt jeden manuskryptów</w:t>
      </w:r>
      <w:r>
        <w:t xml:space="preserve"> </w:t>
      </w:r>
      <w:r>
        <w:rPr>
          <w:bCs/>
          <w:b/>
        </w:rPr>
        <w:t xml:space="preserve">f</w:t>
      </w:r>
      <w:r>
        <w:rPr>
          <w:vertAlign w:val="superscript"/>
          <w:bCs/>
          <w:b/>
        </w:rPr>
        <w:t xml:space="preserve">35</w:t>
      </w:r>
      <w:r>
        <w:t xml:space="preserve"> </w:t>
      </w:r>
      <w:r>
        <w:t xml:space="preserve">reprezentuje tylko około 20% zachowanych przedstawicieli rodziny w Ewangeliach (około 250 manuskryptów). Pozostaje się przekonać, ile dalszych rodzin w obrębie masy bizantyjskiej można zidentyfikować jako mające jedną możliwą do wykazania formę archetypalną, na podstawie pełnego kolacjonowania wszystkich jej przedstawicieli (albo przynajmniej wystarczającej ich części, by ustalić archetyp). Dla tomów</w:t>
      </w:r>
      <w:r>
        <w:t xml:space="preserve"> </w:t>
      </w:r>
      <w:r>
        <w:rPr>
          <w:iCs/>
          <w:i/>
        </w:rPr>
        <w:t xml:space="preserve">TuT</w:t>
      </w:r>
      <w:r>
        <w:t xml:space="preserve"> </w:t>
      </w:r>
      <w:r>
        <w:t xml:space="preserve">obejmujących pierwszych dziesięć rozdziałów Ewangelii Jana</w:t>
      </w:r>
      <w:r>
        <w:t xml:space="preserve"> </w:t>
      </w:r>
      <w:r>
        <w:rPr>
          <w:iCs/>
          <w:i/>
        </w:rPr>
        <w:t xml:space="preserve">INTF</w:t>
      </w:r>
      <w:r>
        <w:t xml:space="preserve"> </w:t>
      </w:r>
      <w:r>
        <w:t xml:space="preserve">skolacjonował około 1875 manuskryptów dla 153 zestawów wariantów. Strony 54-90 pierwszego tomu zawierają listę „grupowań” manuskryptów, poza ich</w:t>
      </w:r>
      <w:r>
        <w:t xml:space="preserve"> </w:t>
      </w:r>
      <w:r>
        <w:rPr>
          <w:bCs/>
          <w:b/>
        </w:rPr>
        <w:t xml:space="preserve">K</w:t>
      </w:r>
      <w:r>
        <w:rPr>
          <w:vertAlign w:val="superscript"/>
          <w:bCs/>
          <w:b/>
        </w:rPr>
        <w:t xml:space="preserve">r</w:t>
      </w:r>
      <w:r>
        <w:t xml:space="preserve"> </w:t>
      </w:r>
      <w:r>
        <w:t xml:space="preserve">największa grupa ma 53 manuskrypty i przewodzi jej manuskrypt 2103. Liczba grup jest oszałamiająca. Ponadto, z nielicznymi wyjątkami, grupy lub rodziny zidentyfikowane przez von Sodena i innych ograniczają się do Ewangelii, nie istnieją w 27 księgach tworzących nasz kanon Nowego Testamentu. Jeśli jednak Bóg natchnął wszystkie 27 ksiąg, musiał zachować wszystkie 27 ksiąg (bo po co w przeciwnym razie je natchnąć). Ponieważ Autograf jest archetypem w najpełniejszym znaczeniu, każdy kandydat do tego zachowania powinien mieć archetyp, archetyp ustalony empirycznie, i to dla wszystkich 27 ksiąg — w chwili pisania tych słów istnieje tylko jeden: Rodzina 35.</w:t>
      </w:r>
    </w:p>
  </w:footnote>
  <w:footnote w:id="274">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75">
    <w:p>
      <w:pPr>
        <w:pStyle w:val="FootnoteText"/>
      </w:pPr>
      <w:r>
        <w:rPr>
          <w:rStyle w:val="FootnoteReference"/>
        </w:rPr>
        <w:footnoteRef/>
      </w:r>
      <w:r>
        <w:t xml:space="preserve"> </w:t>
      </w:r>
      <w:r>
        <w:t xml:space="preserve">Powtarzam tutaj zdanie z akapitu Colwella: „Wyniki te przekonująco pokazują, że każda próba odtworzenia archetypu typu tekstu Beta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77">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79">
    <w:p>
      <w:pPr>
        <w:pStyle w:val="FootnoteText"/>
      </w:pPr>
      <w:r>
        <w:rPr>
          <w:rStyle w:val="FootnoteReference"/>
        </w:rPr>
        <w:footnoteRef/>
      </w:r>
      <w:r>
        <w:t xml:space="preserve"> </w:t>
      </w:r>
      <w:r>
        <w:t xml:space="preserve">11 manuskryptów × 16 rozdziałów = 171 rozdziałów, tych jedenaście manuskryptów razem potrzebowało aż 171 rozdziałów, aby wprowadzić tyle wariantów, ile Kodeks B zdołał wprowadzić w jednym! Oznacza to, że Kodeks B jest 171 razy gorszy niż jedenastu przedstawicieli</w:t>
      </w:r>
      <w:r>
        <w:t xml:space="preserve"> </w:t>
      </w:r>
      <w:r>
        <w:rPr>
          <w:bCs/>
          <w:b/>
        </w:rPr>
        <w:t xml:space="preserve">f</w:t>
      </w:r>
      <w:r>
        <w:rPr>
          <w:vertAlign w:val="superscript"/>
          <w:bCs/>
          <w:b/>
        </w:rPr>
        <w:t xml:space="preserve">35</w:t>
      </w:r>
      <w:r>
        <w:t xml:space="preserve"> </w:t>
      </w:r>
      <w:r>
        <w:t xml:space="preserve">razem wziętych. A jednak są tacy, którzy twierdzili, że B jest naszym „najlepszym” manuskryptem!</w:t>
      </w:r>
    </w:p>
  </w:footnote>
  <w:footnote w:id="280">
    <w:p>
      <w:pPr>
        <w:pStyle w:val="FootnoteText"/>
      </w:pPr>
      <w:r>
        <w:rPr>
          <w:rStyle w:val="FootnoteReference"/>
        </w:rPr>
        <w:footnoteRef/>
      </w:r>
      <w:r>
        <w:t xml:space="preserve"> </w:t>
      </w:r>
      <w:r>
        <w:t xml:space="preserve">To znaczy, że jedenaście manuskryptów ma między sobą szesnaście wariantów w całej księdze, czyli średnio po 1,5 wariantu na każdy manuskrypt w całej księdze.</w:t>
      </w:r>
    </w:p>
  </w:footnote>
  <w:footnote w:id="284">
    <w:p>
      <w:pPr>
        <w:pStyle w:val="FootnoteText"/>
      </w:pPr>
      <w:r>
        <w:rPr>
          <w:rStyle w:val="FootnoteReference"/>
        </w:rPr>
        <w:footnoteRef/>
      </w:r>
      <w:r>
        <w:t xml:space="preserve"> </w:t>
      </w:r>
      <w:r>
        <w:rPr>
          <w:iCs/>
          <w:i/>
        </w:rPr>
        <w:t xml:space="preserve">New Testament Greek Manuscripts—Romans</w:t>
      </w:r>
      <w:r>
        <w:t xml:space="preserve"> </w:t>
      </w:r>
      <w:r>
        <w:t xml:space="preserve">(Pasadena, Kalifornia: William Carey International University Press, 2001). W Ewangeliach Kodeks A jest marginalnie bizantyjski, lecz w Listach uznaje się go za dobrej jakości manuskrypt aleksandryjski. (Wydaje mi się, że pamiętam wyrażoną opinię, iż jest lepszy niż Alef, a nawet B).</w:t>
      </w:r>
    </w:p>
  </w:footnote>
  <w:footnote w:id="285">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Listu do Rzymian może zająć dwa pełne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List do Rzymian był jedynie fragmentem zwykłej literatury starożytnej, precyzyjne oryginalne sformułowania nie miałyby większego znaczenia. I co z tego? Jaką czyniłoby to różnicę?</w:t>
      </w:r>
    </w:p>
  </w:footnote>
  <w:footnote w:id="286">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87">
    <w:p>
      <w:pPr>
        <w:pStyle w:val="FootnoteText"/>
      </w:pPr>
      <w:r>
        <w:rPr>
          <w:rStyle w:val="FootnoteReference"/>
        </w:rPr>
        <w:footnoteRef/>
      </w:r>
      <w:r>
        <w:t xml:space="preserve"> </w:t>
      </w:r>
      <w:r>
        <w:t xml:space="preserve">Zawiera tylko 1,1-11,22.</w:t>
      </w:r>
    </w:p>
  </w:footnote>
  <w:footnote w:id="288">
    <w:p>
      <w:pPr>
        <w:pStyle w:val="FootnoteText"/>
      </w:pPr>
      <w:r>
        <w:rPr>
          <w:rStyle w:val="FootnoteReference"/>
        </w:rPr>
        <w:footnoteRef/>
      </w:r>
      <w:r>
        <w:t xml:space="preserve"> </w:t>
      </w:r>
      <w:r>
        <w:t xml:space="preserve">Jeśli mogę zapożyczyć stwierdzenie Colwella: „Wyniki te przekonująco pokazują, że każda próba odtworzenia archetypu typu tekstu Beta (aleksandryjskiego)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90">
    <w:p>
      <w:pPr>
        <w:pStyle w:val="FootnoteText"/>
      </w:pPr>
      <w:r>
        <w:rPr>
          <w:rStyle w:val="FootnoteReference"/>
        </w:rPr>
        <w:footnoteRef/>
      </w:r>
      <w:r>
        <w:t xml:space="preserve"> </w:t>
      </w:r>
      <w:r>
        <w:t xml:space="preserve">Patrząc na powyższą listę, widać, że współczynnik staranności kopisty się zmieniał, około połowa zmian wystąpiła w ostatnich dwóch rozdziałach, między 5,13 a 9,15 nie ma żadnych zmian, przez cztery rozdziały wykonywał więc doskonałą pracę. W rozdziale 16 najwyraźniej uległ jakiemuś wpływowi zewnętrznemu. Mimo wszystko 1892 jest odpowiednim przedstawicielem oryginalnych sformułowań Listu do Rzymian.</w:t>
      </w:r>
    </w:p>
  </w:footnote>
  <w:footnote w:id="291">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92">
    <w:p>
      <w:pPr>
        <w:pStyle w:val="FootnoteText"/>
      </w:pPr>
      <w:r>
        <w:rPr>
          <w:rStyle w:val="FootnoteReference"/>
        </w:rPr>
        <w:footnoteRef/>
      </w:r>
      <w:r>
        <w:t xml:space="preserve"> </w:t>
      </w:r>
      <w:r>
        <w:t xml:space="preserve">Dobrze jednak pamiętać o tym, co napisano w 2 Liście do Koryntian 4,7: mamy „skarb” w „glinianych naczyniach”. Nawet mając w ręku doskonały Tekst, z powodu naszych wrodzonych ograniczeń nie jesteśmy zdolni w pełni go wykorzystać. Kto z nas może zagwarantować doskonałą interpretację tego doskonałego Tekstu? Potrzebna jest pokora.</w:t>
      </w:r>
    </w:p>
  </w:footnote>
  <w:footnote w:id="294">
    <w:p>
      <w:pPr>
        <w:pStyle w:val="FootnoteText"/>
      </w:pPr>
      <w:r>
        <w:rPr>
          <w:rStyle w:val="FootnoteReference"/>
        </w:rPr>
        <w:footnoteRef/>
      </w:r>
      <w:r>
        <w:t xml:space="preserve"> </w:t>
      </w:r>
      <w:r>
        <w:t xml:space="preserve">Jeśli podzielimy 43 przez 18, otrzymamy średnio około 2,4 wariantu dla każdego z osiemnastu manuskryptów w całej księdze. Jeśli weźmiemy przeciętny manuskrypt taki jak 204 (spośród tych 18), z jego trzema wariantami, i porównamy go z Kodeksem Alef, z jego 133 wariantami, 204 potrzebowałby aż 44 ksiąg wielkości Listu do Rzymian, aby wytworzyć tyle odejść od swojego archetypu, ile Alef wytworzył od swojego hipotetycznego archetypu w jednej księdze. 204 potrzebowałby aż 56 takich ksiąg, aby wytworzyć tyle takich odejść, co Kodeks B, i 68 w przypadku Kodeksu A! Naprawdę, łagodny czytelniku, jaką obiektywną podstawę może ktokolwiek przywołać dla preferowania tekstu „aleksandryjskiego”? Czynienie tego na podstawie subiektywnej preferencji jest zwykłym zabobonem.</w:t>
      </w:r>
    </w:p>
  </w:footnote>
  <w:footnote w:id="295">
    <w:p>
      <w:pPr>
        <w:pStyle w:val="FootnoteText"/>
      </w:pPr>
      <w:r>
        <w:rPr>
          <w:rStyle w:val="FootnoteReference"/>
        </w:rPr>
        <w:footnoteRef/>
      </w:r>
      <w:r>
        <w:t xml:space="preserve"> </w:t>
      </w:r>
      <w:r>
        <w:t xml:space="preserve">To znaczy, że osiemnaście manuskryptów ma między sobą piętnaście wariantów w całej księdze, czyli średnio po 0,83 wariantu na każdy manuskrypt w całej księdze — zaiste, niewiarygodnie staranny przekaz.</w:t>
      </w:r>
    </w:p>
  </w:footnote>
  <w:footnote w:id="301">
    <w:p>
      <w:pPr>
        <w:pStyle w:val="FootnoteText"/>
      </w:pPr>
      <w:r>
        <w:rPr>
          <w:rStyle w:val="FootnoteReference"/>
        </w:rPr>
        <w:footnoteRef/>
      </w:r>
      <w:r>
        <w:t xml:space="preserve"> </w:t>
      </w:r>
      <w:r>
        <w:t xml:space="preserve">Podaję miejsce i datę zgodnie z</w:t>
      </w:r>
      <w:r>
        <w:t xml:space="preserve"> </w:t>
      </w:r>
      <w:r>
        <w:rPr>
          <w:iCs/>
          <w:i/>
        </w:rPr>
        <w:t xml:space="preserve">Kurzgefasste Liste</w:t>
      </w:r>
      <w:r>
        <w:t xml:space="preserve"> </w:t>
      </w:r>
      <w:r>
        <w:t xml:space="preserve">(1994), chociaż muszę przyznać, że czasami mam wątpliwości co do dokładności datowania.</w:t>
      </w:r>
    </w:p>
  </w:footnote>
  <w:footnote w:id="302">
    <w:p>
      <w:pPr>
        <w:pStyle w:val="FootnoteText"/>
      </w:pPr>
      <w:r>
        <w:rPr>
          <w:rStyle w:val="FootnoteReference"/>
        </w:rPr>
        <w:footnoteRef/>
      </w:r>
      <w:r>
        <w:t xml:space="preserve"> </w:t>
      </w:r>
      <w:r>
        <w:t xml:space="preserve">Chociaż 18 znajduje się obecnie w Paryżu, został sporządzony w Konstantynopolu.</w:t>
      </w:r>
    </w:p>
  </w:footnote>
  <w:footnote w:id="303">
    <w:p>
      <w:pPr>
        <w:pStyle w:val="FootnoteText"/>
      </w:pPr>
      <w:r>
        <w:rPr>
          <w:rStyle w:val="FootnoteReference"/>
        </w:rPr>
        <w:footnoteRef/>
      </w:r>
      <w:r>
        <w:t xml:space="preserve"> </w:t>
      </w:r>
      <w:r>
        <w:t xml:space="preserve">Chociaż 35 znajduje się obecnie w Paryżu, został pozyskany na obszarze egejskim.</w:t>
      </w:r>
    </w:p>
  </w:footnote>
  <w:footnote w:id="305">
    <w:p>
      <w:pPr>
        <w:pStyle w:val="FootnoteText"/>
      </w:pPr>
      <w:r>
        <w:rPr>
          <w:rStyle w:val="FootnoteReference"/>
        </w:rPr>
        <w:footnoteRef/>
      </w:r>
      <w:r>
        <w:t xml:space="preserve"> </w:t>
      </w:r>
      <w:r>
        <w:t xml:space="preserve">18, 928, 1864 i 2723 sporządzono odpowiednio w Konstantynopolu, Dionysiu, Stavronikicie i Trikali — uważam za praktycznie niemożliwe, by miały wspólny egzemplarz (oczywiście mogą łączyć się gdzieś dalej wstecz w linii).</w:t>
      </w:r>
    </w:p>
  </w:footnote>
  <w:footnote w:id="306">
    <w:p>
      <w:pPr>
        <w:pStyle w:val="FootnoteText"/>
      </w:pPr>
      <w:r>
        <w:rPr>
          <w:rStyle w:val="FootnoteReference"/>
        </w:rPr>
        <w:footnoteRef/>
      </w:r>
      <w:r>
        <w:t xml:space="preserve"> </w:t>
      </w:r>
      <w:r>
        <w:t xml:space="preserve">W rzeczywistości skolacjonowałem już 39 przedstawicieli rodziny dla 1 Listu do Tesaloniczan i 38 dla 2 Listu do Tesaloniczan. Prawdopodobnie reprezentują co najmniej 40% wszystkich zachowanych członków rodziny, naprawdę nie może więc być wątpliwości, że poprawnie reprezentują archetyp rodziny.</w:t>
      </w:r>
    </w:p>
  </w:footnote>
  <w:footnote w:id="307">
    <w:p>
      <w:pPr>
        <w:pStyle w:val="FootnoteText"/>
      </w:pPr>
      <w:r>
        <w:rPr>
          <w:rStyle w:val="FootnoteReference"/>
        </w:rPr>
        <w:footnoteRef/>
      </w:r>
      <w:r>
        <w:t xml:space="preserve"> </w:t>
      </w:r>
      <w:r>
        <w:t xml:space="preserve">Znalezienie na końcu manuskryptu kolofonu, w którym kopista wzywa Boga, prosząc Go o miłosierdzie, a nawet o uznanie i błogosławieństwo, nie jest niczym niezwykłym.</w:t>
      </w:r>
    </w:p>
  </w:footnote>
  <w:footnote w:id="309">
    <w:p>
      <w:pPr>
        <w:pStyle w:val="FootnoteText"/>
      </w:pPr>
      <w:r>
        <w:rPr>
          <w:rStyle w:val="FootnoteReference"/>
        </w:rPr>
        <w:footnoteRef/>
      </w:r>
      <w:r>
        <w:t xml:space="preserve"> </w:t>
      </w:r>
      <w:r>
        <w:t xml:space="preserve">444 jest manuskryptem mieszanym. W Liście Jakuba oraz 1 i 2 Liście Piotra w ogóle nie należy do</w:t>
      </w:r>
      <w:r>
        <w:t xml:space="preserve"> </w:t>
      </w:r>
      <w:r>
        <w:rPr>
          <w:bCs/>
          <w:b/>
        </w:rPr>
        <w:t xml:space="preserve">f</w:t>
      </w:r>
      <w:r>
        <w:rPr>
          <w:vertAlign w:val="superscript"/>
          <w:bCs/>
          <w:b/>
        </w:rPr>
        <w:t xml:space="preserve">35</w:t>
      </w:r>
      <w:r>
        <w:t xml:space="preserve">, natomiast w 1 Liście Jana jest bardzo marginalnym członkiem rodziny.</w:t>
      </w:r>
    </w:p>
  </w:footnote>
  <w:footnote w:id="311">
    <w:p>
      <w:pPr>
        <w:pStyle w:val="FootnoteText"/>
      </w:pPr>
      <w:r>
        <w:rPr>
          <w:rStyle w:val="FootnoteReference"/>
        </w:rPr>
        <w:footnoteRef/>
      </w:r>
      <w:r>
        <w:t xml:space="preserve"> </w:t>
      </w:r>
      <w:r>
        <w:t xml:space="preserve">Wykazałem to już wyżej dla Listów do Tesaloniczan i jestem w stanie uczynić to samo dla wszystkich ksiąg Nowego Testamentu. Oczywiście im dłuższa księga, tym większe prawdopodobieństwo, że kopista popełni jeden czy dwa nieumyślne błędy. Mimo to mam doskonałą kopię Listu do Rzymian (dość obszernego i złożonego) oraz jedną Ewangelii Mateusza (ni mniej, ni więcej, tylko Ewangelii!).</w:t>
      </w:r>
    </w:p>
  </w:footnote>
  <w:footnote w:id="312">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315">
    <w:p>
      <w:pPr>
        <w:pStyle w:val="FootnoteText"/>
      </w:pPr>
      <w:r>
        <w:rPr>
          <w:rStyle w:val="FootnoteReference"/>
        </w:rPr>
        <w:footnoteRef/>
      </w:r>
      <w:r>
        <w:t xml:space="preserve"> </w:t>
      </w:r>
      <w:r>
        <w:t xml:space="preserve">Profil Rodziny 35 znajduje się w Dodatku B do mojego</w:t>
      </w:r>
      <w:r>
        <w:t xml:space="preserve"> </w:t>
      </w:r>
      <w:r>
        <w:rPr>
          <w:iCs/>
          <w:i/>
        </w:rPr>
        <w:t xml:space="preserve">Identity IV</w:t>
      </w:r>
      <w:r>
        <w:t xml:space="preserve">, dostępnego bezpłatnie na mojej stronie www.prunch.org, lecz został również uwzględniony jako druga część niniejszej części II. Pełny archetyp jest wydrukowany w moim</w:t>
      </w:r>
      <w:r>
        <w:t xml:space="preserve"> </w:t>
      </w:r>
      <w:r>
        <w:rPr>
          <w:iCs/>
          <w:i/>
        </w:rPr>
        <w:t xml:space="preserve">The Greek New Testament according to Family 35</w:t>
      </w:r>
      <w:r>
        <w:t xml:space="preserve">.</w:t>
      </w:r>
    </w:p>
  </w:footnote>
  <w:footnote w:id="316">
    <w:p>
      <w:pPr>
        <w:pStyle w:val="FootnoteText"/>
      </w:pPr>
      <w:r>
        <w:rPr>
          <w:rStyle w:val="FootnoteReference"/>
        </w:rPr>
        <w:footnoteRef/>
      </w:r>
      <w:r>
        <w:t xml:space="preserve"> </w:t>
      </w:r>
      <w:r>
        <w:t xml:space="preserve">Zaledwie 49 w całym Nowym Testamencie jest po prostu zdumiewające.</w:t>
      </w:r>
    </w:p>
  </w:footnote>
  <w:footnote w:id="317">
    <w:p>
      <w:pPr>
        <w:pStyle w:val="FootnoteText"/>
      </w:pPr>
      <w:r>
        <w:rPr>
          <w:rStyle w:val="FootnoteReference"/>
        </w:rPr>
        <w:footnoteRef/>
      </w:r>
      <w:r>
        <w:t xml:space="preserve"> </w:t>
      </w:r>
      <w:r>
        <w:t xml:space="preserve">Wartości procentowe w nawiasach okrągłych zaczerpnięto z</w:t>
      </w:r>
      <w:r>
        <w:t xml:space="preserve"> </w:t>
      </w:r>
      <w:r>
        <w:rPr>
          <w:iCs/>
          <w:i/>
        </w:rPr>
        <w:t xml:space="preserve">Text und Textwert</w:t>
      </w:r>
      <w:r>
        <w:t xml:space="preserve">, natomiast te w nawiasach kwadratowych są moimi własnymi ekstrapolacjami.</w:t>
      </w:r>
    </w:p>
  </w:footnote>
  <w:footnote w:id="318">
    <w:p>
      <w:pPr>
        <w:pStyle w:val="FootnoteText"/>
      </w:pPr>
      <w:r>
        <w:rPr>
          <w:rStyle w:val="FootnoteReference"/>
        </w:rPr>
        <w:footnoteRef/>
      </w:r>
      <w:r>
        <w:t xml:space="preserve"> </w:t>
      </w:r>
      <w:r>
        <w:t xml:space="preserve">W Objawieniu Jana nie podaję wartości procentowych, ponieważ przedstawiam dowody w kategoriach rodzin, zainteresowany czytelnik powinien sprawdzić dowody w moim Tekście greckim.</w:t>
      </w:r>
    </w:p>
  </w:footnote>
  <w:footnote w:id="319">
    <w:p>
      <w:pPr>
        <w:pStyle w:val="FootnoteText"/>
      </w:pPr>
      <w:r>
        <w:rPr>
          <w:rStyle w:val="FootnoteReference"/>
        </w:rPr>
        <w:footnoteRef/>
      </w:r>
      <w:r>
        <w:t xml:space="preserve"> </w:t>
      </w:r>
      <w:r>
        <w:t xml:space="preserve">Dotyczy to wszystkich 49 powyższych przypadków. Czytelnik nie zostałby w żadnym miejscu całego Nowego Testamentu wprowadzony w błąd co do zamierzonego znaczenia!</w:t>
      </w:r>
    </w:p>
  </w:footnote>
  <w:footnote w:id="322">
    <w:p>
      <w:pPr>
        <w:pStyle w:val="FootnoteText"/>
      </w:pPr>
      <w:r>
        <w:rPr>
          <w:rStyle w:val="FootnoteReference"/>
        </w:rPr>
        <w:footnoteRef/>
      </w:r>
      <w:r>
        <w:t xml:space="preserve"> </w:t>
      </w:r>
      <w:r>
        <w:t xml:space="preserve">Czy wszystkie pojedyncze wzorce, a właściwie szeroka różnorodność wzorców (co najmniej 24), nie wskazują, że przekaz był normalny? Nie było narzuconej zgodności.</w:t>
      </w:r>
    </w:p>
  </w:footnote>
  <w:footnote w:id="324">
    <w:p>
      <w:pPr>
        <w:pStyle w:val="FootnoteText"/>
      </w:pPr>
      <w:r>
        <w:rPr>
          <w:rStyle w:val="FootnoteReference"/>
        </w:rPr>
        <w:footnoteRef/>
      </w:r>
      <w:r>
        <w:t xml:space="preserve"> </w:t>
      </w:r>
      <w:r>
        <w:t xml:space="preserve">„New Testament Textual Criticism: Search for Method”, praca magisterska M.Div., Princeton Theological Seminary, 1981, s. 40 — z kopii, którą przesłał mi osobiście.</w:t>
      </w:r>
    </w:p>
  </w:footnote>
  <w:footnote w:id="325">
    <w:p>
      <w:pPr>
        <w:pStyle w:val="FootnoteText"/>
      </w:pPr>
      <w:r>
        <w:rPr>
          <w:rStyle w:val="FootnoteReference"/>
        </w:rPr>
        <w:footnoteRef/>
      </w:r>
      <w:r>
        <w:t xml:space="preserve"> </w:t>
      </w:r>
      <w:r>
        <w:t xml:space="preserve">Istnieje stosunkowo niewiele manuskryptów (około 60) całego Nowego Testamentu (oraz około 150 dalszych, które mają wszystko oprócz Objawienia Jana), ze względu na objętość (oraz fizyczną i finansową trudność zgromadzenia wystarczającej ilości skóry) cztery Ewangelie kopiowano jako jednostkę, podobnie Listy Pawła (łącznie z Listem do Hebrajczyków) i Listy Ogólne. Dzieje Apostolskie zazwyczaj łączono z Listami Ogólnymi, lecz nie zawsze, istnieje też wiele manuskryptów (ponad 300), które łączą Dzieje Apostolskie, Pawła i Listy Ogólne. Objawienie Jana dodawano tu i ówdzie.</w:t>
      </w:r>
    </w:p>
  </w:footnote>
  <w:footnote w:id="326">
    <w:p>
      <w:pPr>
        <w:pStyle w:val="FootnoteText"/>
      </w:pPr>
      <w:r>
        <w:rPr>
          <w:rStyle w:val="FootnoteReference"/>
        </w:rPr>
        <w:footnoteRef/>
      </w:r>
      <w:r>
        <w:t xml:space="preserve"> </w:t>
      </w:r>
      <w:r>
        <w:t xml:space="preserve">Na pierwszy rzut oka, lecz po właściwym ponownym zdefiniowaniu druga może być łatwiejsza.</w:t>
      </w:r>
    </w:p>
  </w:footnote>
  <w:footnote w:id="327">
    <w:p>
      <w:pPr>
        <w:pStyle w:val="FootnoteText"/>
      </w:pPr>
      <w:r>
        <w:rPr>
          <w:rStyle w:val="FootnoteReference"/>
        </w:rPr>
        <w:footnoteRef/>
      </w:r>
      <w:r>
        <w:t xml:space="preserve"> </w:t>
      </w:r>
      <w:r>
        <w:t xml:space="preserve">Ponieważ Autografy nie zawierały podziałów na rozdziały ani wersety, a nawet podziału na słowa (sądząc po najwcześniejszych zachowanych manuskryptach), nic mniej niż cała księga nie będzie przekonujące.</w:t>
      </w:r>
    </w:p>
  </w:footnote>
  <w:footnote w:id="328">
    <w:p>
      <w:pPr>
        <w:pStyle w:val="FootnoteText"/>
      </w:pPr>
      <w:r>
        <w:rPr>
          <w:rStyle w:val="FootnoteReference"/>
        </w:rPr>
        <w:footnoteRef/>
      </w:r>
      <w:r>
        <w:t xml:space="preserve"> </w:t>
      </w:r>
      <w:r>
        <w:rPr>
          <w:iCs/>
          <w:i/>
        </w:rPr>
        <w:t xml:space="preserve">The Identity of the New Testament Text</w:t>
      </w:r>
      <w:r>
        <w:t xml:space="preserve"> </w:t>
      </w:r>
      <w:r>
        <w:t xml:space="preserve">(Nashville: Thomas Nelson Inc., Publishers, 1977) — obecnie jednak proszę zobaczyć niniejsze wydanie,</w:t>
      </w:r>
      <w:r>
        <w:t xml:space="preserve"> </w:t>
      </w:r>
      <w:r>
        <w:rPr>
          <w:iCs/>
          <w:i/>
        </w:rPr>
        <w:t xml:space="preserve">The Identity of the New Testament Text IV</w:t>
      </w:r>
      <w:r>
        <w:t xml:space="preserve">.</w:t>
      </w:r>
    </w:p>
  </w:footnote>
  <w:footnote w:id="329">
    <w:p>
      <w:pPr>
        <w:pStyle w:val="FootnoteText"/>
      </w:pPr>
      <w:r>
        <w:rPr>
          <w:rStyle w:val="FootnoteReference"/>
        </w:rPr>
        <w:footnoteRef/>
      </w:r>
      <w:r>
        <w:t xml:space="preserve"> </w:t>
      </w:r>
      <w:r>
        <w:t xml:space="preserve">Sam skolacjonowałem wszystkie czterdzieści trzy manuskrypty.</w:t>
      </w:r>
    </w:p>
  </w:footnote>
  <w:footnote w:id="330">
    <w:p>
      <w:pPr>
        <w:pStyle w:val="FootnoteText"/>
      </w:pPr>
      <w:r>
        <w:rPr>
          <w:rStyle w:val="FootnoteReference"/>
        </w:rPr>
        <w:footnoteRef/>
      </w:r>
      <w:r>
        <w:t xml:space="preserve"> </w:t>
      </w:r>
      <w:r>
        <w:t xml:space="preserve">Pomimo całej swojej nieokiełznanej odmienności 664 ma wszystkie diagnostyczne odczyty</w:t>
      </w:r>
      <w:r>
        <w:t xml:space="preserve"> </w:t>
      </w:r>
      <w:r>
        <w:rPr>
          <w:bCs/>
          <w:b/>
        </w:rPr>
        <w:t xml:space="preserve">f</w:t>
      </w:r>
      <w:r>
        <w:rPr>
          <w:vertAlign w:val="superscript"/>
          <w:bCs/>
          <w:b/>
        </w:rPr>
        <w:t xml:space="preserve">35</w:t>
      </w:r>
      <w:r>
        <w:t xml:space="preserve">, a zatem wyraźnie jest członkiem rodziny (choć niedbałym i rozwiązłym).</w:t>
      </w:r>
    </w:p>
  </w:footnote>
  <w:footnote w:id="331">
    <w:p>
      <w:pPr>
        <w:pStyle w:val="FootnoteText"/>
      </w:pPr>
      <w:r>
        <w:rPr>
          <w:rStyle w:val="FootnoteReference"/>
        </w:rPr>
        <w:footnoteRef/>
      </w:r>
      <w:r>
        <w:t xml:space="preserve"> </w:t>
      </w:r>
      <w:r>
        <w:t xml:space="preserve">W 986 brakuje 1 Listu Piotra 1,23-2,15.</w:t>
      </w:r>
    </w:p>
  </w:footnote>
  <w:footnote w:id="332">
    <w:p>
      <w:pPr>
        <w:pStyle w:val="FootnoteText"/>
      </w:pPr>
      <w:r>
        <w:rPr>
          <w:rStyle w:val="FootnoteReference"/>
        </w:rPr>
        <w:footnoteRef/>
      </w:r>
      <w:r>
        <w:t xml:space="preserve"> </w:t>
      </w:r>
      <w:r>
        <w:t xml:space="preserve">Manuskrypt 1754 ustępuje niedbałością jedynie 664, lecz wyraźnie jest członkiem rodziny.</w:t>
      </w:r>
    </w:p>
  </w:footnote>
  <w:footnote w:id="334">
    <w:p>
      <w:pPr>
        <w:pStyle w:val="FootnoteText"/>
      </w:pPr>
      <w:r>
        <w:rPr>
          <w:rStyle w:val="FootnoteReference"/>
        </w:rPr>
        <w:footnoteRef/>
      </w:r>
      <w:r>
        <w:t xml:space="preserve"> </w:t>
      </w:r>
      <w:r>
        <w:t xml:space="preserve">Zanim sam skolacjonowałem rękopis kursywny 18, byłem ograniczony do kolacjonowania odzwierciedlonego w</w:t>
      </w:r>
      <w:r>
        <w:t xml:space="preserve"> </w:t>
      </w:r>
      <w:r>
        <w:rPr>
          <w:iCs/>
          <w:i/>
        </w:rPr>
        <w:t xml:space="preserve">TuT</w:t>
      </w:r>
      <w:r>
        <w:t xml:space="preserve"> </w:t>
      </w:r>
      <w:r>
        <w:t xml:space="preserve">(</w:t>
      </w:r>
      <w:r>
        <w:rPr>
          <w:iCs/>
          <w:i/>
        </w:rPr>
        <w:t xml:space="preserve">Text und Textwert der Griechischen Handschriften des Neuen Testaments</w:t>
      </w:r>
      <w:r>
        <w:t xml:space="preserve"> </w:t>
      </w:r>
      <w:r>
        <w:t xml:space="preserve">[red. Kurt Aland, Berlin: Walter de Gruyter, 1987], tomy 9 i 11), które najwyraźniej przypisuje kopiście dwa błędy, jestem przekonany, że nie ma żadnego.</w:t>
      </w:r>
    </w:p>
  </w:footnote>
  <w:footnote w:id="335">
    <w:p>
      <w:pPr>
        <w:pStyle w:val="FootnoteText"/>
      </w:pPr>
      <w:r>
        <w:rPr>
          <w:rStyle w:val="FootnoteReference"/>
        </w:rPr>
        <w:footnoteRef/>
      </w:r>
      <w:r>
        <w:t xml:space="preserve"> </w:t>
      </w:r>
      <w:r>
        <w:t xml:space="preserve">W Liście Jakuba istnieją tylko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 znajdujących się w Dodatku.</w:t>
      </w:r>
    </w:p>
  </w:footnote>
  <w:footnote w:id="336">
    <w:p>
      <w:pPr>
        <w:pStyle w:val="FootnoteText"/>
      </w:pPr>
      <w:r>
        <w:rPr>
          <w:rStyle w:val="FootnoteReference"/>
        </w:rPr>
        <w:footnoteRef/>
      </w:r>
      <w:r>
        <w:t xml:space="preserve"> </w:t>
      </w:r>
      <w:r>
        <w:t xml:space="preserve">W 1 Liście Piotra istnieje osiem znaczących podziałów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7">
    <w:p>
      <w:pPr>
        <w:pStyle w:val="FootnoteText"/>
      </w:pPr>
      <w:r>
        <w:rPr>
          <w:rStyle w:val="FootnoteReference"/>
        </w:rPr>
        <w:footnoteRef/>
      </w:r>
      <w:r>
        <w:t xml:space="preserve"> </w:t>
      </w:r>
      <w:r>
        <w:t xml:space="preserve">W 2 Liście Piotra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8">
    <w:p>
      <w:pPr>
        <w:pStyle w:val="FootnoteText"/>
      </w:pPr>
      <w:r>
        <w:rPr>
          <w:rStyle w:val="FootnoteReference"/>
        </w:rPr>
        <w:footnoteRef/>
      </w:r>
      <w:r>
        <w:t xml:space="preserve"> </w:t>
      </w:r>
      <w:r>
        <w:t xml:space="preserve">W 1 Liście Jana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41">
    <w:p>
      <w:pPr>
        <w:pStyle w:val="FootnoteText"/>
      </w:pPr>
      <w:r>
        <w:rPr>
          <w:rStyle w:val="FootnoteReference"/>
        </w:rPr>
        <w:footnoteRef/>
      </w:r>
      <w:r>
        <w:t xml:space="preserve"> </w:t>
      </w:r>
      <w:r>
        <w:t xml:space="preserve">Jeśli ktoś chciałby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 — twierdzenie Horta, że jego tekst „syryjski” był wynikiem recenzji „lucjańskiej”, jest klasycznym przykładem (Burgon protestował wówczas przeciw całkowitemu brakowi dowodów i od tamtej pory nikt żadnych nie przedstawił). Przypominam czytelnikowi, że dowód należy rygorystycznie odróżniać od założenia wstępnego i interpretacji.</w:t>
      </w:r>
    </w:p>
  </w:footnote>
  <w:footnote w:id="342">
    <w:p>
      <w:pPr>
        <w:pStyle w:val="FootnoteText"/>
      </w:pPr>
      <w:r>
        <w:rPr>
          <w:rStyle w:val="FootnoteReference"/>
        </w:rPr>
        <w:footnoteRef/>
      </w:r>
      <w:r>
        <w:t xml:space="preserve"> </w:t>
      </w:r>
      <w:r>
        <w:t xml:space="preserve">Byłoby to prawdą dla tekstu archetypalnego każdej grupy 70-80 manuskryptów lub nawet mniejszej. Tym bardziej, jeśli archetyp jest Autografem.</w:t>
      </w:r>
    </w:p>
  </w:footnote>
  <w:footnote w:id="346">
    <w:p>
      <w:pPr>
        <w:pStyle w:val="FootnoteText"/>
      </w:pPr>
      <w:r>
        <w:rPr>
          <w:rStyle w:val="FootnoteReference"/>
        </w:rPr>
        <w:footnoteRef/>
      </w:r>
      <w:r>
        <w:t xml:space="preserve"> </w:t>
      </w:r>
      <w:r>
        <w:t xml:space="preserve">W rzeczy samej, dla Listu Jakuba redaktorzy uwzględnili 70 manuskryptów, które sklasyfikowali jako bizantyjskie, lecz dla 1 Listu Piotra zmniejszyli tę liczbę do 51, a dla 2 Listu Piotra do 44. Dla 1 Listu Jana zmniejszono ją do 41 — można by dojść do wniosku, że Barbara była jeszcze bardziej radykalna niż Kurt w swojej pogardzie dla manuskryptów bizantyjskich.</w:t>
      </w:r>
    </w:p>
  </w:footnote>
  <w:footnote w:id="347">
    <w:p>
      <w:pPr>
        <w:pStyle w:val="FootnoteText"/>
      </w:pPr>
      <w:r>
        <w:rPr>
          <w:rStyle w:val="FootnoteReference"/>
        </w:rPr>
        <w:footnoteRef/>
      </w:r>
      <w:r>
        <w:t xml:space="preserve"> </w:t>
      </w:r>
      <w:r>
        <w:t xml:space="preserve">Rozumiem, że ktoś może powiedzieć: „Chwileczkę, na jakiej podstawie mówi pan, że wszystkie te niezależne manuskrypty reprezentują linie przekazu?”. Otóż poświadczane przez nie odczyty nie są tego rodzaju, by kopista wymyślił je z własnej inicjatywy. Jeśli kopista go nie wymyślił, odczyt znajdował się w jego egzemplarzu. Jeśli odczyt znajdował się w jego egzemplarzu, mamy linię przekazu. Aby spróbować ocenić długość „linii” oraz wszelkie relacje między nimi, potrzebujemy pełnych kolacjonowań znacznie większej liczby manuskryptów.</w:t>
      </w:r>
    </w:p>
  </w:footnote>
  <w:footnote w:id="349">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w:t>
      </w:r>
    </w:p>
  </w:footnote>
  <w:footnote w:id="355">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356">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357">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 1987), tomy 9 i 11.</w:t>
      </w:r>
    </w:p>
  </w:footnote>
  <w:footnote w:id="359">
    <w:p>
      <w:pPr>
        <w:pStyle w:val="FootnoteText"/>
      </w:pPr>
      <w:r>
        <w:rPr>
          <w:rStyle w:val="FootnoteReference"/>
        </w:rPr>
        <w:footnoteRef/>
      </w:r>
      <w:r>
        <w:t xml:space="preserve"> </w:t>
      </w:r>
      <w:r>
        <w:t xml:space="preserve">Dla progu 95% tracimy kolejnych 35 manuskryptów, 385 ÷ 525 daje 73%. 75% manuskryptów odzwierciedla bardzo silną zgodność, a mimo to większość ma prywatne profile.</w:t>
      </w:r>
    </w:p>
  </w:footnote>
  <w:footnote w:id="360">
    <w:p>
      <w:pPr>
        <w:pStyle w:val="FootnoteText"/>
      </w:pPr>
      <w:r>
        <w:rPr>
          <w:rStyle w:val="FootnoteReference"/>
        </w:rPr>
        <w:footnoteRef/>
      </w:r>
      <w:r>
        <w:t xml:space="preserve"> </w:t>
      </w:r>
      <w:r>
        <w:t xml:space="preserve">K. Lake, R.P. Blake i Silva New, „The Caesarean Text of the Gospel of Mark”,</w:t>
      </w:r>
      <w:r>
        <w:t xml:space="preserve"> </w:t>
      </w:r>
      <w:r>
        <w:rPr>
          <w:iCs/>
          <w:i/>
        </w:rPr>
        <w:t xml:space="preserve">Harvard Theological Review</w:t>
      </w:r>
      <w:r>
        <w:t xml:space="preserve"> </w:t>
      </w:r>
      <w:r>
        <w:t xml:space="preserve">XXI (1928), s. 348-349.</w:t>
      </w:r>
    </w:p>
  </w:footnote>
  <w:footnote w:id="361">
    <w:p>
      <w:pPr>
        <w:pStyle w:val="FootnoteText"/>
      </w:pPr>
      <w:r>
        <w:rPr>
          <w:rStyle w:val="FootnoteReference"/>
        </w:rPr>
        <w:footnoteRef/>
      </w:r>
      <w:r>
        <w:t xml:space="preserve"> </w:t>
      </w:r>
      <w:r>
        <w:t xml:space="preserve">Osobiście odwiedziłem półwysep góry Athos w 2014 roku i mogę zagwarantować, że istnieje tam dwadzieścia niezależnych klasztorów oraz pewna liczba podporządkowanych.</w:t>
      </w:r>
    </w:p>
  </w:footnote>
  <w:footnote w:id="362">
    <w:p>
      <w:pPr>
        <w:pStyle w:val="FootnoteText"/>
      </w:pPr>
      <w:r>
        <w:rPr>
          <w:rStyle w:val="FootnoteReference"/>
        </w:rPr>
        <w:footnoteRef/>
      </w:r>
      <w:r>
        <w:t xml:space="preserve"> </w:t>
      </w:r>
      <w:r>
        <w:rPr>
          <w:iCs/>
          <w:i/>
        </w:rPr>
        <w:t xml:space="preserve">TuT</w:t>
      </w:r>
      <w:r>
        <w:t xml:space="preserve"> </w:t>
      </w:r>
      <w:r>
        <w:t xml:space="preserve">wymienia po jednym manuskrypcie dla Andreas i Dimitriu, lecz ich nie skolacjonował. Esfigmenu ma dodatkowe trzy manuskrypty, których nie skolacjonowano.</w:t>
      </w:r>
    </w:p>
  </w:footnote>
  <w:footnote w:id="364">
    <w:p>
      <w:pPr>
        <w:pStyle w:val="FootnoteText"/>
      </w:pPr>
      <w:r>
        <w:rPr>
          <w:rStyle w:val="FootnoteReference"/>
        </w:rPr>
        <w:footnoteRef/>
      </w:r>
      <w:r>
        <w:t xml:space="preserve"> </w:t>
      </w:r>
      <w:r>
        <w:t xml:space="preserve">Uważam wysoki współczynnik „chaotyczności” za cechę definiującą „aleksandryjskość”.</w:t>
      </w:r>
    </w:p>
  </w:footnote>
  <w:footnote w:id="365">
    <w:p>
      <w:pPr>
        <w:pStyle w:val="FootnoteText"/>
      </w:pPr>
      <w:r>
        <w:rPr>
          <w:rStyle w:val="FootnoteReference"/>
        </w:rPr>
        <w:footnoteRef/>
      </w:r>
      <w:r>
        <w:t xml:space="preserve"> </w:t>
      </w:r>
      <w:r>
        <w:rPr>
          <w:iCs/>
          <w:i/>
        </w:rPr>
        <w:t xml:space="preserve">TuT</w:t>
      </w:r>
      <w:r>
        <w:t xml:space="preserve"> </w:t>
      </w:r>
      <w:r>
        <w:t xml:space="preserve">uwzględnia dwa fragmenty uncjalne z VI wieku: 0285 ma jeden odczyt (spośród 98), a 0296 dwa. Tak skąpa podstawa pozwala nam jedynie zgadywać, że nie są bizantyjskie.</w:t>
      </w:r>
    </w:p>
  </w:footnote>
  <w:footnote w:id="366">
    <w:p>
      <w:pPr>
        <w:pStyle w:val="FootnoteText"/>
      </w:pPr>
      <w:r>
        <w:rPr>
          <w:rStyle w:val="FootnoteReference"/>
        </w:rPr>
        <w:footnoteRef/>
      </w:r>
      <w:r>
        <w:t xml:space="preserve"> </w:t>
      </w:r>
      <w:r>
        <w:t xml:space="preserve">Oczywiście Alef znajduje się obecnie w Londynie, lecz stał się zachowanym manuskryptem na Synaju, do dziś mnisi w klasztorze św. Katarzyny nazywają Tischendorfa „złodziejem”.</w:t>
      </w:r>
    </w:p>
  </w:footnote>
  <w:footnote w:id="367">
    <w:p>
      <w:pPr>
        <w:pStyle w:val="FootnoteText"/>
      </w:pPr>
      <w:r>
        <w:rPr>
          <w:rStyle w:val="FootnoteReference"/>
        </w:rPr>
        <w:footnoteRef/>
      </w:r>
      <w:r>
        <w:t xml:space="preserve"> </w:t>
      </w:r>
      <w:r>
        <w:t xml:space="preserve">Trzy ostatnie manuskrypty mają bardzo odmienne profile.</w:t>
      </w:r>
    </w:p>
  </w:footnote>
  <w:footnote w:id="368">
    <w:p>
      <w:pPr>
        <w:pStyle w:val="FootnoteText"/>
      </w:pPr>
      <w:r>
        <w:rPr>
          <w:rStyle w:val="FootnoteReference"/>
        </w:rPr>
        <w:footnoteRef/>
      </w:r>
      <w:r>
        <w:t xml:space="preserve"> </w:t>
      </w:r>
      <w:r>
        <w:t xml:space="preserve">Zauważ, że żaden manuskrypt nie osiąga doskonałego wyniku 87 dla LESART 1, a tylko cztery osiągają doskonały wynik 11 dla LESART 1/2.</w:t>
      </w:r>
    </w:p>
  </w:footnote>
  <w:footnote w:id="369">
    <w:p>
      <w:pPr>
        <w:pStyle w:val="FootnoteText"/>
      </w:pPr>
      <w:r>
        <w:rPr>
          <w:rStyle w:val="FootnoteReference"/>
        </w:rPr>
        <w:footnoteRef/>
      </w:r>
      <w:r>
        <w:t xml:space="preserve"> </w:t>
      </w:r>
      <w:r>
        <w:t xml:space="preserve">Pamiętaj, że patrzymy tylko na 98 zestawów wariantów — gdybyśmy mieli pełne kolacjonowania siedmiu ksiąg, niemal pewne jest, że żadne dwa manuskrypty nie byłyby identyczne (ze wszystkich źródeł), być może dla jednej księgi, im mniejszej, tym lepiej, można by znaleźć kilka. (Napisałem powyższe w 2004 roku, gdy dopiero zaczynałem naprawdę zwracać uwagę na</w:t>
      </w:r>
      <w:r>
        <w:t xml:space="preserve"> </w:t>
      </w:r>
      <w:r>
        <w:rPr>
          <w:bCs/>
          <w:b/>
        </w:rPr>
        <w:t xml:space="preserve">f</w:t>
      </w:r>
      <w:r>
        <w:rPr>
          <w:vertAlign w:val="superscript"/>
          <w:bCs/>
          <w:b/>
        </w:rPr>
        <w:t xml:space="preserve">35</w:t>
      </w:r>
      <w:r>
        <w:t xml:space="preserve"> </w:t>
      </w:r>
      <w:r>
        <w:t xml:space="preserve">— w rzeczywistości w obrębie</w:t>
      </w:r>
      <w:r>
        <w:t xml:space="preserve"> </w:t>
      </w:r>
      <w:r>
        <w:rPr>
          <w:u w:val="single"/>
        </w:rPr>
        <w:t xml:space="preserve">tej rodziny, biorąc pod uwagę tylko manuskrypty, które sam skolacjonowałem, możemy powiedzieć, co następuje</w:t>
      </w:r>
      <w:r>
        <w:t xml:space="preserve">: mam kopie trzydziestu identycznych manuskryptów zarówno dla 2, jak i 3 Listu Jana [nie są to identyczne listy], dwudziestu dziewięciu dla Listu do Filemona, dwudziestu dwóch dla Listu Judy, piętnastu dla 2 Listu do Tesaloniczan, dziewięciu dla Listu do Tytusa, po sześć dla Listu do Galacjan, Listu do Kolosan i 1 Listu do Tesaloniczan, po pięć dla Listu do Filipian i 2 Listu Piotra, po cztery dla Listu do Efezjan, Listu Jakuba i 1 Listu Jana, po trzy dla 2 Listu do Tymoteusza i 1 Listu Piotra oraz po dwa dla Listu do Rzymian i 1 Listu do Tymoteusza. W każdym przypadku nie jest to ten sam wybór manuskryptów, a pochodzą one ze wszystkich stron). Poza</w:t>
      </w:r>
      <w:r>
        <w:t xml:space="preserve"> </w:t>
      </w:r>
      <w:r>
        <w:rPr>
          <w:bCs/>
          <w:b/>
        </w:rPr>
        <w:t xml:space="preserve">f</w:t>
      </w:r>
      <w:r>
        <w:rPr>
          <w:vertAlign w:val="superscript"/>
          <w:bCs/>
          <w:b/>
        </w:rPr>
        <w:t xml:space="preserve">35</w:t>
      </w:r>
      <w:r>
        <w:t xml:space="preserve"> </w:t>
      </w:r>
      <w:r>
        <w:t xml:space="preserve">nadal zdziwiłbym się, gdybym znalazł identyczne kopie jakiejkolwiek księgi mającej ponad trzy rozdziały.</w:t>
      </w:r>
    </w:p>
  </w:footnote>
  <w:footnote w:id="370">
    <w:p>
      <w:pPr>
        <w:pStyle w:val="FootnoteText"/>
      </w:pPr>
      <w:r>
        <w:rPr>
          <w:rStyle w:val="FootnoteReference"/>
        </w:rPr>
        <w:footnoteRef/>
      </w:r>
      <w:r>
        <w:t xml:space="preserve"> </w:t>
      </w:r>
      <w:r>
        <w:t xml:space="preserve">Jednak przez stulecia ponad dziesięć osób próbowało go poprawiać, wiedziały więc, że tam był. 1243 i 1241 są niemal równie złe, a sporządzono je odpowiednio w XI i XII wieku.</w:t>
      </w:r>
    </w:p>
  </w:footnote>
  <w:footnote w:id="372">
    <w:p>
      <w:pPr>
        <w:pStyle w:val="FootnoteText"/>
      </w:pPr>
      <w:r>
        <w:rPr>
          <w:rStyle w:val="FootnoteReference"/>
        </w:rPr>
        <w:footnoteRef/>
      </w:r>
      <w:r>
        <w:t xml:space="preserve"> </w:t>
      </w:r>
      <w:r>
        <w:t xml:space="preserve">Ponownie przypominam czytelnikowi, że patrzymy tylko na 98 zestawów wariantów — gdybyśmy mieli pełne kolacjonowania siedmiu ksiąg, niemal pewne jest, że żadne dwa manuskrypty nie byłyby identyczne (dla siedmiu ksiąg, mam identyczne kopie jednej księgi). Przy pełnych kolacjonowaniach tych pięć bez wątpienia również okaże się odrębnych. (Skolacjonowawszy obecnie 43 manuskrypty Rodziny 35 dla siedmiu Listów Ogólnych, mam dwa, które są doskonałe we wszystkich siedmiu księgach, a cztery egzemplarze mogły być takie — pochodzą z różnych miejsc).</w:t>
      </w:r>
    </w:p>
  </w:footnote>
  <w:footnote w:id="375">
    <w:p>
      <w:pPr>
        <w:pStyle w:val="FootnoteText"/>
      </w:pPr>
      <w:r>
        <w:rPr>
          <w:rStyle w:val="FootnoteReference"/>
        </w:rPr>
        <w:footnoteRef/>
      </w:r>
      <w:r>
        <w:t xml:space="preserve"> </w:t>
      </w:r>
      <w:r>
        <w:t xml:space="preserve">Zobacz wyżej „Datowanie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 (Zobacz także „O tekście</w:t>
      </w:r>
      <w:r>
        <w:t xml:space="preserve"> </w:t>
      </w:r>
      <w:r>
        <w:rPr>
          <w:iCs/>
          <w:i/>
        </w:rPr>
        <w:t xml:space="preserve">Pericope Adulterae</w:t>
      </w:r>
      <w:r>
        <w:t xml:space="preserve">” w części II).</w:t>
      </w:r>
    </w:p>
  </w:footnote>
  <w:footnote w:id="378">
    <w:p>
      <w:pPr>
        <w:pStyle w:val="FootnoteText"/>
      </w:pPr>
      <w:r>
        <w:rPr>
          <w:rStyle w:val="FootnoteReference"/>
        </w:rPr>
        <w:footnoteRef/>
      </w:r>
      <w:r>
        <w:t xml:space="preserve"> </w:t>
      </w:r>
      <w:r>
        <w:t xml:space="preserve">Odkładając na bok odczyty singularne, ponad 50% słów w Tekście będzie miało 100% poświadczenia, 80% słów będzie miało ponad 95% poświadczenia, 90% słów będzie miało ponad 90% poświadczenia, tylko w przypadku około 2% słów poświadczenie spadnie poniżej 80%. Uważam</w:t>
      </w:r>
      <w:r>
        <w:t xml:space="preserve"> </w:t>
      </w:r>
      <w:r>
        <w:rPr>
          <w:bCs/>
          <w:b/>
        </w:rPr>
        <w:t xml:space="preserve">f</w:t>
      </w:r>
      <w:r>
        <w:rPr>
          <w:vertAlign w:val="superscript"/>
          <w:bCs/>
          <w:b/>
        </w:rPr>
        <w:t xml:space="preserve">35</w:t>
      </w:r>
      <w:r>
        <w:t xml:space="preserve"> </w:t>
      </w:r>
      <w:r>
        <w:t xml:space="preserve">za podstawę, od której odeszły, w takim lub innym stopniu, wszystkie inne strumienie przekazu, dlatego ogólnie rzecz biorąc, większość bizantyjska pozostała przy</w:t>
      </w:r>
      <w:r>
        <w:t xml:space="preserve"> </w:t>
      </w:r>
      <w:r>
        <w:rPr>
          <w:bCs/>
          <w:b/>
        </w:rPr>
        <w:t xml:space="preserve">f</w:t>
      </w:r>
      <w:r>
        <w:rPr>
          <w:vertAlign w:val="superscript"/>
          <w:bCs/>
          <w:b/>
        </w:rPr>
        <w:t xml:space="preserve">35</w:t>
      </w:r>
      <w:r>
        <w:t xml:space="preserve">. Wynika z tego, że wykaz obejmuje jedynie przypadki, w których istnieje poważny podział w obrębie większości bizantyjskiej albo w których</w:t>
      </w:r>
      <w:r>
        <w:t xml:space="preserve"> </w:t>
      </w:r>
      <w:r>
        <w:rPr>
          <w:bCs/>
          <w:b/>
        </w:rPr>
        <w:t xml:space="preserve">f</w:t>
      </w:r>
      <w:r>
        <w:rPr>
          <w:vertAlign w:val="superscript"/>
          <w:bCs/>
          <w:b/>
        </w:rPr>
        <w:t xml:space="preserve">35</w:t>
      </w:r>
      <w:r>
        <w:t xml:space="preserve"> </w:t>
      </w:r>
      <w:r>
        <w:t xml:space="preserve">występuje samotnie (lub niemal samotnie) przeciwko tej większości.</w:t>
      </w:r>
    </w:p>
  </w:footnote>
  <w:footnote w:id="379">
    <w:p>
      <w:pPr>
        <w:pStyle w:val="FootnoteText"/>
      </w:pPr>
      <w:r>
        <w:rPr>
          <w:rStyle w:val="FootnoteReference"/>
        </w:rPr>
        <w:footnoteRef/>
      </w:r>
      <w:r>
        <w:t xml:space="preserve"> </w:t>
      </w:r>
      <w:r>
        <w:t xml:space="preserve">Na potrzeby tej części używam</w:t>
      </w:r>
      <w:r>
        <w:t xml:space="preserve"> </w:t>
      </w:r>
      <w:r>
        <w:rPr>
          <w:bCs/>
          <w:b/>
        </w:rPr>
        <w:t xml:space="preserve">K</w:t>
      </w:r>
      <w:r>
        <w:rPr>
          <w:vertAlign w:val="superscript"/>
          <w:bCs/>
          <w:b/>
        </w:rPr>
        <w:t xml:space="preserve">x</w:t>
      </w:r>
      <w:r>
        <w:t xml:space="preserve"> </w:t>
      </w:r>
      <w:r>
        <w:t xml:space="preserve">jako oznaczenia większości bizantyjskiej.</w:t>
      </w:r>
    </w:p>
  </w:footnote>
  <w:footnote w:id="380">
    <w:p>
      <w:pPr>
        <w:pStyle w:val="FootnoteText"/>
      </w:pPr>
      <w:r>
        <w:rPr>
          <w:rStyle w:val="FootnoteReference"/>
        </w:rPr>
        <w:footnoteRef/>
      </w:r>
      <w:r>
        <w:t xml:space="preserve"> </w:t>
      </w:r>
      <w:r>
        <w:t xml:space="preserve">Ponieważ</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różni się od</w:t>
      </w:r>
      <w:r>
        <w:t xml:space="preserve"> </w:t>
      </w:r>
      <w:r>
        <w:rPr>
          <w:bCs/>
          <w:b/>
        </w:rPr>
        <w:t xml:space="preserve">K</w:t>
      </w:r>
      <w:r>
        <w:rPr>
          <w:vertAlign w:val="superscript"/>
          <w:bCs/>
          <w:b/>
        </w:rPr>
        <w:t xml:space="preserve">x</w:t>
      </w:r>
      <w:r>
        <w:t xml:space="preserve">, jej 20% trzeba odjąć od 60%, co pozostawia równy podział w</w:t>
      </w:r>
      <w:r>
        <w:t xml:space="preserve"> </w:t>
      </w:r>
      <w:r>
        <w:rPr>
          <w:bCs/>
          <w:b/>
        </w:rPr>
        <w:t xml:space="preserve">K</w:t>
      </w:r>
      <w:r>
        <w:rPr>
          <w:vertAlign w:val="superscript"/>
          <w:bCs/>
          <w:b/>
        </w:rPr>
        <w:t xml:space="preserve">x</w:t>
      </w:r>
      <w:r>
        <w:t xml:space="preserve">.</w:t>
      </w:r>
    </w:p>
  </w:footnote>
  <w:footnote w:id="381">
    <w:p>
      <w:pPr>
        <w:pStyle w:val="FootnoteText"/>
      </w:pPr>
      <w:r>
        <w:rPr>
          <w:rStyle w:val="FootnoteReference"/>
        </w:rPr>
        <w:footnoteRef/>
      </w:r>
      <w:r>
        <w:t xml:space="preserve"> </w:t>
      </w:r>
      <w:r>
        <w:t xml:space="preserve">Jeśli wszystkie manuskrypty zostaną kiedyś skolacjonowane, mogą wyłonić się pewne mniejsze grupy (w przedziale 5%-10%) z obiektywnie określonym archetypem, lecz bardzo wątpię, by istniała większość manuskryptów mających jeden archetyp, podobnie jak w Objawieniu Jana, gdzie po prostu nie ma</w:t>
      </w:r>
      <w:r>
        <w:t xml:space="preserve"> </w:t>
      </w:r>
      <w:r>
        <w:rPr>
          <w:bCs/>
          <w:b/>
        </w:rPr>
        <w:t xml:space="preserve">K</w:t>
      </w:r>
      <w:r>
        <w:rPr>
          <w:vertAlign w:val="superscript"/>
          <w:bCs/>
          <w:b/>
        </w:rPr>
        <w:t xml:space="preserve">x</w:t>
      </w:r>
      <w:r>
        <w:t xml:space="preserve"> </w:t>
      </w:r>
      <w:r>
        <w:t xml:space="preserve">(istnieje natomiast obiektywnie określona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footnote>
  <w:footnote w:id="38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IV (1957-1958), s. 86-87. W istocie powiedział: „Wyniki te przekonująco pokazują, że każda próba rekonstrukcji archetypu typu tekstu Beta (aleksandryjskiego) na podstawie ilościowej jest skazana na niepowodzenie. Tak zrekonstruowany tekst nie jest zrekonstruowany, lecz skonstruowany, jest sztucznym tworem, który nigdy nie istniał”. (Amen!)</w:t>
      </w:r>
    </w:p>
  </w:footnote>
  <w:footnote w:id="383">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1967), s. 55, 64. Mówią o „fantomowym «tekście zachodnim»”.</w:t>
      </w:r>
    </w:p>
  </w:footnote>
  <w:footnote w:id="386">
    <w:p>
      <w:pPr>
        <w:pStyle w:val="FootnoteText"/>
      </w:pPr>
      <w:r>
        <w:rPr>
          <w:rStyle w:val="FootnoteReference"/>
        </w:rPr>
        <w:footnoteRef/>
      </w:r>
      <w:r>
        <w:t xml:space="preserve"> </w:t>
      </w:r>
      <w:r>
        <w:t xml:space="preserve">Burgon,</w:t>
      </w:r>
      <w:r>
        <w:t xml:space="preserve"> </w:t>
      </w:r>
      <w:r>
        <w:rPr>
          <w:iCs/>
          <w:i/>
        </w:rPr>
        <w:t xml:space="preserve">The Traditional Text of the Holy Gospels Vindicated and Established</w:t>
      </w:r>
      <w:r>
        <w:t xml:space="preserve">, opracował, uzupełnił i zredagował Edward Miller (Londyn: George Bell and Sons, 1986), s. 84.</w:t>
      </w:r>
    </w:p>
  </w:footnote>
  <w:footnote w:id="387">
    <w:p>
      <w:pPr>
        <w:pStyle w:val="FootnoteText"/>
      </w:pPr>
      <w:r>
        <w:rPr>
          <w:rStyle w:val="FootnoteReference"/>
        </w:rPr>
        <w:footnoteRef/>
      </w:r>
      <w:r>
        <w:t xml:space="preserve"> </w:t>
      </w:r>
      <w:r>
        <w:t xml:space="preserve">P</w:t>
      </w:r>
      <w:r>
        <w:rPr>
          <w:vertAlign w:val="superscript"/>
        </w:rPr>
        <w:t xml:space="preserve">23</w:t>
      </w:r>
      <w:r>
        <w:t xml:space="preserve">, 0173 i 0246, wszystkie fragmentaryczne, są również cytowane w moim aparacie, lecz nigdy nie zgadzają się z</w:t>
      </w:r>
      <w:r>
        <w:t xml:space="preserve"> </w:t>
      </w:r>
      <w:r>
        <w:rPr>
          <w:bCs/>
          <w:b/>
        </w:rPr>
        <w:t xml:space="preserve">f</w:t>
      </w:r>
      <w:r>
        <w:rPr>
          <w:vertAlign w:val="superscript"/>
          <w:bCs/>
          <w:b/>
        </w:rPr>
        <w:t xml:space="preserve">35</w:t>
      </w:r>
      <w:r>
        <w:t xml:space="preserve"> </w:t>
      </w:r>
      <w:r>
        <w:t xml:space="preserve">przeciwko pozostałym.</w:t>
      </w:r>
    </w:p>
  </w:footnote>
  <w:footnote w:id="390">
    <w:p>
      <w:pPr>
        <w:pStyle w:val="FootnoteText"/>
      </w:pPr>
      <w:r>
        <w:rPr>
          <w:rStyle w:val="FootnoteReference"/>
        </w:rPr>
        <w:footnoteRef/>
      </w:r>
      <w:r>
        <w:t xml:space="preserve"> </w:t>
      </w:r>
      <w:r>
        <w:rPr>
          <w:iCs/>
          <w:i/>
        </w:rPr>
        <w:t xml:space="preserve">Editio Critica Maior</w:t>
      </w:r>
      <w:r>
        <w:t xml:space="preserve">, The Institute for New Testament Textual Research, red. (Stuttgart: Deutsche Bibelgesellschaft, 1997), tom IV, Listy Ogólne.</w:t>
      </w:r>
    </w:p>
  </w:footnote>
  <w:footnote w:id="392">
    <w:p>
      <w:pPr>
        <w:pStyle w:val="FootnoteText"/>
      </w:pPr>
      <w:r>
        <w:rPr>
          <w:rStyle w:val="FootnoteReference"/>
        </w:rPr>
        <w:footnoteRef/>
      </w:r>
      <w:r>
        <w:t xml:space="preserve"> </w:t>
      </w:r>
      <w:r>
        <w:rPr>
          <w:iCs/>
          <w:i/>
        </w:rPr>
        <w:t xml:space="preserve">ECM</w:t>
      </w:r>
      <w:r>
        <w:t xml:space="preserve"> </w:t>
      </w:r>
      <w:r>
        <w:t xml:space="preserve">wymienia wprawdzie dwa jako bizantyjskie (254, 1827), lecz porównanie ich z</w:t>
      </w:r>
      <w:r>
        <w:t xml:space="preserve"> </w:t>
      </w:r>
      <w:r>
        <w:rPr>
          <w:iCs/>
          <w:i/>
        </w:rPr>
        <w:t xml:space="preserve">TuT</w:t>
      </w:r>
      <w:r>
        <w:t xml:space="preserve"> </w:t>
      </w:r>
      <w:r>
        <w:t xml:space="preserve">pokazuje, że w Liście Jakuba nie przekraczają progu 80%.</w:t>
      </w:r>
    </w:p>
  </w:footnote>
  <w:footnote w:id="393">
    <w:p>
      <w:pPr>
        <w:pStyle w:val="FootnoteText"/>
      </w:pPr>
      <w:r>
        <w:rPr>
          <w:rStyle w:val="FootnoteReference"/>
        </w:rPr>
        <w:footnoteRef/>
      </w:r>
      <w:r>
        <w:t xml:space="preserve"> </w:t>
      </w:r>
      <w:r>
        <w:t xml:space="preserve">Ten powracający refren: „moim zdaniem jest najprawdopodobniej oryginalny”, pochodzi z czasu, gdy rozpoczynałem pracę nad Rodziną 35. Na podstawie dowodów, które od tamtej pory zgromadziłem, twierdzę obecnie, że odczyty Rodziny 35 są z pewnością oryginalne.</w:t>
      </w:r>
    </w:p>
  </w:footnote>
  <w:footnote w:id="401">
    <w:p>
      <w:pPr>
        <w:pStyle w:val="FootnoteText"/>
      </w:pPr>
      <w:r>
        <w:rPr>
          <w:rStyle w:val="FootnoteReference"/>
        </w:rPr>
        <w:footnoteRef/>
      </w:r>
      <w:r>
        <w:t xml:space="preserve"> </w:t>
      </w:r>
      <w:r>
        <w:t xml:space="preserve">G.D. Kilpatrick, „Atticism and the Text of the Greek New Testament”,</w:t>
      </w:r>
      <w:r>
        <w:t xml:space="preserve"> </w:t>
      </w:r>
      <w:r>
        <w:rPr>
          <w:iCs/>
          <w:i/>
        </w:rPr>
        <w:t xml:space="preserve">Neutestamentliche Aufsätze</w:t>
      </w:r>
      <w:r>
        <w:t xml:space="preserve"> </w:t>
      </w:r>
      <w:r>
        <w:t xml:space="preserve">(Regensburg: Verlag Friedrich Pustet, 1963), s. 129-130.</w:t>
      </w:r>
    </w:p>
  </w:footnote>
  <w:footnote w:id="406">
    <w:p>
      <w:pPr>
        <w:pStyle w:val="FootnoteText"/>
      </w:pPr>
      <w:r>
        <w:rPr>
          <w:rStyle w:val="FootnoteReference"/>
        </w:rPr>
        <w:footnoteRef/>
      </w:r>
      <w:r>
        <w:t xml:space="preserve"> </w:t>
      </w:r>
      <w:r>
        <w:t xml:space="preserve">Obecność centuriona w Kafarnaum oznacza, że stacjonowali tam rzymscy żołnierze. Ta rzymska placówka była bez wątpienia najważniejszym odbiorcą ryb w mieście. Kontakty z żołnierzami przypuszczalnie odbywały się po grecku, mieli więc podstawy.</w:t>
      </w:r>
    </w:p>
  </w:footnote>
  <w:footnote w:id="433">
    <w:p>
      <w:pPr>
        <w:pStyle w:val="FootnoteText"/>
      </w:pPr>
      <w:r>
        <w:rPr>
          <w:rStyle w:val="FootnoteReference"/>
        </w:rPr>
        <w:footnoteRef/>
      </w:r>
      <w:r>
        <w:t xml:space="preserve"> </w:t>
      </w:r>
      <w:r>
        <w:t xml:space="preserve">Przypominam czytelnikowi, że manuskrypty bizantyjskie określam dla każdej księgi oddzielnie, porównując</w:t>
      </w:r>
      <w:r>
        <w:t xml:space="preserve"> </w:t>
      </w:r>
      <w:r>
        <w:rPr>
          <w:iCs/>
          <w:i/>
        </w:rPr>
        <w:t xml:space="preserve">ECM</w:t>
      </w:r>
      <w:r>
        <w:t xml:space="preserve"> </w:t>
      </w:r>
      <w:r>
        <w:t xml:space="preserve">z</w:t>
      </w:r>
      <w:r>
        <w:t xml:space="preserve"> </w:t>
      </w:r>
      <w:r>
        <w:rPr>
          <w:iCs/>
          <w:i/>
        </w:rPr>
        <w:t xml:space="preserve">TuT</w:t>
      </w:r>
      <w:r>
        <w:t xml:space="preserve">, lecz profil biorę ze wszystkich siedmiu Listów Ogólnych na podstawie</w:t>
      </w:r>
      <w:r>
        <w:t xml:space="preserve"> </w:t>
      </w:r>
      <w:r>
        <w:rPr>
          <w:iCs/>
          <w:i/>
        </w:rPr>
        <w:t xml:space="preserve">TuT</w:t>
      </w:r>
      <w:r>
        <w:t xml:space="preserve">.</w:t>
      </w:r>
    </w:p>
  </w:footnote>
  <w:footnote w:id="440">
    <w:p>
      <w:pPr>
        <w:pStyle w:val="FootnoteText"/>
      </w:pPr>
      <w:r>
        <w:rPr>
          <w:rStyle w:val="FootnoteReference"/>
        </w:rPr>
        <w:footnoteRef/>
      </w:r>
      <w:r>
        <w:t xml:space="preserve"> </w:t>
      </w:r>
      <w:r>
        <w:t xml:space="preserve">Są tacy, którzy lubią argumentować, że żadnej z ksiąg nie napisał wskazany autor, że są one falsyfikatami, wynikiem działalności redakcyjnej rozciągniętej na dziesięciolecia (jeśli nie stulecia). Oczywiście nie było ich tam i nie wiedzą, co naprawdę się wydarzyło, nie powstrzymuje ich to jednak od wygłaszania autorytatywnych sądów.</w:t>
      </w:r>
    </w:p>
  </w:footnote>
  <w:footnote w:id="441">
    <w:p>
      <w:pPr>
        <w:pStyle w:val="FootnoteText"/>
      </w:pPr>
      <w:r>
        <w:rPr>
          <w:rStyle w:val="FootnoteReference"/>
        </w:rPr>
        <w:footnoteRef/>
      </w:r>
      <w:r>
        <w:t xml:space="preserve"> </w:t>
      </w:r>
      <w:r>
        <w:t xml:space="preserve">Prawdopodobnie żadne dwa manuskrypty łacińskiej Wulgaty również nie są identyczne, lecz nie to było przedmiotem sporu. Istotnie, o ile mi wiadomo, nie istnieje sposób ustalenia w każdym szczególe, jakie mogły być oryginalne sformułowania łacińskiej Wulgaty.</w:t>
      </w:r>
    </w:p>
  </w:footnote>
  <w:footnote w:id="442">
    <w:p>
      <w:pPr>
        <w:pStyle w:val="FootnoteText"/>
      </w:pPr>
      <w:r>
        <w:rPr>
          <w:rStyle w:val="FootnoteReference"/>
        </w:rPr>
        <w:footnoteRef/>
      </w:r>
      <w:r>
        <w:t xml:space="preserve"> </w:t>
      </w:r>
      <w:r>
        <w:t xml:space="preserve">Rodzina 35, będąca zdecydowanie największą i najbardziej spójną grupą manuskryptów o możliwym do wykazania archetypie, była słabo reprezentowana w bibliotekach Europy Zachodniej. Zresztą bardzo niewiele manuskryptów jakiegokolwiek typu tekstu skolacjonowano wystarczająco, by umożliwić prześledzenie historii przekazu. Co gorsza, brak pełnych kolacjonowań uniemożliwiał obalenie błędnej hipotezy w rozsądnym czasie.</w:t>
      </w:r>
    </w:p>
  </w:footnote>
  <w:footnote w:id="443">
    <w:p>
      <w:pPr>
        <w:pStyle w:val="FootnoteText"/>
      </w:pPr>
      <w:r>
        <w:rPr>
          <w:rStyle w:val="FootnoteReference"/>
        </w:rPr>
        <w:footnoteRef/>
      </w:r>
      <w:r>
        <w:t xml:space="preserve"> </w:t>
      </w: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444">
    <w:p>
      <w:pPr>
        <w:pStyle w:val="FootnoteText"/>
      </w:pPr>
      <w:r>
        <w:rPr>
          <w:rStyle w:val="FootnoteReference"/>
        </w:rPr>
        <w:footnoteRef/>
      </w:r>
      <w:r>
        <w:t xml:space="preserve"> </w:t>
      </w:r>
      <w:r>
        <w:t xml:space="preserve">Teoria darwinowska zdawała się szyta na miarę dla tych, którzy chcieli pozbyć się Stwórcy albo jakiegokolwiek wyższego Autorytetu, który mógłby zażądać rozliczenia. „Wyższa krytyka” służyła pozbyciu się autorytatywnego Objawienia, które mogłoby zostać użyte, by zażądać rozliczenia. Buntownicy nie lubią być pociągani do odpowiedzialności.</w:t>
      </w:r>
    </w:p>
  </w:footnote>
  <w:footnote w:id="445">
    <w:p>
      <w:pPr>
        <w:pStyle w:val="FootnoteText"/>
      </w:pPr>
      <w:r>
        <w:rPr>
          <w:rStyle w:val="FootnoteReference"/>
        </w:rPr>
        <w:footnoteRef/>
      </w:r>
      <w:r>
        <w:t xml:space="preserve"> </w:t>
      </w:r>
      <w:r>
        <w:t xml:space="preserve">Odwoływano się do analogii strumienia, według której najczystsza woda byłaby przypuszczalnie najbliżej źródła. W odniesieniu do manuskryptów Nowego Testamentu analogia ta jest jednak błędna i staje się sofizmatem.</w:t>
      </w:r>
    </w:p>
  </w:footnote>
  <w:footnote w:id="446">
    <w:p>
      <w:pPr>
        <w:pStyle w:val="FootnoteText"/>
      </w:pPr>
      <w:r>
        <w:rPr>
          <w:rStyle w:val="FootnoteReference"/>
        </w:rPr>
        <w:footnoteRef/>
      </w:r>
      <w:r>
        <w:t xml:space="preserve"> </w:t>
      </w: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The Identity of the New Testament Text IV</w:t>
      </w:r>
      <w:r>
        <w:t xml:space="preserve">.</w:t>
      </w:r>
    </w:p>
  </w:footnote>
  <w:footnote w:id="447">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448">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choć bez większego znaczenia dla zmarłego).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6,24, 12,30, Ewangelia Łukasza 11,23, 16,13),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449">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450">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 Rozdziały te niewiele różnią się od tego, czym były w 1977 roku. Minęło ponad czterdzieści lat i o ile mi wiadomo, nikt nie obalił mojego rozmontowania teorii Horta. Nie z braku chęci. Obecnie często słyszy się argument, że krytykowanie Horta jest smaganiem martwego konia, ponieważ panującym paradygmatem jest teraz eklektyzm („uzasadniony” lub „rygorystyczny”). Eklektyzm opiera się jednak wprost na tych samych fałszywych założeniach wstępnych, jest zatem równie błędny.</w:t>
      </w:r>
    </w:p>
  </w:footnote>
  <w:footnote w:id="451">
    <w:p>
      <w:pPr>
        <w:pStyle w:val="FootnoteText"/>
      </w:pPr>
      <w:r>
        <w:rPr>
          <w:rStyle w:val="FootnoteReference"/>
        </w:rPr>
        <w:footnoteRef/>
      </w:r>
      <w:r>
        <w:t xml:space="preserve"> </w:t>
      </w:r>
      <w:r>
        <w:t xml:space="preserve">Zawsze był to ulubiony argument wrogów natchnienia, brzmi on następująco: „Gdyby Bóg natchnął tekst, zachowałby go (po co w przeciwnym razie zadawać sobie trud natchnienia). Nie zachował Nowego Testamentu, a zatem go nie natchnął”. Przyznaję, że jestem skłonny zgodzić się z tym logicznym związkiem, tyle że jestem gotów odwrócić sytuację. Uważam, że potrafię wykazać, iż Bóg rzeczywiście zachował Tekst Nowego Testamentu, musiał go zatem natchnąć!</w:t>
      </w:r>
    </w:p>
  </w:footnote>
  <w:footnote w:id="45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(czytaj: „eklektyczny”) odbiega „tylko” w odniesieniu do około 12 000, co stanowi poprawę (choć niewielką). A tak przy okazji, jak mądre jest używanie Nowego Testamentu przygotowanego przez sługę (lub sługi) Szatana? (Z drugiej strony twierdzę, że Bóg zachował oryginalne sformułowania w takim stopniu, że możemy wiedzieć i wiemy, jakie one są).</w:t>
      </w:r>
    </w:p>
  </w:footnote>
  <w:footnote w:id="453">
    <w:p>
      <w:pPr>
        <w:pStyle w:val="FootnoteText"/>
      </w:pPr>
      <w:r>
        <w:rPr>
          <w:rStyle w:val="FootnoteReference"/>
        </w:rPr>
        <w:footnoteRef/>
      </w:r>
      <w:r>
        <w:t xml:space="preserve"> </w:t>
      </w:r>
      <w:r>
        <w:t xml:space="preserve">Nie powinienem jednak być nadmiernie surowy w krytyce Warfielda, nikt inny również nie wiedział, co robić. Okrutnym faktem było to, że istotne dowody nie istniały wówczas w użytecznej postaci. (Wynika z tego, że każda ówczesna obrona boskiego zachowania musiała opierać się na wierze, wierze, że Bóg w swoim czasie dostarczy dowodów). Część szkody wyrządzonej przez teorię Horta wynikała z jej pogardy dla ogromnej masy późniejszych manuskryptów, nie warto było trudzić się ich kolacjonowaniem i badaniem. Ponieważ to właśnie te pogardzane manuskrypty dostarczają niezbędnych dowodów, ów usypiający skutek teorii Horta opóźnił dostępność istotnych dowodów o stulecie. Pamiętam, jak pewnego dnia na zajęciach (w 1957 roku) profesor nabrał powietrza w płuca i z zapałem oznajmił: „Panowie, tam, gdzie zgadzają się B i Alef, macie oryginał”. Biedny człowiek najwyraźniej nigdy nie czytał</w:t>
      </w:r>
      <w:r>
        <w:t xml:space="preserve"> </w:t>
      </w:r>
      <w:r>
        <w:rPr>
          <w:iCs/>
          <w:i/>
        </w:rPr>
        <w:t xml:space="preserve">Codex B and its Allies: A Study and an Indictment</w:t>
      </w:r>
      <w:r>
        <w:t xml:space="preserve"> </w:t>
      </w:r>
      <w:r>
        <w:t xml:space="preserve">Hermana C. Hoskiera (opublikowanego w 1914 roku).</w:t>
      </w:r>
    </w:p>
  </w:footnote>
  <w:footnote w:id="455">
    <w:p>
      <w:pPr>
        <w:pStyle w:val="FootnoteText"/>
      </w:pPr>
      <w:r>
        <w:rPr>
          <w:rStyle w:val="FootnoteReference"/>
        </w:rPr>
        <w:footnoteRef/>
      </w:r>
      <w:r>
        <w:t xml:space="preserve"> </w:t>
      </w:r>
      <w:r>
        <w:t xml:space="preserve">Proszę zauważyć, że nie wystarczy jedynie „zaakceptować” prawdę, wymagane jest, abyśmy ją miłowali. Szatan kusi nas sławą i majątkiem (oczywiście na swoich warunkach), dlatego miłowanie prawdy wymaga determinacji.</w:t>
      </w:r>
    </w:p>
  </w:footnote>
  <w:footnote w:id="456">
    <w:p>
      <w:pPr>
        <w:pStyle w:val="FootnoteText"/>
      </w:pPr>
      <w:r>
        <w:rPr>
          <w:rStyle w:val="FootnoteReference"/>
        </w:rPr>
        <w:footnoteRef/>
      </w:r>
      <w:r>
        <w:t xml:space="preserve"> </w:t>
      </w:r>
      <w:r>
        <w:t xml:space="preserve">Ratunku! „Kłamstwo” jest określeniem dość ogólnym i otwartym. Co się dzieje, jeśli przyjąłem kłamstwo, nie zdając sobie sprawy, że nim było? Tekst nie mówi jednak „przyjmuje”, mówi „miłuje” i „czyni”. Wynika z tego, że dowody przeciwne kłamstwu są dostępne, lecz zostały odrzucone albo celowo zignorowane — osoba ta sprzedała się kłamstwu.</w:t>
      </w:r>
    </w:p>
  </w:footnote>
  <w:footnote w:id="457">
    <w:p>
      <w:pPr>
        <w:pStyle w:val="FootnoteText"/>
      </w:pPr>
      <w:r>
        <w:rPr>
          <w:rStyle w:val="FootnoteReference"/>
        </w:rPr>
        <w:footnoteRef/>
      </w:r>
      <w:r>
        <w:t xml:space="preserve"> </w:t>
      </w:r>
      <w:r>
        <w:t xml:space="preserve">Na poziomie studiów podyplomowych student odpowiada za ocenę tego, czego jest nauczany, jeśli jest to sprzeczne z Tekstem, nie powinien tego przyjmować. Pamiętam, jak pewnego dnia na nabożeństwie akademickim wizytujący uczony wykładał List do Rzymian 10,9. Stwierdził, że grecki Tekst wyraźnie znaczy „Jezusa jako Pana”, po czym próbował wyjaśnić, dlaczego szkoła w to nie wierzy. Jego wysiłek był dość nieudolny, na tyle, że postanowiłem sam zgłębić tę kwestię.</w:t>
      </w:r>
    </w:p>
  </w:footnote>
  <w:footnote w:id="458">
    <w:p>
      <w:pPr>
        <w:pStyle w:val="FootnoteText"/>
      </w:pPr>
      <w:r>
        <w:rPr>
          <w:rStyle w:val="FootnoteReference"/>
        </w:rPr>
        <w:footnoteRef/>
      </w:r>
      <w:r>
        <w:t xml:space="preserve"> </w:t>
      </w:r>
      <w:r>
        <w:t xml:space="preserve">W przypadku starszych, uznanych uczonych istnieje również kwestia pychy i własnego interesu, kto chce przyznać, że przez całe życie zawodowe się mylił? Istnieje też doktryna etyki zawodowej, należy szanować swoich kolegów (szacunek do kolegi przewyższa szacunek do prawdy). (Nie wolno pytać, skąd pochodzi ta doktryna). Jeszcze jedno: jeśli szkoła lub instytucja zależy od zewnętrznego wsparcia finansowego, zagrozi się jej utratą tego wsparcia, jeśli nie będzie trzymać się linii, a od tej pomocy może zależeć samo jej istnienie.</w:t>
      </w:r>
    </w:p>
  </w:footnote>
  <w:footnote w:id="459">
    <w:p>
      <w:pPr>
        <w:pStyle w:val="FootnoteText"/>
      </w:pPr>
      <w:r>
        <w:rPr>
          <w:rStyle w:val="FootnoteReference"/>
        </w:rPr>
        <w:footnoteRef/>
      </w:r>
      <w:r>
        <w:t xml:space="preserve"> </w:t>
      </w:r>
      <w:r>
        <w:t xml:space="preserve">Ponieważ Szatan nieustannie mąci wodę skrajnościami i nadużyciami, potrzebne jest duchowe rozeznanie.</w:t>
      </w:r>
    </w:p>
  </w:footnote>
  <w:footnote w:id="460">
    <w:p>
      <w:pPr>
        <w:pStyle w:val="FootnoteText"/>
      </w:pPr>
      <w:r>
        <w:rPr>
          <w:rStyle w:val="FootnoteReference"/>
        </w:rPr>
        <w:footnoteRef/>
      </w:r>
      <w:r>
        <w:t xml:space="preserve"> </w:t>
      </w:r>
      <w:r>
        <w:t xml:space="preserve">W tej jednej sprawie, niekoniecznie zostaniesz zaślepiony w innych sprawach, przynajmniej nie od razu.</w:t>
      </w:r>
    </w:p>
  </w:footnote>
  <w:footnote w:id="461">
    <w:p>
      <w:pPr>
        <w:pStyle w:val="FootnoteText"/>
      </w:pPr>
      <w:r>
        <w:rPr>
          <w:rStyle w:val="FootnoteReference"/>
        </w:rPr>
        <w:footnoteRef/>
      </w:r>
      <w:r>
        <w:t xml:space="preserve"> </w:t>
      </w:r>
      <w:r>
        <w:t xml:space="preserve">Proszę pamiętać o sekwencji przyczyny i skutku, zaczyna się od odrzucenia miłości prawdy. Nie wystarczy jedynie „zaakceptować” prawdę, trzeba ją miłować. Dla tych, którzy przyjęli kłamstwo, jedynym „lekarstwem” jest powrót do miłości prawdy i odrzucenie kłamstwa. Bóg może wymagać publicznego wyrzeczenia się kłamstwa.</w:t>
      </w:r>
    </w:p>
  </w:footnote>
  <w:footnote w:id="463">
    <w:p>
      <w:pPr>
        <w:pStyle w:val="FootnoteText"/>
      </w:pPr>
      <w:r>
        <w:rPr>
          <w:rStyle w:val="FootnoteReference"/>
        </w:rPr>
        <w:footnoteRef/>
      </w:r>
      <w:r>
        <w:t xml:space="preserve"> </w:t>
      </w:r>
      <w:r>
        <w:t xml:space="preserve">Moje własne potępienie kłamstwa Horta ukazuje się drukiem od 1977 roku i nadal podtrzymuję każde jego słowo.</w:t>
      </w:r>
    </w:p>
  </w:footnote>
  <w:footnote w:id="464">
    <w:p>
      <w:pPr>
        <w:pStyle w:val="FootnoteText"/>
      </w:pPr>
      <w:r>
        <w:rPr>
          <w:rStyle w:val="FootnoteReference"/>
        </w:rPr>
        <w:footnoteRef/>
      </w:r>
      <w:r>
        <w:t xml:space="preserve"> </w:t>
      </w:r>
      <w:r>
        <w:t xml:space="preserve">Do tamtego czasu w użyciu na całym świecie znajdowało się znacznie ponad 10 000 egzemplarzy, które po cichu zmieniały życie ludzi. Co jakiś czas odzywa się ktoś, kto dziękuje mi za książkę, łącznie z niektórymi profesorami greki. Profesorowie ci nie niszczą już wiary swoich studentów. Na poziomie oddolnym coś się porusza, a establishment robi wszystko, by to ignorować. Gdy musi to zauważyć, „zbywa lekceważeniem”, lecz nadchodzi czas, a właściwie już nadszedł, gdy to przestanie działać.</w:t>
      </w:r>
    </w:p>
  </w:footnote>
  <w:footnote w:id="466">
    <w:p>
      <w:pPr>
        <w:pStyle w:val="FootnoteText"/>
      </w:pPr>
      <w:r>
        <w:rPr>
          <w:rStyle w:val="FootnoteReference"/>
        </w:rPr>
        <w:footnoteRef/>
      </w:r>
      <w:r>
        <w:t xml:space="preserve"> </w:t>
      </w:r>
      <w:r>
        <w:t xml:space="preserve">Agnostycyzm jest biernym odrzuceniem, agnostyk nie przyjmuje twierdzenia.</w:t>
      </w:r>
    </w:p>
  </w:footnote>
  <w:footnote w:id="467">
    <w:p>
      <w:pPr>
        <w:pStyle w:val="FootnoteText"/>
      </w:pPr>
      <w:r>
        <w:rPr>
          <w:rStyle w:val="FootnoteReference"/>
        </w:rPr>
        <w:footnoteRef/>
      </w:r>
      <w:r>
        <w:t xml:space="preserve"> </w:t>
      </w:r>
      <w:r>
        <w:t xml:space="preserve">Dobrze wiem, że nie jest to łatwe, dlatego używam słowa „próbować”.</w:t>
      </w:r>
    </w:p>
  </w:footnote>
  <w:footnote w:id="468">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469">
    <w:p>
      <w:pPr>
        <w:pStyle w:val="FootnoteText"/>
      </w:pPr>
      <w:r>
        <w:rPr>
          <w:rStyle w:val="FootnoteReference"/>
        </w:rPr>
        <w:footnoteRef/>
      </w:r>
      <w:r>
        <w:t xml:space="preserve"> </w:t>
      </w:r>
      <w:r>
        <w:t xml:space="preserve">Szersze omówienie znajduje się w moim</w:t>
      </w:r>
      <w:r>
        <w:t xml:space="preserve"> </w:t>
      </w:r>
      <w:r>
        <w:rPr>
          <w:iCs/>
          <w:i/>
        </w:rPr>
        <w:t xml:space="preserve">Identity IV</w:t>
      </w:r>
      <w:r>
        <w:t xml:space="preserve">, s. 367-369.</w:t>
      </w:r>
    </w:p>
  </w:footnote>
  <w:footnote w:id="471">
    <w:p>
      <w:pPr>
        <w:pStyle w:val="FootnoteText"/>
      </w:pPr>
      <w:r>
        <w:rPr>
          <w:rStyle w:val="FootnoteReference"/>
        </w:rPr>
        <w:footnoteRef/>
      </w:r>
      <w:r>
        <w:t xml:space="preserve"> </w:t>
      </w:r>
      <w:r>
        <w:t xml:space="preserve">Pan daje nam autorytet, by „deptać węże i skorpiony”. Otóż aby rozgnieść dosłownego owada, skorpiona, nie potrzebujesz mocy z Wysokości, wystarczy klapek (jeśli jesteś szybki, możesz to zrobić bosą stopą). Do deptania węża wolę but, lecz możemy zabijać dosłowne węże bez nadprzyrodzonej pomocy. Staje się oczywiste, że Jezus odnosił się do czegoś innego niż gady i owady. Rozumiem Ewangelię Marka 16,18 jako odnoszącą się do tej samej rzeczywistości, Jezus oznajmia, że wierzącym będą towarzyszyć określone znaki (sposób sformułowania nadaje wypowiedzi niemal moc rozkazów): będą wypędzać demony, będą mówić obcymi językami, będą usuwać „węże”, będą kłaść ręce na chorych. („Jeśli wypiją…” nie jest rozkazem, odnosi się do ewentualności). Co jednak Pan Jezus rozumiał przez „węże”? W wykazie odrębnych działań Jezus odniósł się już do demonów, „węże” muszą więc być czymś innym. W Ewangelii Mateusza 12,34 Jezus nazwał faryzeuszy „plemieniem żmij”, a w 23,33: „wężami, plemieniem żmij”. W Ewangelii Jana 8,44, gdy twierdzili, że Bóg jest ich ojcem, Jezus powiedział: „Wy jesteście z waszego ojca, diabła”. 1 List Jana 3,10 wyjaśnia zaś, że Szatan ma wielu innych „synów” (podobnie Ewangelia Mateusza 13,38-39). W Objawieniu Jana 20,2 czytamy: „Schwytał smoka, pradawnego węża, który jest oszczercą, właśnie Szatana, który zwodzi całą zamieszkaną ziemię, i związał go na tysiąc lat”. Jeśli Szatan jest wężem, wężami są również jego dzieci. Uważam zatem, że nasze „węże” są ludźmi, którzy postanowili służyć Szatanowi, którzy sprzedali się złu. Dochodzę do wniosku, że „węże” w Ewangelii Łukasza 10,19 są tym samym, co te w Ewangelii Marka 16,18, lecz co ze „skorpionami”? Ponieważ one również należą do wroga, mogą być demonami, w którym to przypadku określenie to może z powodzeniem obejmować ich potomstwo, humanoidy (więcej na ten temat w moim artykule „In the Days of Noah”, dostępnym na www.prunch.org). Nadal pracuję nad pytaniem, jak właściwie dokonuje się tego usuwania.</w:t>
      </w:r>
    </w:p>
  </w:footnote>
  <w:footnote w:id="472">
    <w:p>
      <w:pPr>
        <w:pStyle w:val="FootnoteText"/>
      </w:pPr>
      <w:r>
        <w:rPr>
          <w:rStyle w:val="FootnoteReference"/>
        </w:rPr>
        <w:footnoteRef/>
      </w:r>
      <w:r>
        <w:t xml:space="preserve"> </w:t>
      </w:r>
      <w:r>
        <w:t xml:space="preserve">Więcej na ten temat w moim artykule „Biblical Spiritual Warfare” (dostępnym na www.prunch.org).</w:t>
      </w:r>
    </w:p>
  </w:footnote>
  <w:footnote w:id="473">
    <w:p>
      <w:pPr>
        <w:pStyle w:val="FootnoteText"/>
      </w:pPr>
      <w:r>
        <w:rPr>
          <w:rStyle w:val="FootnoteReference"/>
        </w:rPr>
        <w:footnoteRef/>
      </w:r>
      <w:r>
        <w:t xml:space="preserve"> </w:t>
      </w:r>
      <w:r>
        <w:t xml:space="preserve">Powinniśmy świadomie działać na tej podstawie, lecz ponieważ niewiele kościołów tego naucza, większość chrześcijan żyje w duchowej porażce.</w:t>
      </w:r>
    </w:p>
  </w:footnote>
  <w:footnote w:id="474">
    <w:p>
      <w:pPr>
        <w:pStyle w:val="FootnoteText"/>
      </w:pPr>
      <w:r>
        <w:rPr>
          <w:rStyle w:val="FootnoteReference"/>
        </w:rPr>
        <w:footnoteRef/>
      </w:r>
      <w:r>
        <w:t xml:space="preserve"> </w:t>
      </w:r>
      <w:r>
        <w:t xml:space="preserve">Ostatecznie uznałem „rzeczywiste poznanie” za najlepszy sposób oddania επιγνωσις, wzmocnionej formy</w:t>
      </w:r>
      <w:r>
        <w:t xml:space="preserve"> </w:t>
      </w:r>
      <w:r>
        <w:rPr>
          <w:iCs/>
          <w:i/>
        </w:rPr>
        <w:t xml:space="preserve">γνωσις</w:t>
      </w:r>
      <w:r>
        <w:t xml:space="preserve">, „poznanie”. Rzeczywiste poznanie to coś więcej niż zwykła wiedza intelektualna czy nawet prawdziwa wiedza teoretyczna, obejmuje doświadczenie. Tekst mówi dalej: „aby oczy waszego serca zostały oświecone”. Rzeczywiste poznanie zmienia twoje „serce”, to, kim jesteś.</w:t>
      </w:r>
    </w:p>
  </w:footnote>
  <w:footnote w:id="475">
    <w:p>
      <w:pPr>
        <w:pStyle w:val="FootnoteText"/>
      </w:pPr>
      <w:r>
        <w:rPr>
          <w:rStyle w:val="FootnoteReference"/>
        </w:rPr>
        <w:footnoteRef/>
      </w:r>
      <w:r>
        <w:t xml:space="preserve"> </w:t>
      </w:r>
      <w:r>
        <w:t xml:space="preserve">„Skierowanej do nas” — tak mówi Tekst. Zauważ, że „wierzymy” jest w czasie teraźniejszym. Rozważmy List do Efezjan 3,20: „Temu zaś, który jest w stanie uczynić niezmiernie więcej ponad wszystko, o co prosimy lub co sobie wyobrażamy, według mocy, która działa w nas”. Zauważ, że „działa” również jest w czasie teraźniejszym, to, że wierzyłeś wczoraj, nie wystarczy, musimy wierzyć dzisiaj. Ta ogromna moc, którą Bóg wlewa w nas, gdy wierzymy, przekracza nasze zdolności wyobrażania. Otóż mój osobisty horyzont jest ograniczony i określony przez moją zdolność wyobrażania. Wszystko, czego nie potrafię sobie wyobrazić, leży poza moim horyzontem, zatem oczywiście nie będę o to prosił. Ze smutkiem przyznaję, że nie osiągnąłem jeszcze poziomu duchowego, na którym potrafię uwolnić tę moc, nie zdołałem jeszcze sprawić, by prawda tego wersetu działała w moim przypadku. Rozumiem jednak, że stwierdzona tutaj prawda jest dosłowna, i mam tylko nadzieję, że jeśli nadal będę zwlekał, inni dotrą tam przede mną (abym mógł się od nich nauczyć). Celem całego przedsięwzięcia (werset 21) jest otrzymanie przez Boga chwały, a w takim zakresie, w jakim nie wykorzystujemy Jego mocy w nas, pozbawiamy Go chwały, którą mógłby i powinien otrzymać.</w:t>
      </w:r>
    </w:p>
  </w:footnote>
  <w:footnote w:id="476">
    <w:p>
      <w:pPr>
        <w:pStyle w:val="FootnoteText"/>
      </w:pPr>
      <w:r>
        <w:rPr>
          <w:rStyle w:val="FootnoteReference"/>
        </w:rPr>
        <w:footnoteRef/>
      </w:r>
      <w:r>
        <w:t xml:space="preserve"> </w:t>
      </w:r>
      <w:r>
        <w:t xml:space="preserve">Centurion nie mówił: „Z autorytetu Rzymu…”, mówił po prostu: „Zrób to, zrób tamto”. Pan Jezus nie mówił: „Z autorytetu Ojca…”, mówił po prostu: „Bądź czysty! Idź!”. W Ewangelii Łukasza 10,19 powiedział: „Daję wam autorytet nad całą mocą wroga”, mamy więc ten autorytet i to do nas należy przemówienie! Tak jak czynił to Jezus.</w:t>
      </w:r>
    </w:p>
  </w:footnote>
  <w:footnote w:id="480">
    <w:p>
      <w:pPr>
        <w:pStyle w:val="FootnoteText"/>
      </w:pPr>
      <w:r>
        <w:rPr>
          <w:rStyle w:val="FootnoteReference"/>
        </w:rPr>
        <w:footnoteRef/>
      </w:r>
      <w:r>
        <w:t xml:space="preserve"> </w:t>
      </w:r>
      <w:r>
        <w:t xml:space="preserve">Demon-przywódca wypowiada większość słów, reprezentując swoją kohortę.</w:t>
      </w:r>
    </w:p>
  </w:footnote>
  <w:footnote w:id="481">
    <w:p>
      <w:pPr>
        <w:pStyle w:val="FootnoteText"/>
      </w:pPr>
      <w:r>
        <w:rPr>
          <w:rStyle w:val="FootnoteReference"/>
        </w:rPr>
        <w:footnoteRef/>
      </w:r>
      <w:r>
        <w:t xml:space="preserve"> </w:t>
      </w:r>
      <w:r>
        <w:t xml:space="preserve">Tekst ma „Otchłań”, przypuszczalnie tę samą, o której mowa w Objawieniu Jana 20,3. Demony wiedziały coś, czego większość z nas nie wie.</w:t>
      </w:r>
    </w:p>
  </w:footnote>
  <w:footnote w:id="483">
    <w:p>
      <w:pPr>
        <w:pStyle w:val="FootnoteText"/>
      </w:pPr>
      <w:r>
        <w:rPr>
          <w:rStyle w:val="FootnoteReference"/>
        </w:rPr>
        <w:footnoteRef/>
      </w:r>
      <w:r>
        <w:t xml:space="preserve"> </w:t>
      </w:r>
      <w:r>
        <w:t xml:space="preserve">Również twierdzenie, że cudowne dary ustały, gdy ostatnia łopata ziemi spadła na grób Apostoła Jana, jest historycznym fałszem. Chrześcijanie żyjący w II, III i IV wieku, których pisma do nas dotarły, twierdzą, że dary nadal były używane w ich czasach. Żaden chrześcijanin z XX ani XXI wieku, którego tam nie było, nie ma kompetencji, by im zaprzeczać. Proszę również zobaczyć przypis do 1 Listu do Koryntian 13,12 w moim przekładzie</w:t>
      </w:r>
      <w:r>
        <w:t xml:space="preserve"> </w:t>
      </w:r>
      <w:r>
        <w:rPr>
          <w:iCs/>
          <w:i/>
        </w:rPr>
        <w:t xml:space="preserve">The Sovereign Creator Has Spoken</w:t>
      </w:r>
      <w:r>
        <w:t xml:space="preserve">. Każdy „cesacjonista” będzie miał w tej kwestii warownię Szatana w swoim umyśle, ponieważ przyjął kłamstwo. Każda doktryna wywodząca się z reakcji przeciwko skrajnościom i nadużyciom daje zwycięstwo Szatanowi. Żaden argument mający usprawiedliwić brak duchowej mocy nie może być poprawny.</w:t>
      </w:r>
    </w:p>
  </w:footnote>
  <w:footnote w:id="487">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488">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 f</w:t>
      </w:r>
      <w:r>
        <w:rPr>
          <w:vertAlign w:val="superscript"/>
        </w:rPr>
        <w:t xml:space="preserve">1</w:t>
      </w:r>
      <w:r>
        <w:t xml:space="preserve"> </w:t>
      </w:r>
      <w:r>
        <w:t xml:space="preserve">i f</w:t>
      </w:r>
      <w:r>
        <w:rPr>
          <w:vertAlign w:val="superscript"/>
        </w:rPr>
        <w:t xml:space="preserve">13</w:t>
      </w:r>
      <w:r>
        <w:t xml:space="preserve"> </w:t>
      </w:r>
      <w:r>
        <w:t xml:space="preserve">podlegali stopniowemu dostosowywaniu do późniejszego tekstu bizantyjskiego, uczeni ustalili tekst tych rodzin, przyjmując odczyty świadków rodzinnych różniące się od Textus Receptus. Dlatego przytoczenie siglum f</w:t>
      </w:r>
      <w:r>
        <w:rPr>
          <w:vertAlign w:val="superscript"/>
        </w:rPr>
        <w:t xml:space="preserve">1</w:t>
      </w:r>
      <w:r>
        <w:t xml:space="preserve"> </w:t>
      </w:r>
      <w:r>
        <w:t xml:space="preserve">i f</w:t>
      </w:r>
      <w:r>
        <w:rPr>
          <w:vertAlign w:val="superscript"/>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489">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490">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 INTF 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491">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492">
    <w:p>
      <w:pPr>
        <w:pStyle w:val="FootnoteText"/>
      </w:pPr>
      <w:r>
        <w:rPr>
          <w:rStyle w:val="FootnoteReference"/>
        </w:rPr>
        <w:footnoteRef/>
      </w:r>
      <w:r>
        <w:t xml:space="preserve"> </w:t>
      </w:r>
      <w:r>
        <w:t xml:space="preserve">Odczyty Rodziny 35 są poświadczone przez wczesnych świadków, lecz bez wzorca, a zatem bez zależności. Takich odczytów są jednak setki. Skąd więc archetyp</w:t>
      </w:r>
      <w:r>
        <w:t xml:space="preserve"> </w:t>
      </w:r>
      <w:r>
        <w:rPr>
          <w:bCs/>
          <w:b/>
        </w:rPr>
        <w:t xml:space="preserve">f</w:t>
      </w:r>
      <w:r>
        <w:rPr>
          <w:vertAlign w:val="superscript"/>
          <w:bCs/>
          <w:b/>
        </w:rPr>
        <w:t xml:space="preserve">35</w:t>
      </w:r>
      <w:r>
        <w:t xml:space="preserve"> </w:t>
      </w:r>
      <w:r>
        <w:t xml:space="preserve">wziął wszystkie te wczesne odczyty? Czy jego twórca podróżował i zebrał kilka odczytów z Alefa, kilka z B, kilka z P</w:t>
      </w:r>
      <w:r>
        <w:rPr>
          <w:vertAlign w:val="superscript"/>
        </w:rPr>
        <w:t xml:space="preserve">45,66,75</w:t>
      </w:r>
      <w:r>
        <w:t xml:space="preserve">, kilka z W i D itd.? Czy taka sugestia nie jest jawnie niedorzeczna? Jedyny rozsądny wniosek brzmi:</w:t>
      </w:r>
      <w:r>
        <w:t xml:space="preserve"> </w:t>
      </w:r>
      <w:r>
        <w:rPr>
          <w:u w:val="single"/>
        </w:rPr>
        <w:t xml:space="preserve">tekst</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starożytny (a także niezależny)</w:t>
      </w:r>
      <w:r>
        <w:t xml:space="preserve">.</w:t>
      </w:r>
    </w:p>
  </w:footnote>
  <w:footnote w:id="493">
    <w:p>
      <w:pPr>
        <w:pStyle w:val="FootnoteText"/>
      </w:pPr>
      <w:r>
        <w:rPr>
          <w:rStyle w:val="FootnoteReference"/>
        </w:rPr>
        <w:footnoteRef/>
      </w:r>
      <w:r>
        <w:t xml:space="preserve"> </w:t>
      </w:r>
      <w:r>
        <w:t xml:space="preserve">A w niektórych miejscach w Grecji, sądząc po ich zachowanych kopiach, był wszystkim, czego używano.</w:t>
      </w:r>
    </w:p>
  </w:footnote>
  <w:footnote w:id="49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49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499">
    <w:p>
      <w:pPr>
        <w:pStyle w:val="FootnoteText"/>
      </w:pPr>
      <w:r>
        <w:rPr>
          <w:rStyle w:val="FootnoteReference"/>
        </w:rPr>
        <w:footnoteRef/>
      </w:r>
      <w:r>
        <w:t xml:space="preserve"> </w:t>
      </w:r>
      <w:r>
        <w:t xml:space="preserve">Profil Rodziny 35 i klucz znajdują się wyżej, w Części II.</w:t>
      </w:r>
    </w:p>
  </w:footnote>
  <w:footnote w:id="500">
    <w:p>
      <w:pPr>
        <w:pStyle w:val="FootnoteText"/>
      </w:pPr>
      <w:r>
        <w:rPr>
          <w:rStyle w:val="FootnoteReference"/>
        </w:rPr>
        <w:footnoteRef/>
      </w:r>
      <w:r>
        <w:t xml:space="preserve"> </w:t>
      </w:r>
      <w:r>
        <w:t xml:space="preserve">W pojedynczym przykładzie, w którym wymieniam trzy odczyty, odczytem 1700 jest trzeci.</w:t>
      </w:r>
    </w:p>
  </w:footnote>
  <w:footnote w:id="502">
    <w:p>
      <w:pPr>
        <w:pStyle w:val="FootnoteText"/>
      </w:pPr>
      <w:r>
        <w:rPr>
          <w:rStyle w:val="FootnoteReference"/>
        </w:rPr>
        <w:footnoteRef/>
      </w:r>
      <w:r>
        <w:t xml:space="preserve"> </w:t>
      </w:r>
      <w:r>
        <w:t xml:space="preserve">Odrzuciwszy boskie natchnienie Nowego Testamentu, odrzucają oczywiście wszelką boską troskę o ten tekst. Ci, którzy zaprzeczają samemu istnieniu Władcy i Stwórcy, będą logicznie upierać się, że nieistniejąca istota nie może niczego uczynić.</w:t>
      </w:r>
    </w:p>
  </w:footnote>
  <w:footnote w:id="504">
    <w:p>
      <w:pPr>
        <w:pStyle w:val="FootnoteText"/>
      </w:pPr>
      <w:r>
        <w:rPr>
          <w:rStyle w:val="FootnoteReference"/>
        </w:rPr>
        <w:footnoteRef/>
      </w:r>
      <w:r>
        <w:t xml:space="preserve"> </w:t>
      </w:r>
      <w:r>
        <w:t xml:space="preserve">Badanie to wykorzystuje 77 spośród 84 znanych członków rodziny, siedem brakujących prawdopodobnie nie miałoby większego wpływu na nasze wnioski, jeśli w ogóle jakikolwiek. Spośród 77 manuskryptów wszystkie niewymienione przy formie alternatywnej mają formę główną. Tak więc w Liście Jakuba 2,14 36 manuskryptów mających formę alternatywną należy odjąć od 77, co pozostawia 41 dla formy głównej.</w:t>
      </w:r>
    </w:p>
  </w:footnote>
  <w:footnote w:id="505">
    <w:p>
      <w:pPr>
        <w:pStyle w:val="FootnoteText"/>
      </w:pPr>
      <w:r>
        <w:rPr>
          <w:rStyle w:val="FootnoteReference"/>
        </w:rPr>
        <w:footnoteRef/>
      </w:r>
      <w:r>
        <w:t xml:space="preserve"> </w:t>
      </w:r>
      <w:r>
        <w:t xml:space="preserve">Manuskrypty w nawiasach klamrowych, { }, mają wspólny egzemplarz i można je traktować jako jeden głos.</w:t>
      </w:r>
    </w:p>
  </w:footnote>
  <w:footnote w:id="506">
    <w:p>
      <w:pPr>
        <w:pStyle w:val="FootnoteText"/>
      </w:pPr>
      <w:r>
        <w:rPr>
          <w:rStyle w:val="FootnoteReference"/>
        </w:rPr>
        <w:footnoteRef/>
      </w:r>
      <w:r>
        <w:t xml:space="preserve"> </w:t>
      </w:r>
      <w:r>
        <w:t xml:space="preserve">Manuskrypt w nawiasach okrągłych ma niewielką odmianę podanej formy.</w:t>
      </w:r>
    </w:p>
  </w:footnote>
  <w:footnote w:id="507">
    <w:p>
      <w:pPr>
        <w:pStyle w:val="FootnoteText"/>
      </w:pPr>
      <w:r>
        <w:rPr>
          <w:rStyle w:val="FootnoteReference"/>
        </w:rPr>
        <w:footnoteRef/>
      </w:r>
      <w:r>
        <w:t xml:space="preserve"> </w:t>
      </w:r>
      <w:r>
        <w:t xml:space="preserve">Wymieniam tutaj manuskrypty dla obu form, ponieważ podążyłem za mniejszością. Zobacz omówienie niżej.</w:t>
      </w:r>
    </w:p>
  </w:footnote>
  <w:footnote w:id="509">
    <w:p>
      <w:pPr>
        <w:pStyle w:val="FootnoteText"/>
      </w:pPr>
      <w:r>
        <w:rPr>
          <w:rStyle w:val="FootnoteReference"/>
        </w:rPr>
        <w:footnoteRef/>
      </w:r>
      <w:r>
        <w:t xml:space="preserve"> </w:t>
      </w:r>
      <w:r>
        <w:t xml:space="preserve">W 2378 brakuje pierwszej karty 1 Listu Jana, a zatem także omawianego wersetu, ponieważ jednak w całym tekście unika obu podgrup, niemal na pewno miał tutaj tryb oznajmujący.</w:t>
      </w:r>
    </w:p>
  </w:footnote>
  <w:footnote w:id="510">
    <w:p>
      <w:pPr>
        <w:pStyle w:val="FootnoteText"/>
      </w:pPr>
      <w:r>
        <w:rPr>
          <w:rStyle w:val="FootnoteReference"/>
        </w:rPr>
        <w:footnoteRef/>
      </w:r>
      <w:r>
        <w:t xml:space="preserve"> </w:t>
      </w:r>
      <w:r>
        <w:t xml:space="preserve">Artykuł ten jest dostępny na mojej stronie www.prunch.org.</w:t>
      </w:r>
    </w:p>
  </w:footnote>
  <w:footnote w:id="514">
    <w:p>
      <w:pPr>
        <w:pStyle w:val="FootnoteText"/>
      </w:pPr>
      <w:r>
        <w:rPr>
          <w:rStyle w:val="FootnoteReference"/>
        </w:rPr>
        <w:footnoteRef/>
      </w:r>
      <w:r>
        <w:t xml:space="preserve"> </w:t>
      </w:r>
      <w:r>
        <w:t xml:space="preserve">Tommy Wasserman,</w:t>
      </w:r>
      <w:r>
        <w:t xml:space="preserve"> </w:t>
      </w:r>
      <w:r>
        <w:rPr>
          <w:iCs/>
          <w:i/>
        </w:rPr>
        <w:t xml:space="preserve">The Epistle of Jude: Its Text and Transmission</w:t>
      </w:r>
      <w:r>
        <w:t xml:space="preserve">, Stockholm: Almqvist &amp; Wiksell International, 2006.</w:t>
      </w:r>
    </w:p>
  </w:footnote>
  <w:footnote w:id="515">
    <w:p>
      <w:pPr>
        <w:pStyle w:val="FootnoteText"/>
      </w:pPr>
      <w:r>
        <w:rPr>
          <w:rStyle w:val="FootnoteReference"/>
        </w:rPr>
        <w:footnoteRef/>
      </w:r>
      <w:r>
        <w:t xml:space="preserve"> </w:t>
      </w:r>
      <w:r>
        <w:t xml:space="preserve">W rezultacie istnieje bardzo niewielka różnica między Tekstem eklektycznym a moim. Chociaż użyłem mojego, wybór ten nie podważa celu tego ćwiczenia.</w:t>
      </w:r>
    </w:p>
  </w:footnote>
  <w:footnote w:id="520">
    <w:p>
      <w:pPr>
        <w:pStyle w:val="FootnoteText"/>
      </w:pPr>
      <w:r>
        <w:rPr>
          <w:rStyle w:val="FootnoteReference"/>
        </w:rPr>
        <w:footnoteRef/>
      </w:r>
      <w:r>
        <w:t xml:space="preserve"> </w:t>
      </w:r>
      <w:r>
        <w:t xml:space="preserve">Szczegółową dokumentację i wyczerpujące omówienie innych aspektów tej kwestii można znaleźć w Burgon,</w:t>
      </w:r>
      <w:r>
        <w:t xml:space="preserve"> </w:t>
      </w:r>
      <w:r>
        <w:rPr>
          <w:iCs/>
          <w:i/>
        </w:rPr>
        <w:t xml:space="preserve">The Last Twelve Verses according to S. Mark</w:t>
      </w:r>
      <w:r>
        <w:t xml:space="preserve">, s. 19–31, 38–69, 265–290.</w:t>
      </w:r>
    </w:p>
  </w:footnote>
  <w:footnote w:id="524">
    <w:p>
      <w:pPr>
        <w:pStyle w:val="FootnoteText"/>
      </w:pPr>
      <w:r>
        <w:rPr>
          <w:rStyle w:val="FootnoteReference"/>
        </w:rPr>
        <w:footnoteRef/>
      </w:r>
      <w:r>
        <w:t xml:space="preserve"> </w:t>
      </w:r>
      <w:r>
        <w:t xml:space="preserve">Taki był stan w styczniu 2020 roku.</w:t>
      </w:r>
    </w:p>
  </w:footnote>
  <w:footnote w:id="525">
    <w:p>
      <w:pPr>
        <w:pStyle w:val="FootnoteText"/>
      </w:pPr>
      <w:r>
        <w:rPr>
          <w:rStyle w:val="FootnoteReference"/>
        </w:rPr>
        <w:footnoteRef/>
      </w:r>
      <w:r>
        <w:t xml:space="preserve"> </w:t>
      </w:r>
      <w:r>
        <w:t xml:space="preserve">GA 586, w 10,35 synowie Zebedeusza zwracają się z prośbą: „Nauczycielu, chcemy, abyś uczynił dla nas wszystko, o co możemy Cię poprosić (ημιν)”. Zamiast tego 586 ma: „Nauczycielu, chcemy, abyś uczynił dla nas wszystko, o co możecie poprosić (υμιν)” — jawny nonsens. Obie litery wymawiano tak samo, dlatego ktoś słuchający czytanego tekstu bez wątpienia zrozumiałby pierwszą osobę. Nawet ktoś czytający tekst dostrzegłby oczywisty błąd i poprawił tekst w swoim umyśle. Ponieważ 586 ma tylko ten jeden wariant w całej księdze, jedną literę, jest praktycznie doskonały.</w:t>
      </w:r>
    </w:p>
  </w:footnote>
  <w:footnote w:id="526">
    <w:p>
      <w:pPr>
        <w:pStyle w:val="FootnoteText"/>
      </w:pPr>
      <w:r>
        <w:rPr>
          <w:rStyle w:val="FootnoteReference"/>
        </w:rPr>
        <w:footnoteRef/>
      </w:r>
      <w:r>
        <w:t xml:space="preserve"> </w:t>
      </w:r>
      <w:r>
        <w:t xml:space="preserve">W 2,40 zamiast επ αυτω ma επ αυτο (w tym miejscu występuje podział w rodzinie). Przyimek επι łączy się zarówno z celownikiem, jak i biernikiem, a tłumaczenie będzie takie samo: „Łaska Boga była nad Nim”. Jeśli są to dwa sposoby powiedzenia tego samego, wówczas 2382 jest kompletny, jeśli nie, w całej księdze różni się jedną literą!</w:t>
      </w:r>
    </w:p>
  </w:footnote>
  <w:footnote w:id="527">
    <w:p>
      <w:pPr>
        <w:pStyle w:val="FootnoteText"/>
      </w:pPr>
      <w:r>
        <w:rPr>
          <w:rStyle w:val="FootnoteReference"/>
        </w:rPr>
        <w:footnoteRef/>
      </w:r>
      <w:r>
        <w:t xml:space="preserve"> </w:t>
      </w:r>
      <w:r>
        <w:t xml:space="preserve">W 1,11 zamiast ουτος Ιησους ma ουτος ο Ιησους. Zaimek wskazujący określa nawet bardziej niż rodzajnik określony, dlatego rodzajnik jest tutaj zbędny, są to więc dwa sposoby powiedzenia tego samego: „ten właśnie Jezus”. W 26,29 Paweł broni się przed królem Agryppą. Zamiast ευξαιμην, „modliłbym się”, ma ευξαμην, „modlę się”. Tryb oznajmujący jest bardziej bezpośredni niż tryb życzący, lecz różnica znaczeniowa jest niewielka. Jeśli nie są to dwa sposoby powiedzenia tego samego, wówczas 35 różni się jedną literą w całej księdze Dziejów Apostolskich!</w:t>
      </w:r>
    </w:p>
  </w:footnote>
  <w:footnote w:id="530">
    <w:p>
      <w:pPr>
        <w:pStyle w:val="FootnoteText"/>
      </w:pPr>
      <w:r>
        <w:rPr>
          <w:rStyle w:val="FootnoteReference"/>
        </w:rPr>
        <w:footnoteRef/>
      </w:r>
      <w:r>
        <w:t xml:space="preserve"> </w:t>
      </w:r>
      <w:r>
        <w:t xml:space="preserve">Rozpadł się wiele lat temu.</w:t>
      </w:r>
    </w:p>
  </w:footnote>
  <w:footnote w:id="534">
    <w:p>
      <w:pPr>
        <w:pStyle w:val="FootnoteText"/>
      </w:pPr>
      <w:r>
        <w:rPr>
          <w:rStyle w:val="FootnoteReference"/>
        </w:rPr>
        <w:footnoteRef/>
      </w:r>
      <w:r>
        <w:t xml:space="preserve"> </w:t>
      </w:r>
      <w:r>
        <w:t xml:space="preserve">R.M. Grant, „The Bible of Theophilus of Antioch”,</w:t>
      </w:r>
      <w:r>
        <w:t xml:space="preserve"> </w:t>
      </w:r>
      <w:r>
        <w:rPr>
          <w:iCs/>
          <w:i/>
        </w:rPr>
        <w:t xml:space="preserve">Journal of Biblical Literature</w:t>
      </w:r>
      <w:r>
        <w:t xml:space="preserve">, LXVI (1947), 173. Zauważ pesymizm, „nie można go odzyskać”. W takim razie krytycy marnują swój czas i nasz. Z pewnością, ponieważ nie mielibyśmy sposobu dowiedzenia się, czy go znaleźli.</w:t>
      </w:r>
    </w:p>
  </w:footnote>
  <w:footnote w:id="535">
    <w:p>
      <w:pPr>
        <w:pStyle w:val="FootnoteText"/>
      </w:pPr>
      <w:r>
        <w:rPr>
          <w:rStyle w:val="FootnoteReference"/>
        </w:rPr>
        <w:footnoteRef/>
      </w:r>
      <w:r>
        <w:t xml:space="preserve"> </w:t>
      </w:r>
      <w:r>
        <w:t xml:space="preserve">Rodzina 35, będąca zdecydowanie największą i najbardziej spójną grupą manuskryptów, była słabo reprezentowana w bibliotekach Europy Zachodniej. Zresztą bardzo niewiele manuskryptów jakiegokolwiek typu tekstu skolacjonowano wystarczająco, by umożliwić prześledzenie historii przekazu.</w:t>
      </w:r>
    </w:p>
  </w:footnote>
  <w:footnote w:id="536">
    <w:p>
      <w:pPr>
        <w:pStyle w:val="FootnoteText"/>
      </w:pPr>
      <w:r>
        <w:rPr>
          <w:rStyle w:val="FootnoteReference"/>
        </w:rPr>
        <w:footnoteRef/>
      </w:r>
      <w:r>
        <w:t xml:space="preserve"> </w:t>
      </w:r>
      <w:r>
        <w:t xml:space="preserve">Ściśle rzecz biorąc, Tekst ma „według Eonu tego świata, według władcy dziedziny powietrza” —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 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(akademicki wymóg wykazania się „znajomością literatury” zmusza do marnowania czasu na wszystko, co napisali słudzy Szatana — rozważ 1 List do Koryntian 3,18–20)).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537">
    <w:p>
      <w:pPr>
        <w:pStyle w:val="FootnoteText"/>
      </w:pPr>
      <w:r>
        <w:rPr>
          <w:rStyle w:val="FootnoteReference"/>
        </w:rPr>
        <w:footnoteRef/>
      </w:r>
      <w:r>
        <w:t xml:space="preserve"> </w:t>
      </w:r>
      <w:r>
        <w:t xml:space="preserve">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Otóż prosta logika wymaga, by jeden albo drugi mylił się w tych ponad 3000 przypadkach, oba nie mogą mieć racji, zupełnie niezależnie od przypadków, w których oba się mylą. Żadna ilość subiektywnych preferencji nie może przesłonić faktu, że obiektywnie rzecz biorąc, są to kiepskie kopie.</w:t>
      </w:r>
    </w:p>
    <w:p>
      <w:pPr>
        <w:pStyle w:val="FootnoteText"/>
      </w:pP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Identity IV</w:t>
      </w:r>
      <w:r>
        <w:t xml:space="preserve">.</w:t>
      </w:r>
    </w:p>
  </w:footnote>
  <w:footnote w:id="538">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539">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12,30, Ewangelia Łukasza 11,23),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540">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541">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w:t>
      </w:r>
    </w:p>
  </w:footnote>
  <w:footnote w:id="54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odbiega „tylko” w odniesieniu do około 12 000, co stanowi poprawę (choć niewielką). A tak przy okazji, jak mądre jest używanie Nowego Testamentu przygotowanego przez sługę Szatana?</w:t>
      </w:r>
    </w:p>
  </w:footnote>
  <w:footnote w:id="544">
    <w:p>
      <w:pPr>
        <w:pStyle w:val="FootnoteText"/>
      </w:pPr>
      <w:r>
        <w:rPr>
          <w:rStyle w:val="FootnoteReference"/>
        </w:rPr>
        <w:footnoteRef/>
      </w:r>
      <w:r>
        <w:t xml:space="preserve"> </w:t>
      </w:r>
      <w:r>
        <w:t xml:space="preserve">Uważam się za badacza tekstu, nie za krytyka. Tekst jest nade mną, nie odwrotnie. W eklektyzmie krytyk jest ponad tekstem, jest ponad dowodami, zamiast wiernie podążać za dowodami, sprawia, że dowody podążają za nim. Manuskrypty zostają sprowadzone do roli „dostawcy odczytów”.</w:t>
      </w:r>
    </w:p>
  </w:footnote>
  <w:footnote w:id="545">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546">
    <w:p>
      <w:pPr>
        <w:pStyle w:val="FootnoteText"/>
      </w:pPr>
      <w:r>
        <w:rPr>
          <w:rStyle w:val="FootnoteReference"/>
        </w:rPr>
        <w:footnoteRef/>
      </w:r>
      <w:r>
        <w:t xml:space="preserve"> </w:t>
      </w:r>
      <w:r>
        <w:t xml:space="preserve">Colwell, „External Evidence and New Testament Criticism”,</w:t>
      </w:r>
      <w:r>
        <w:t xml:space="preserve"> </w:t>
      </w:r>
      <w:r>
        <w:rPr>
          <w:iCs/>
          <w:i/>
        </w:rPr>
        <w:t xml:space="preserve">Studies in the History and Text of the New Testament</w:t>
      </w:r>
      <w:r>
        <w:t xml:space="preserve">, red. B.L. Daniels i M.J. Suggs (Salt Lake City: University of Utah Press, 1967), s. 3.</w:t>
      </w:r>
    </w:p>
  </w:footnote>
  <w:footnote w:id="547">
    <w:p>
      <w:pPr>
        <w:pStyle w:val="FootnoteText"/>
      </w:pPr>
      <w:r>
        <w:rPr>
          <w:rStyle w:val="FootnoteReference"/>
        </w:rPr>
        <w:footnoteRef/>
      </w:r>
      <w:r>
        <w:t xml:space="preserve"> </w:t>
      </w:r>
      <w:r>
        <w:rPr>
          <w:iCs/>
          <w:i/>
        </w:rPr>
        <w:t xml:space="preserve">Tamże</w:t>
      </w:r>
      <w:r>
        <w:t xml:space="preserve">, s. 4.</w:t>
      </w:r>
    </w:p>
  </w:footnote>
  <w:footnote w:id="548">
    <w:p>
      <w:pPr>
        <w:pStyle w:val="FootnoteText"/>
      </w:pPr>
      <w:r>
        <w:rPr>
          <w:rStyle w:val="FootnoteReference"/>
        </w:rPr>
        <w:footnoteRef/>
      </w:r>
      <w:r>
        <w:t xml:space="preserve"> </w:t>
      </w:r>
      <w:r>
        <w:t xml:space="preserve">Fakt, że kopista P</w:t>
      </w:r>
      <w:r>
        <w:rPr>
          <w:vertAlign w:val="superscript"/>
        </w:rPr>
        <w:t xml:space="preserve">75</w:t>
      </w:r>
      <w:r>
        <w:t xml:space="preserve"> </w:t>
      </w:r>
      <w:r>
        <w:t xml:space="preserve">kopiował litera po literze, a kopista P</w:t>
      </w:r>
      <w:r>
        <w:rPr>
          <w:vertAlign w:val="superscript"/>
        </w:rPr>
        <w:t xml:space="preserve">66</w:t>
      </w:r>
      <w:r>
        <w:t xml:space="preserve"> </w:t>
      </w:r>
      <w:r>
        <w:t xml:space="preserve">sylaba po sylabie (Colwell, „Scribal Habits”, s. 380), silnie sugeruje, że żaden z nich nie znał greki. Przepisując tekst w języku, który znasz, kopiujesz wyrażenie po wyrażeniu albo przynajmniej słowo po słowie. P</w:t>
      </w:r>
      <w:r>
        <w:rPr>
          <w:vertAlign w:val="superscript"/>
        </w:rPr>
        <w:t xml:space="preserve">66</w:t>
      </w:r>
      <w:r>
        <w:t xml:space="preserve"> </w:t>
      </w:r>
      <w:r>
        <w:t xml:space="preserve">ma tak wiele bezsensownych odczytów, że kopista nie mógł znać znaczenia tekstu. Każdy, kto kiedykolwiek próbował ręcznie (nie na maszynie) przepisać dłuższy tekst w języku, którego nie rozumie, wie, że jest to męczące i ponure zadanie. W takich okolicznościach nie należy oczekiwać czystości przekazu.</w:t>
      </w:r>
    </w:p>
  </w:footnote>
  <w:footnote w:id="549">
    <w:p>
      <w:pPr>
        <w:pStyle w:val="FootnoteText"/>
      </w:pPr>
      <w:r>
        <w:rPr>
          <w:rStyle w:val="FootnoteReference"/>
        </w:rPr>
        <w:footnoteRef/>
      </w:r>
      <w:r>
        <w:t xml:space="preserve"> </w:t>
      </w:r>
      <w:r>
        <w:t xml:space="preserve">E.C. Colwell, „Scribal Habits in Early Papyri: A Study in the Corruption of the Text”,</w:t>
      </w:r>
      <w:r>
        <w:t xml:space="preserve"> </w:t>
      </w:r>
      <w:r>
        <w:rPr>
          <w:iCs/>
          <w:i/>
        </w:rPr>
        <w:t xml:space="preserve">The Bible in Modern Scholarship</w:t>
      </w:r>
      <w:r>
        <w:t xml:space="preserve">, red. J.P. Hyatt (New York: Abingdon Press, 1965), s. 374–376.</w:t>
      </w:r>
    </w:p>
  </w:footnote>
  <w:footnote w:id="550">
    <w:p>
      <w:pPr>
        <w:pStyle w:val="FootnoteText"/>
      </w:pPr>
      <w:r>
        <w:rPr>
          <w:rStyle w:val="FootnoteReference"/>
        </w:rPr>
        <w:footnoteRef/>
      </w:r>
      <w:r>
        <w:t xml:space="preserve"> </w:t>
      </w:r>
      <w:r>
        <w:t xml:space="preserve">Gunther Zuntz,</w:t>
      </w:r>
      <w:r>
        <w:t xml:space="preserve"> </w:t>
      </w:r>
      <w:r>
        <w:rPr>
          <w:iCs/>
          <w:i/>
        </w:rPr>
        <w:t xml:space="preserve">The Text of the Epistles</w:t>
      </w:r>
      <w:r>
        <w:t xml:space="preserve"> </w:t>
      </w:r>
      <w:r>
        <w:t xml:space="preserve">(London: Oxford University Press, 1953), s. 18.</w:t>
      </w:r>
    </w:p>
  </w:footnote>
  <w:footnote w:id="551">
    <w:p>
      <w:pPr>
        <w:pStyle w:val="FootnoteText"/>
      </w:pPr>
      <w:r>
        <w:rPr>
          <w:rStyle w:val="FootnoteReference"/>
        </w:rPr>
        <w:footnoteRef/>
      </w:r>
      <w:r>
        <w:t xml:space="preserve"> </w:t>
      </w:r>
      <w:r>
        <w:t xml:space="preserve">Gdybyś ręcznie skopiował cztery Ewangelie, czy sądzisz, że zdołałbyś popełnić tysiąc błędów? Spróbuj i zobacz!</w:t>
      </w:r>
    </w:p>
  </w:footnote>
  <w:footnote w:id="552">
    <w:p>
      <w:pPr>
        <w:pStyle w:val="FootnoteText"/>
      </w:pPr>
      <w:r>
        <w:rPr>
          <w:rStyle w:val="FootnoteReference"/>
        </w:rPr>
        <w:footnoteRef/>
      </w:r>
      <w:r>
        <w:t xml:space="preserve"> </w:t>
      </w:r>
      <w:r>
        <w:t xml:space="preserve">Colwell, „Hort Redivivus: A Plea and a Program”,</w:t>
      </w:r>
      <w:r>
        <w:t xml:space="preserve"> </w:t>
      </w:r>
      <w:r>
        <w:rPr>
          <w:iCs/>
          <w:i/>
        </w:rPr>
        <w:t xml:space="preserve">Studies in Methodology in Textual Criticism of the New Testament</w:t>
      </w:r>
      <w:r>
        <w:t xml:space="preserve">, E.C. Colwell (Leiden: E.J. Brill, 1969), s. 157. (Wyróżnienie w oryginale).</w:t>
      </w:r>
    </w:p>
  </w:footnote>
  <w:footnote w:id="554">
    <w:p>
      <w:pPr>
        <w:pStyle w:val="FootnoteText"/>
      </w:pPr>
      <w:r>
        <w:rPr>
          <w:rStyle w:val="FootnoteReference"/>
        </w:rPr>
        <w:footnoteRef/>
      </w:r>
      <w:r>
        <w:t xml:space="preserve"> </w:t>
      </w:r>
      <w:r>
        <w:t xml:space="preserve">Z.C. Hodges, „A Defense of the Majority Text” (niepublikowane notatki do kursu, Dallas Theological Seminary, 1975), s. 4. Dodatek C w moim</w:t>
      </w:r>
      <w:r>
        <w:t xml:space="preserve"> </w:t>
      </w:r>
      <w:r>
        <w:rPr>
          <w:iCs/>
          <w:i/>
        </w:rPr>
        <w:t xml:space="preserve">Identity IV</w:t>
      </w:r>
      <w:r>
        <w:t xml:space="preserve"> </w:t>
      </w:r>
      <w:r>
        <w:t xml:space="preserve">pokazuje, że matematyczna nauka o prawdopodobieństwie statystycznym zapewnia obszerne poparcie stwierdzenia Hodgesa. Statystycznie niemożliwe jest, by późny przybysz zdominował przekaz.</w:t>
      </w:r>
    </w:p>
  </w:footnote>
  <w:footnote w:id="555">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59">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560">
    <w:p>
      <w:pPr>
        <w:pStyle w:val="FootnoteText"/>
      </w:pPr>
      <w:r>
        <w:rPr>
          <w:rStyle w:val="FootnoteReference"/>
        </w:rPr>
        <w:footnoteRef/>
      </w:r>
      <w:r>
        <w:t xml:space="preserve"> </w:t>
      </w:r>
      <w:r>
        <w:t xml:space="preserve">Gdy wszystkie manuskrypty zostaną skolacjonowane i empirycznie przypisane do rodzin, będziemy mogli od początku ograniczyć uwagę do tych rodzin (jak uczyniłem w Objawieniu Jana).</w:t>
      </w:r>
    </w:p>
  </w:footnote>
  <w:footnote w:id="561">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podlegali stopniowemu dostosowywaniu do późniejszego tekstu bizantyjskiego, uczeni ustalili tekst tych rodzin, przyjmując odczyty świadków rodzinnych różniące się od</w:t>
      </w:r>
      <w:r>
        <w:t xml:space="preserve"> </w:t>
      </w:r>
      <w:r>
        <w:rPr>
          <w:iCs/>
          <w:i/>
        </w:rPr>
        <w:t xml:space="preserve">Textus Receptus</w:t>
      </w:r>
      <w:r>
        <w:t xml:space="preserve">. Dlatego przytoczenie siglum</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562">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w:t>
      </w:r>
      <w:r>
        <w:t xml:space="preserve"> </w:t>
      </w:r>
      <w:r>
        <w:rPr>
          <w:iCs/>
          <w:i/>
        </w:rPr>
        <w:t xml:space="preserve">Institut</w:t>
      </w:r>
      <w:r>
        <w:t xml:space="preserve"> </w:t>
      </w:r>
      <w:r>
        <w:t xml:space="preserve">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563">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56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56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568">
    <w:p>
      <w:pPr>
        <w:pStyle w:val="FootnoteText"/>
      </w:pPr>
      <w:r>
        <w:rPr>
          <w:rStyle w:val="FootnoteReference"/>
        </w:rPr>
        <w:footnoteRef/>
      </w:r>
      <w:r>
        <w:t xml:space="preserve"> </w:t>
      </w:r>
      <w:r>
        <w:t xml:space="preserve">K. i B. Aland,</w:t>
      </w:r>
      <w:r>
        <w:t xml:space="preserve"> </w:t>
      </w:r>
      <w:r>
        <w:rPr>
          <w:iCs/>
          <w:i/>
        </w:rPr>
        <w:t xml:space="preserve">tamże</w:t>
      </w:r>
      <w:r>
        <w:t xml:space="preserve">, s. 106–125.</w:t>
      </w:r>
    </w:p>
  </w:footnote>
  <w:footnote w:id="569">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70">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 86–87.</w:t>
      </w:r>
    </w:p>
  </w:footnote>
  <w:footnote w:id="571">
    <w:p>
      <w:pPr>
        <w:pStyle w:val="FootnoteText"/>
      </w:pPr>
      <w:r>
        <w:rPr>
          <w:rStyle w:val="FootnoteReference"/>
        </w:rPr>
        <w:footnoteRef/>
      </w:r>
      <w:r>
        <w:t xml:space="preserve"> </w:t>
      </w:r>
      <w:r>
        <w:t xml:space="preserve">Dowody z wczesnych Ojców, papirusów i przekładów można znaleźć w części „But There Is No Evidence of the Byzantine Text in the Early Centuries” w rozdziale 6 mojego</w:t>
      </w:r>
      <w:r>
        <w:t xml:space="preserve"> </w:t>
      </w:r>
      <w:r>
        <w:rPr>
          <w:iCs/>
          <w:i/>
        </w:rPr>
        <w:t xml:space="preserve">Identity IV</w:t>
      </w:r>
      <w:r>
        <w:t xml:space="preserve">.</w:t>
      </w:r>
    </w:p>
  </w:footnote>
  <w:footnote w:id="572">
    <w:p>
      <w:pPr>
        <w:pStyle w:val="FootnoteText"/>
      </w:pPr>
      <w:r>
        <w:rPr>
          <w:rStyle w:val="FootnoteReference"/>
        </w:rPr>
        <w:footnoteRef/>
      </w:r>
      <w:r>
        <w:t xml:space="preserve"> </w:t>
      </w:r>
      <w:r>
        <w:t xml:space="preserve">Istnieje powód, by sądzić, że pochodzi z II wieku, ze względu na okoliczności dotyczące miejsca, w którym go odkryto.</w:t>
      </w:r>
    </w:p>
  </w:footnote>
  <w:footnote w:id="573">
    <w:p>
      <w:pPr>
        <w:pStyle w:val="FootnoteText"/>
      </w:pPr>
      <w:r>
        <w:rPr>
          <w:rStyle w:val="FootnoteReference"/>
        </w:rPr>
        <w:footnoteRef/>
      </w:r>
      <w:r>
        <w:t xml:space="preserve"> </w:t>
      </w:r>
      <w:r>
        <w:t xml:space="preserve">W lutym 1990 roku debatowałem z Danielem Wallace’em w Dallas Theological Seminary, gdzie nauczał. Użył wykresu rzekomo pokazującego rozmieszczenie greckich manuskryptów od III do IX wieku według trzech głównych „typów tekstu” (wykresu, którego używał w sali wykładowej). Od tego czasu użył tego samego wykresu w referacie przedstawionym Evangelical Theological Society. Wykres ten bardzo poważnie wprowadza w błąd. Rzucam Wallace’owi wyzwanie, by rozpoznał manuskrypty, które wykres ma rzekomo przedstawiać, i wykazał, że każdy należy do „typu tekstu”, który mu przypisał. Stwierdzono, że zachowane manuskrypty nie ukazują tekstu bizantyjskiego jako większościowego aż do IX wieku, lecz według statystyk Alanda tekst bizantyjski objął prowadzenie w Ewangeliach w V wieku i je utrzymał.</w:t>
      </w:r>
    </w:p>
    <w:p>
      <w:pPr>
        <w:pStyle w:val="FootnoteText"/>
      </w:pPr>
      <w:r>
        <w:t xml:space="preserve">Rozważmy jednak manuskrypty z IX wieku. Spośród 27 bizantyjskich manuskryptów albo części zawartości (Ewangelie, korpus Pawłowy itd.) osiem jest „czystych” w ponad 95%, dziesięć w ponad 90%, a kolejnych sześć w ponad 80%. Skąd te 24 manuskrypty albo części wzięły swoją bizantyjską zawartość? Ponieważ wszystkie różnią się zawartością, przypuszczalnie skopiowano je z tylu samo odrębnych egzemplarzy, z konieczności wcześniejszych i również bizantyjskich. A z czego skopiowano te egzemplarze? Najwyraźniej z jeszcze wcześniejszych manuskryptów bizantyjskich i tak dalej. Miejmy nadzieję, że Wallace nie będzie próbował argumentować, iż wszystkich tych manuskryptów z IX wieku nie skopiowano z niczego, lecz każdy skryba niezależnie stworzył je z niczego! Wynika z tego, że ogromna większość w IX wieku zakłada ogromną większość w VIII i tak dalej. Dlatego uczeni od Horta po Alanda uznawali, że tekst bizantyjski dominował w przekazie od IV wieku.</w:t>
      </w:r>
    </w:p>
    <w:p>
      <w:pPr>
        <w:pStyle w:val="FootnoteText"/>
      </w:pPr>
      <w:r>
        <w:t xml:space="preserve">Badacze tekstu wszystkich przekonań przez lata uznawali, że zachowani świadkowie z pierwszych stuleci nie muszą być reprezentatywni dla rzeczywistego stanu rzeczy w swoich czasach. Upieranie się, że zachowani świadkowie przedstawiają całą historię, jest nierozsądne i zakłada to, czego ma dowodzić.</w:t>
      </w:r>
    </w:p>
  </w:footnote>
  <w:footnote w:id="575">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577">
    <w:p>
      <w:pPr>
        <w:pStyle w:val="FootnoteText"/>
      </w:pPr>
      <w:r>
        <w:rPr>
          <w:rStyle w:val="FootnoteReference"/>
        </w:rPr>
        <w:footnoteRef/>
      </w:r>
      <w:r>
        <w:t xml:space="preserve"> </w:t>
      </w:r>
      <w:r>
        <w:t xml:space="preserve">Stopniowe „oczyszczanie” strumienia przekazu na przestrzeni stuleci,</w:t>
      </w:r>
      <w:r>
        <w:t xml:space="preserve"> </w:t>
      </w:r>
      <w:r>
        <w:rPr>
          <w:u w:val="single"/>
        </w:rPr>
        <w:t xml:space="preserve">oparte na zachowanych manuskryptach (z perspektywy pierwszeństwa tekstu bizantyjskiego), zostało uznane przez wszystkich</w:t>
      </w:r>
      <w:r>
        <w:t xml:space="preserve"> </w:t>
      </w:r>
      <w:r>
        <w:t xml:space="preserve">bez wyjątku, a ich próby wyjaśnienia tego zjawiska na ogół odzwierciedlają ich założenia wstępne. Z mojego punktu widzenia oczywiste wyjaśnienie brzmi następująco: wszystkie obozy uznają, że najcięższe ataki na czystość Tekstu miały miejsce w II wieku. „Serce Kościoła”, obszar Morza Egejskiego, zdecydowanie najlepiej pod każdym względem przygotowane do czuwania nad wiernym przekazem, po prostu odmówiło kopiowania form odbiegających od normy. Manuskryptów zawierających takie formy nie używano (ani nie kopiowano), dlatego wiele z nich przetrwało fizycznie ponad tysiąclecie. Mniej złe formy były używane, lecz stopniowo przestawano je kopiować. Dlatego zachowane uncjały z IX wieku są dostateczne, w ponad 80% bizantyjskie, lecz niewystarczająco dobre, by je kopiować i poddawać recyklingowi (kiedy lepsze manuskrypty przekształcono w formę kursywną). Aż do pojawienia się drukowanego tekstu manuskrypty sporządzano po to, by ich używać. Stopniowo używano tylko najlepszych, a tym samym zużywano je i kopiowano. Proces ten osiągnął kulminację w XIV wieku, kiedy osmański cień posuwał się nad Azją Mniejszą, lecz Cesarstwo Bizantyjskie nadal istniało.</w:t>
      </w:r>
    </w:p>
  </w:footnote>
  <w:footnote w:id="578">
    <w:p>
      <w:pPr>
        <w:pStyle w:val="FootnoteText"/>
      </w:pPr>
      <w:r>
        <w:rPr>
          <w:rStyle w:val="FootnoteReference"/>
        </w:rPr>
        <w:footnoteRef/>
      </w:r>
      <w:r>
        <w:t xml:space="preserve"> </w:t>
      </w:r>
      <w:r>
        <w:t xml:space="preserve">Rozważmy, do jakiego wniosku doszedł Maurice Robinson w wyniku pełnego skolacjonowania 1389 manuskryptów zawierających</w:t>
      </w:r>
      <w:r>
        <w:t xml:space="preserve"> </w:t>
      </w:r>
      <w:r>
        <w:rPr>
          <w:iCs/>
          <w:i/>
        </w:rPr>
        <w:t xml:space="preserve">Pericope</w:t>
      </w:r>
      <w:r>
        <w:t xml:space="preserve">, Ewangelię Jana 7,53–8,11:</w:t>
      </w:r>
    </w:p>
    <w:p>
      <w:pPr>
        <w:pStyle w:val="FootnoteText"/>
      </w:pPr>
      <w:r>
        <w:t xml:space="preserve">Wbrew wcześniejszym przypuszczeniom niniejszego autora obszerne kolacjonowanie manuskryptów</w:t>
      </w:r>
      <w:r>
        <w:t xml:space="preserve"> </w:t>
      </w:r>
      <w:r>
        <w:rPr>
          <w:iCs/>
          <w:i/>
        </w:rPr>
        <w:t xml:space="preserve">PA</w:t>
      </w:r>
      <w:r>
        <w:t xml:space="preserve"> </w:t>
      </w:r>
      <w:r>
        <w:t xml:space="preserve">ostatecznie wykazało jednak, że wzajemne porównywanie i poprawianie manuskryptów występowało tylko</w:t>
      </w:r>
      <w:r>
        <w:t xml:space="preserve"> </w:t>
      </w:r>
      <w:r>
        <w:rPr>
          <w:iCs/>
          <w:i/>
        </w:rPr>
        <w:t xml:space="preserve">rzadko</w:t>
      </w:r>
      <w:r>
        <w:t xml:space="preserve"> </w:t>
      </w:r>
      <w:r>
        <w:t xml:space="preserve">i</w:t>
      </w:r>
      <w:r>
        <w:t xml:space="preserve"> </w:t>
      </w:r>
      <w:r>
        <w:rPr>
          <w:iCs/>
          <w:i/>
        </w:rPr>
        <w:t xml:space="preserve">sporadycznie</w:t>
      </w:r>
      <w:r>
        <w:t xml:space="preserve">, przy niewielkim albo żadnym utrwalaniu zmian korygujących w obrębie różnorodności reprezentowanych typów (kursywa jego, także poniżej).</w:t>
      </w:r>
    </w:p>
    <w:p>
      <w:pPr>
        <w:pStyle w:val="FootnoteText"/>
      </w:pPr>
      <w:r>
        <w:t xml:space="preserve">Jeśli wzajemne poprawianie nie występowało często ani rozlegle w tej części tekstu, która ma większe zróżnicowanie niż jakiekolwiek inne miejsce w Nowym Testamencie, i jeśli dokonane poprawki nie miały skłonności do utrwalania się, nie jest prawdopodobne, by proces taki występował w tych częściach Nowego Testamentu, które miały mniejsze zróżnicowanie tekstowe… brak systematycznych i gruntownych poprawek w obrębie</w:t>
      </w:r>
      <w:r>
        <w:t xml:space="preserve"> </w:t>
      </w:r>
      <w:r>
        <w:rPr>
          <w:iCs/>
          <w:i/>
        </w:rPr>
        <w:t xml:space="preserve">PA</w:t>
      </w:r>
      <w:r>
        <w:t xml:space="preserve">, a także brak utrwalania się wzorców poprawek zdaje się jasno tego dowodzić. Wzajemne porównywanie i poprawianie</w:t>
      </w:r>
      <w:r>
        <w:t xml:space="preserve"> </w:t>
      </w:r>
      <w:r>
        <w:rPr>
          <w:iCs/>
          <w:i/>
        </w:rPr>
        <w:t xml:space="preserve">powinno</w:t>
      </w:r>
      <w:r>
        <w:t xml:space="preserve"> </w:t>
      </w:r>
      <w:r>
        <w:t xml:space="preserve">było szerzyć się i występować rozlegle w tej części tekstu z powodu istniejącej w niej wielkiej różnorodności wzorców tekstowych i odczytów, zamiast tego poprawianie występowało sporadycznie i rzadko miało charakter gruntowny.</w:t>
      </w:r>
    </w:p>
    <w:p>
      <w:pPr>
        <w:pStyle w:val="FootnoteText"/>
      </w:pPr>
      <w:r>
        <w:t xml:space="preserve">Skoro tak jest, zjawiska względnie ujednoliconej Bizantyjskiej Formy Tekstu</w:t>
      </w:r>
      <w:r>
        <w:t xml:space="preserve"> </w:t>
      </w:r>
      <w:r>
        <w:rPr>
          <w:iCs/>
          <w:i/>
        </w:rPr>
        <w:t xml:space="preserve">nie można</w:t>
      </w:r>
      <w:r>
        <w:t xml:space="preserve"> </w:t>
      </w:r>
      <w:r>
        <w:t xml:space="preserve">wyjaśnić metodologią „procesu”, niezależnie od tego, czy jest „zmodyfikowana”, czy nie…</w:t>
      </w:r>
    </w:p>
    <w:p>
      <w:pPr>
        <w:pStyle w:val="FootnoteText"/>
      </w:pPr>
      <w:r>
        <w:t xml:space="preserve">Na podstawie skolacjonowanych danych niniejszy autor jest zmuszony odwrócić swoje wcześniejsze założenia dotyczące rozwoju i przywrócenia/zachowania Bizantyjskiej Formy Tekstu w następującym sensie: chociaż sam przekaz tekstu jest procesem, wydaje się, że linie przekazu w większości pozostawały odrębne, przy stosunkowo niewielkim mieszaniu, które występowało albo się utrwalało…</w:t>
      </w:r>
    </w:p>
    <w:p>
      <w:pPr>
        <w:pStyle w:val="Footnote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 … … … … … … … … … … … …</w:t>
      </w:r>
    </w:p>
    <w:p>
      <w:pPr>
        <w:pStyle w:val="FootnoteText"/>
      </w:pPr>
      <w:r>
        <w:t xml:space="preserve">Wydaje się zatem, że bizantyjskie minuskuły zachowują linie przekazu, które nie tylko są niezależne, lecz z konieczności miały swój początek w czasie znacznie wcześniejszym niż IX wiek. Zachowane uncjały nie wyjaśniają i nie mogą wyjaśnić różnorodności i stabilności form tekstowych</w:t>
      </w:r>
      <w:r>
        <w:t xml:space="preserve"> </w:t>
      </w:r>
      <w:r>
        <w:rPr>
          <w:iCs/>
          <w:i/>
        </w:rPr>
        <w:t xml:space="preserve">PA</w:t>
      </w:r>
      <w:r>
        <w:t xml:space="preserve"> </w:t>
      </w:r>
      <w:r>
        <w:t xml:space="preserve">występujących nawet wśród najwcześniejszych minuskułów z IX wieku, nie mówiąc już o różnorodności i stabilności form występujących we wszystkich stuleciach ery minuskułów. Brak szerokiego wzajemnego porównywania i poprawiania, wykazany w zachowanych manuskryptach zawierających</w:t>
      </w:r>
      <w:r>
        <w:t xml:space="preserve"> </w:t>
      </w:r>
      <w:r>
        <w:rPr>
          <w:iCs/>
          <w:i/>
        </w:rPr>
        <w:t xml:space="preserve">PA</w:t>
      </w:r>
      <w:r>
        <w:t xml:space="preserve">, wyklucza łatwe rozwinięcie się jakiejkolwiek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epoce pergaminu. Wczesne uncjały zawierające</w:t>
      </w:r>
      <w:r>
        <w:t xml:space="preserve"> </w:t>
      </w:r>
      <w:r>
        <w:rPr>
          <w:iCs/>
          <w:i/>
        </w:rPr>
        <w:t xml:space="preserve">PA</w:t>
      </w:r>
      <w:r>
        <w:t xml:space="preserve"> </w:t>
      </w:r>
      <w:r>
        <w:t xml:space="preserve">wykazują znacznie różniące się linie przekazu, lecz nie wszystkie znane linie. Ani uncjały, ani minuskuły nie wykazują też żadnej oznaki, że jakakolwiek znana linia wywodzi się z równoległej znanej linii. Około dziesięciu linii przekazu „typu tekstu” pozostaje niezależnych i z konieczności musi sięgać punktu znacznie wcześniejszego niż nastąpiła ich odrębna stabilizacja — punktu, który zdaje się pogrzebany (jak sugerowali Colwell i Scrivener) głęboko w II wieku. („Preliminary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przedstawione Evangelical Theological Society, listopad 1998, s. 11–13).</w:t>
      </w:r>
    </w:p>
  </w:footnote>
  <w:footnote w:id="579">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(faktycznie opublikowane w 1989), s. 142–143.</w:t>
      </w:r>
    </w:p>
  </w:footnote>
  <w:footnote w:id="580">
    <w:p>
      <w:pPr>
        <w:pStyle w:val="FootnoteText"/>
      </w:pPr>
      <w:r>
        <w:rPr>
          <w:rStyle w:val="FootnoteReference"/>
        </w:rPr>
        <w:footnoteRef/>
      </w:r>
      <w:r>
        <w:t xml:space="preserve"> </w:t>
      </w:r>
      <w:r>
        <w:rPr>
          <w:iCs/>
          <w:i/>
        </w:rPr>
        <w:t xml:space="preserve">The Text of the New Testament</w:t>
      </w:r>
      <w:r>
        <w:t xml:space="preserve">, s.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25">
    <w:nsid w:val="A9972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87">
    <w:nsid w:val="A994187"/>
    <w:multiLevelType w:val="multilevel"/>
    <w:lvl w:ilvl="0">
      <w:start w:val="87"/>
      <w:numFmt w:val="decimal"/>
      <w:lvlText w:val="%1."/>
      <w:lvlJc w:val="left"/>
      <w:pPr>
        <w:ind w:left="720" w:hanging="480"/>
      </w:pPr>
    </w:lvl>
    <w:lvl w:ilvl="1">
      <w:start w:val="87"/>
      <w:numFmt w:val="decimal"/>
      <w:lvlText w:val="%2."/>
      <w:lvlJc w:val="left"/>
      <w:pPr>
        <w:ind w:left="1440" w:hanging="480"/>
      </w:pPr>
    </w:lvl>
    <w:lvl w:ilvl="2">
      <w:start w:val="87"/>
      <w:numFmt w:val="decimal"/>
      <w:lvlText w:val="%3."/>
      <w:lvlJc w:val="left"/>
      <w:pPr>
        <w:ind w:left="2160" w:hanging="480"/>
      </w:pPr>
    </w:lvl>
    <w:lvl w:ilvl="3">
      <w:start w:val="87"/>
      <w:numFmt w:val="decimal"/>
      <w:lvlText w:val="%4."/>
      <w:lvlJc w:val="left"/>
      <w:pPr>
        <w:ind w:left="2880" w:hanging="480"/>
      </w:pPr>
    </w:lvl>
    <w:lvl w:ilvl="4">
      <w:start w:val="87"/>
      <w:numFmt w:val="decimal"/>
      <w:lvlText w:val="%5."/>
      <w:lvlJc w:val="left"/>
      <w:pPr>
        <w:ind w:left="3600" w:hanging="480"/>
      </w:pPr>
    </w:lvl>
    <w:lvl w:ilvl="5">
      <w:start w:val="87"/>
      <w:numFmt w:val="decimal"/>
      <w:lvlText w:val="%6."/>
      <w:lvlJc w:val="left"/>
      <w:pPr>
        <w:ind w:left="4320" w:hanging="480"/>
      </w:pPr>
    </w:lvl>
    <w:lvl w:ilvl="6">
      <w:start w:val="87"/>
      <w:numFmt w:val="decimal"/>
      <w:lvlText w:val="%7."/>
      <w:lvlJc w:val="left"/>
      <w:pPr>
        <w:ind w:left="5040" w:hanging="480"/>
      </w:pPr>
    </w:lvl>
    <w:lvl w:ilvl="7">
      <w:start w:val="87"/>
      <w:numFmt w:val="decimal"/>
      <w:lvlText w:val="%8."/>
      <w:lvlJc w:val="left"/>
      <w:pPr>
        <w:ind w:left="5760" w:hanging="480"/>
      </w:pPr>
    </w:lvl>
    <w:lvl w:ilvl="8">
      <w:start w:val="87"/>
      <w:numFmt w:val="decimal"/>
      <w:lvlText w:val="%9."/>
      <w:lvlJc w:val="left"/>
      <w:pPr>
        <w:ind w:left="6480" w:hanging="480"/>
      </w:pPr>
    </w:lvl>
  </w:abstractNum>
  <w:abstractNum w:abstractNumId="994189">
    <w:nsid w:val="A994189"/>
    <w:multiLevelType w:val="multilevel"/>
    <w:lvl w:ilvl="0">
      <w:start w:val="89"/>
      <w:numFmt w:val="decimal"/>
      <w:lvlText w:val="%1."/>
      <w:lvlJc w:val="left"/>
      <w:pPr>
        <w:ind w:left="720" w:hanging="480"/>
      </w:pPr>
    </w:lvl>
    <w:lvl w:ilvl="1">
      <w:start w:val="89"/>
      <w:numFmt w:val="decimal"/>
      <w:lvlText w:val="%2."/>
      <w:lvlJc w:val="left"/>
      <w:pPr>
        <w:ind w:left="1440" w:hanging="480"/>
      </w:pPr>
    </w:lvl>
    <w:lvl w:ilvl="2">
      <w:start w:val="89"/>
      <w:numFmt w:val="decimal"/>
      <w:lvlText w:val="%3."/>
      <w:lvlJc w:val="left"/>
      <w:pPr>
        <w:ind w:left="2160" w:hanging="480"/>
      </w:pPr>
    </w:lvl>
    <w:lvl w:ilvl="3">
      <w:start w:val="89"/>
      <w:numFmt w:val="decimal"/>
      <w:lvlText w:val="%4."/>
      <w:lvlJc w:val="left"/>
      <w:pPr>
        <w:ind w:left="2880" w:hanging="480"/>
      </w:pPr>
    </w:lvl>
    <w:lvl w:ilvl="4">
      <w:start w:val="89"/>
      <w:numFmt w:val="decimal"/>
      <w:lvlText w:val="%5."/>
      <w:lvlJc w:val="left"/>
      <w:pPr>
        <w:ind w:left="3600" w:hanging="480"/>
      </w:pPr>
    </w:lvl>
    <w:lvl w:ilvl="5">
      <w:start w:val="89"/>
      <w:numFmt w:val="decimal"/>
      <w:lvlText w:val="%6."/>
      <w:lvlJc w:val="left"/>
      <w:pPr>
        <w:ind w:left="4320" w:hanging="480"/>
      </w:pPr>
    </w:lvl>
    <w:lvl w:ilvl="6">
      <w:start w:val="89"/>
      <w:numFmt w:val="decimal"/>
      <w:lvlText w:val="%7."/>
      <w:lvlJc w:val="left"/>
      <w:pPr>
        <w:ind w:left="5040" w:hanging="480"/>
      </w:pPr>
    </w:lvl>
    <w:lvl w:ilvl="7">
      <w:start w:val="89"/>
      <w:numFmt w:val="decimal"/>
      <w:lvlText w:val="%8."/>
      <w:lvlJc w:val="left"/>
      <w:pPr>
        <w:ind w:left="5760" w:hanging="480"/>
      </w:pPr>
    </w:lvl>
    <w:lvl w:ilvl="8">
      <w:start w:val="89"/>
      <w:numFmt w:val="decimal"/>
      <w:lvlText w:val="%9."/>
      <w:lvlJc w:val="left"/>
      <w:pPr>
        <w:ind w:left="6480" w:hanging="480"/>
      </w:pPr>
    </w:lvl>
  </w:abstractNum>
  <w:abstractNum w:abstractNumId="994191">
    <w:nsid w:val="A994191"/>
    <w:multiLevelType w:val="multilevel"/>
    <w:lvl w:ilvl="0">
      <w:start w:val="91"/>
      <w:numFmt w:val="decimal"/>
      <w:lvlText w:val="%1."/>
      <w:lvlJc w:val="left"/>
      <w:pPr>
        <w:ind w:left="720" w:hanging="480"/>
      </w:pPr>
    </w:lvl>
    <w:lvl w:ilvl="1">
      <w:start w:val="91"/>
      <w:numFmt w:val="decimal"/>
      <w:lvlText w:val="%2."/>
      <w:lvlJc w:val="left"/>
      <w:pPr>
        <w:ind w:left="1440" w:hanging="480"/>
      </w:pPr>
    </w:lvl>
    <w:lvl w:ilvl="2">
      <w:start w:val="91"/>
      <w:numFmt w:val="decimal"/>
      <w:lvlText w:val="%3."/>
      <w:lvlJc w:val="left"/>
      <w:pPr>
        <w:ind w:left="2160" w:hanging="480"/>
      </w:pPr>
    </w:lvl>
    <w:lvl w:ilvl="3">
      <w:start w:val="91"/>
      <w:numFmt w:val="decimal"/>
      <w:lvlText w:val="%4."/>
      <w:lvlJc w:val="left"/>
      <w:pPr>
        <w:ind w:left="2880" w:hanging="480"/>
      </w:pPr>
    </w:lvl>
    <w:lvl w:ilvl="4">
      <w:start w:val="91"/>
      <w:numFmt w:val="decimal"/>
      <w:lvlText w:val="%5."/>
      <w:lvlJc w:val="left"/>
      <w:pPr>
        <w:ind w:left="3600" w:hanging="480"/>
      </w:pPr>
    </w:lvl>
    <w:lvl w:ilvl="5">
      <w:start w:val="91"/>
      <w:numFmt w:val="decimal"/>
      <w:lvlText w:val="%6."/>
      <w:lvlJc w:val="left"/>
      <w:pPr>
        <w:ind w:left="4320" w:hanging="480"/>
      </w:pPr>
    </w:lvl>
    <w:lvl w:ilvl="6">
      <w:start w:val="91"/>
      <w:numFmt w:val="decimal"/>
      <w:lvlText w:val="%7."/>
      <w:lvlJc w:val="left"/>
      <w:pPr>
        <w:ind w:left="5040" w:hanging="480"/>
      </w:pPr>
    </w:lvl>
    <w:lvl w:ilvl="7">
      <w:start w:val="91"/>
      <w:numFmt w:val="decimal"/>
      <w:lvlText w:val="%8."/>
      <w:lvlJc w:val="left"/>
      <w:pPr>
        <w:ind w:left="5760" w:hanging="480"/>
      </w:pPr>
    </w:lvl>
    <w:lvl w:ilvl="8">
      <w:start w:val="91"/>
      <w:numFmt w:val="decimal"/>
      <w:lvlText w:val="%9."/>
      <w:lvlJc w:val="left"/>
      <w:pPr>
        <w:ind w:left="6480" w:hanging="480"/>
      </w:pPr>
    </w:lvl>
  </w:abstractNum>
  <w:abstractNum w:abstractNumId="994193">
    <w:nsid w:val="A994193"/>
    <w:multiLevelType w:val="multilevel"/>
    <w:lvl w:ilvl="0">
      <w:start w:val="93"/>
      <w:numFmt w:val="decimal"/>
      <w:lvlText w:val="%1."/>
      <w:lvlJc w:val="left"/>
      <w:pPr>
        <w:ind w:left="720" w:hanging="480"/>
      </w:pPr>
    </w:lvl>
    <w:lvl w:ilvl="1">
      <w:start w:val="93"/>
      <w:numFmt w:val="decimal"/>
      <w:lvlText w:val="%2."/>
      <w:lvlJc w:val="left"/>
      <w:pPr>
        <w:ind w:left="1440" w:hanging="480"/>
      </w:pPr>
    </w:lvl>
    <w:lvl w:ilvl="2">
      <w:start w:val="93"/>
      <w:numFmt w:val="decimal"/>
      <w:lvlText w:val="%3."/>
      <w:lvlJc w:val="left"/>
      <w:pPr>
        <w:ind w:left="2160" w:hanging="480"/>
      </w:pPr>
    </w:lvl>
    <w:lvl w:ilvl="3">
      <w:start w:val="93"/>
      <w:numFmt w:val="decimal"/>
      <w:lvlText w:val="%4."/>
      <w:lvlJc w:val="left"/>
      <w:pPr>
        <w:ind w:left="2880" w:hanging="480"/>
      </w:pPr>
    </w:lvl>
    <w:lvl w:ilvl="4">
      <w:start w:val="93"/>
      <w:numFmt w:val="decimal"/>
      <w:lvlText w:val="%5."/>
      <w:lvlJc w:val="left"/>
      <w:pPr>
        <w:ind w:left="3600" w:hanging="480"/>
      </w:pPr>
    </w:lvl>
    <w:lvl w:ilvl="5">
      <w:start w:val="93"/>
      <w:numFmt w:val="decimal"/>
      <w:lvlText w:val="%6."/>
      <w:lvlJc w:val="left"/>
      <w:pPr>
        <w:ind w:left="4320" w:hanging="480"/>
      </w:pPr>
    </w:lvl>
    <w:lvl w:ilvl="6">
      <w:start w:val="93"/>
      <w:numFmt w:val="decimal"/>
      <w:lvlText w:val="%7."/>
      <w:lvlJc w:val="left"/>
      <w:pPr>
        <w:ind w:left="5040" w:hanging="480"/>
      </w:pPr>
    </w:lvl>
    <w:lvl w:ilvl="7">
      <w:start w:val="93"/>
      <w:numFmt w:val="decimal"/>
      <w:lvlText w:val="%8."/>
      <w:lvlJc w:val="left"/>
      <w:pPr>
        <w:ind w:left="5760" w:hanging="480"/>
      </w:pPr>
    </w:lvl>
    <w:lvl w:ilvl="8">
      <w:start w:val="93"/>
      <w:numFmt w:val="decimal"/>
      <w:lvlText w:val="%9."/>
      <w:lvlJc w:val="left"/>
      <w:pPr>
        <w:ind w:left="6480" w:hanging="480"/>
      </w:pPr>
    </w:lvl>
  </w:abstractNum>
  <w:abstractNum w:abstractNumId="994195">
    <w:nsid w:val="A994195"/>
    <w:multiLevelType w:val="multilevel"/>
    <w:lvl w:ilvl="0">
      <w:start w:val="95"/>
      <w:numFmt w:val="decimal"/>
      <w:lvlText w:val="%1."/>
      <w:lvlJc w:val="left"/>
      <w:pPr>
        <w:ind w:left="720" w:hanging="480"/>
      </w:pPr>
    </w:lvl>
    <w:lvl w:ilvl="1">
      <w:start w:val="95"/>
      <w:numFmt w:val="decimal"/>
      <w:lvlText w:val="%2."/>
      <w:lvlJc w:val="left"/>
      <w:pPr>
        <w:ind w:left="1440" w:hanging="480"/>
      </w:pPr>
    </w:lvl>
    <w:lvl w:ilvl="2">
      <w:start w:val="95"/>
      <w:numFmt w:val="decimal"/>
      <w:lvlText w:val="%3."/>
      <w:lvlJc w:val="left"/>
      <w:pPr>
        <w:ind w:left="2160" w:hanging="480"/>
      </w:pPr>
    </w:lvl>
    <w:lvl w:ilvl="3">
      <w:start w:val="95"/>
      <w:numFmt w:val="decimal"/>
      <w:lvlText w:val="%4."/>
      <w:lvlJc w:val="left"/>
      <w:pPr>
        <w:ind w:left="2880" w:hanging="480"/>
      </w:pPr>
    </w:lvl>
    <w:lvl w:ilvl="4">
      <w:start w:val="95"/>
      <w:numFmt w:val="decimal"/>
      <w:lvlText w:val="%5."/>
      <w:lvlJc w:val="left"/>
      <w:pPr>
        <w:ind w:left="3600" w:hanging="480"/>
      </w:pPr>
    </w:lvl>
    <w:lvl w:ilvl="5">
      <w:start w:val="95"/>
      <w:numFmt w:val="decimal"/>
      <w:lvlText w:val="%6."/>
      <w:lvlJc w:val="left"/>
      <w:pPr>
        <w:ind w:left="4320" w:hanging="480"/>
      </w:pPr>
    </w:lvl>
    <w:lvl w:ilvl="6">
      <w:start w:val="95"/>
      <w:numFmt w:val="decimal"/>
      <w:lvlText w:val="%7."/>
      <w:lvlJc w:val="left"/>
      <w:pPr>
        <w:ind w:left="5040" w:hanging="480"/>
      </w:pPr>
    </w:lvl>
    <w:lvl w:ilvl="7">
      <w:start w:val="95"/>
      <w:numFmt w:val="decimal"/>
      <w:lvlText w:val="%8."/>
      <w:lvlJc w:val="left"/>
      <w:pPr>
        <w:ind w:left="5760" w:hanging="480"/>
      </w:pPr>
    </w:lvl>
    <w:lvl w:ilvl="8">
      <w:start w:val="95"/>
      <w:numFmt w:val="decimal"/>
      <w:lvlText w:val="%9."/>
      <w:lvlJc w:val="left"/>
      <w:pPr>
        <w:ind w:left="6480" w:hanging="480"/>
      </w:pPr>
    </w:lvl>
  </w:abstractNum>
  <w:abstractNum w:abstractNumId="9941103">
    <w:nsid w:val="A9941103"/>
    <w:multiLevelType w:val="multilevel"/>
    <w:lvl w:ilvl="0">
      <w:start w:val="103"/>
      <w:numFmt w:val="decimal"/>
      <w:lvlText w:val="%1."/>
      <w:lvlJc w:val="left"/>
      <w:pPr>
        <w:ind w:left="720" w:hanging="480"/>
      </w:pPr>
    </w:lvl>
    <w:lvl w:ilvl="1">
      <w:start w:val="103"/>
      <w:numFmt w:val="decimal"/>
      <w:lvlText w:val="%2."/>
      <w:lvlJc w:val="left"/>
      <w:pPr>
        <w:ind w:left="1440" w:hanging="480"/>
      </w:pPr>
    </w:lvl>
    <w:lvl w:ilvl="2">
      <w:start w:val="103"/>
      <w:numFmt w:val="decimal"/>
      <w:lvlText w:val="%3."/>
      <w:lvlJc w:val="left"/>
      <w:pPr>
        <w:ind w:left="2160" w:hanging="480"/>
      </w:pPr>
    </w:lvl>
    <w:lvl w:ilvl="3">
      <w:start w:val="103"/>
      <w:numFmt w:val="decimal"/>
      <w:lvlText w:val="%4."/>
      <w:lvlJc w:val="left"/>
      <w:pPr>
        <w:ind w:left="2880" w:hanging="480"/>
      </w:pPr>
    </w:lvl>
    <w:lvl w:ilvl="4">
      <w:start w:val="103"/>
      <w:numFmt w:val="decimal"/>
      <w:lvlText w:val="%5."/>
      <w:lvlJc w:val="left"/>
      <w:pPr>
        <w:ind w:left="3600" w:hanging="480"/>
      </w:pPr>
    </w:lvl>
    <w:lvl w:ilvl="5">
      <w:start w:val="103"/>
      <w:numFmt w:val="decimal"/>
      <w:lvlText w:val="%6."/>
      <w:lvlJc w:val="left"/>
      <w:pPr>
        <w:ind w:left="4320" w:hanging="480"/>
      </w:pPr>
    </w:lvl>
    <w:lvl w:ilvl="6">
      <w:start w:val="103"/>
      <w:numFmt w:val="decimal"/>
      <w:lvlText w:val="%7."/>
      <w:lvlJc w:val="left"/>
      <w:pPr>
        <w:ind w:left="5040" w:hanging="480"/>
      </w:pPr>
    </w:lvl>
    <w:lvl w:ilvl="7">
      <w:start w:val="103"/>
      <w:numFmt w:val="decimal"/>
      <w:lvlText w:val="%8."/>
      <w:lvlJc w:val="left"/>
      <w:pPr>
        <w:ind w:left="5760" w:hanging="480"/>
      </w:pPr>
    </w:lvl>
    <w:lvl w:ilvl="8">
      <w:start w:val="103"/>
      <w:numFmt w:val="decimal"/>
      <w:lvlText w:val="%9."/>
      <w:lvlJc w:val="left"/>
      <w:pPr>
        <w:ind w:left="6480" w:hanging="480"/>
      </w:pPr>
    </w:lvl>
  </w:abstractNum>
  <w:abstractNum w:abstractNumId="9941109">
    <w:nsid w:val="A9941109"/>
    <w:multiLevelType w:val="multilevel"/>
    <w:lvl w:ilvl="0">
      <w:start w:val="109"/>
      <w:numFmt w:val="decimal"/>
      <w:lvlText w:val="%1."/>
      <w:lvlJc w:val="left"/>
      <w:pPr>
        <w:ind w:left="720" w:hanging="480"/>
      </w:pPr>
    </w:lvl>
    <w:lvl w:ilvl="1">
      <w:start w:val="109"/>
      <w:numFmt w:val="decimal"/>
      <w:lvlText w:val="%2."/>
      <w:lvlJc w:val="left"/>
      <w:pPr>
        <w:ind w:left="1440" w:hanging="480"/>
      </w:pPr>
    </w:lvl>
    <w:lvl w:ilvl="2">
      <w:start w:val="109"/>
      <w:numFmt w:val="decimal"/>
      <w:lvlText w:val="%3."/>
      <w:lvlJc w:val="left"/>
      <w:pPr>
        <w:ind w:left="2160" w:hanging="480"/>
      </w:pPr>
    </w:lvl>
    <w:lvl w:ilvl="3">
      <w:start w:val="109"/>
      <w:numFmt w:val="decimal"/>
      <w:lvlText w:val="%4."/>
      <w:lvlJc w:val="left"/>
      <w:pPr>
        <w:ind w:left="2880" w:hanging="480"/>
      </w:pPr>
    </w:lvl>
    <w:lvl w:ilvl="4">
      <w:start w:val="109"/>
      <w:numFmt w:val="decimal"/>
      <w:lvlText w:val="%5."/>
      <w:lvlJc w:val="left"/>
      <w:pPr>
        <w:ind w:left="3600" w:hanging="480"/>
      </w:pPr>
    </w:lvl>
    <w:lvl w:ilvl="5">
      <w:start w:val="109"/>
      <w:numFmt w:val="decimal"/>
      <w:lvlText w:val="%6."/>
      <w:lvlJc w:val="left"/>
      <w:pPr>
        <w:ind w:left="4320" w:hanging="480"/>
      </w:pPr>
    </w:lvl>
    <w:lvl w:ilvl="6">
      <w:start w:val="109"/>
      <w:numFmt w:val="decimal"/>
      <w:lvlText w:val="%7."/>
      <w:lvlJc w:val="left"/>
      <w:pPr>
        <w:ind w:left="5040" w:hanging="480"/>
      </w:pPr>
    </w:lvl>
    <w:lvl w:ilvl="7">
      <w:start w:val="109"/>
      <w:numFmt w:val="decimal"/>
      <w:lvlText w:val="%8."/>
      <w:lvlJc w:val="left"/>
      <w:pPr>
        <w:ind w:left="5760" w:hanging="480"/>
      </w:pPr>
    </w:lvl>
    <w:lvl w:ilvl="8">
      <w:start w:val="109"/>
      <w:numFmt w:val="decimal"/>
      <w:lvlText w:val="%9."/>
      <w:lvlJc w:val="left"/>
      <w:pPr>
        <w:ind w:left="6480" w:hanging="480"/>
      </w:pPr>
    </w:lvl>
  </w:abstractNum>
  <w:abstractNum w:abstractNumId="9941111">
    <w:nsid w:val="A9941111"/>
    <w:multiLevelType w:val="multilevel"/>
    <w:lvl w:ilvl="0">
      <w:start w:val="111"/>
      <w:numFmt w:val="decimal"/>
      <w:lvlText w:val="%1."/>
      <w:lvlJc w:val="left"/>
      <w:pPr>
        <w:ind w:left="720" w:hanging="480"/>
      </w:pPr>
    </w:lvl>
    <w:lvl w:ilvl="1">
      <w:start w:val="111"/>
      <w:numFmt w:val="decimal"/>
      <w:lvlText w:val="%2."/>
      <w:lvlJc w:val="left"/>
      <w:pPr>
        <w:ind w:left="1440" w:hanging="480"/>
      </w:pPr>
    </w:lvl>
    <w:lvl w:ilvl="2">
      <w:start w:val="111"/>
      <w:numFmt w:val="decimal"/>
      <w:lvlText w:val="%3."/>
      <w:lvlJc w:val="left"/>
      <w:pPr>
        <w:ind w:left="2160" w:hanging="480"/>
      </w:pPr>
    </w:lvl>
    <w:lvl w:ilvl="3">
      <w:start w:val="111"/>
      <w:numFmt w:val="decimal"/>
      <w:lvlText w:val="%4."/>
      <w:lvlJc w:val="left"/>
      <w:pPr>
        <w:ind w:left="2880" w:hanging="480"/>
      </w:pPr>
    </w:lvl>
    <w:lvl w:ilvl="4">
      <w:start w:val="111"/>
      <w:numFmt w:val="decimal"/>
      <w:lvlText w:val="%5."/>
      <w:lvlJc w:val="left"/>
      <w:pPr>
        <w:ind w:left="3600" w:hanging="480"/>
      </w:pPr>
    </w:lvl>
    <w:lvl w:ilvl="5">
      <w:start w:val="111"/>
      <w:numFmt w:val="decimal"/>
      <w:lvlText w:val="%6."/>
      <w:lvlJc w:val="left"/>
      <w:pPr>
        <w:ind w:left="4320" w:hanging="480"/>
      </w:pPr>
    </w:lvl>
    <w:lvl w:ilvl="6">
      <w:start w:val="111"/>
      <w:numFmt w:val="decimal"/>
      <w:lvlText w:val="%7."/>
      <w:lvlJc w:val="left"/>
      <w:pPr>
        <w:ind w:left="5040" w:hanging="480"/>
      </w:pPr>
    </w:lvl>
    <w:lvl w:ilvl="7">
      <w:start w:val="111"/>
      <w:numFmt w:val="decimal"/>
      <w:lvlText w:val="%8."/>
      <w:lvlJc w:val="left"/>
      <w:pPr>
        <w:ind w:left="5760" w:hanging="480"/>
      </w:pPr>
    </w:lvl>
    <w:lvl w:ilvl="8">
      <w:start w:val="111"/>
      <w:numFmt w:val="decimal"/>
      <w:lvlText w:val="%9."/>
      <w:lvlJc w:val="left"/>
      <w:pPr>
        <w:ind w:left="6480" w:hanging="480"/>
      </w:pPr>
    </w:lvl>
  </w:abstractNum>
  <w:abstractNum w:abstractNumId="9941117">
    <w:nsid w:val="A9941117"/>
    <w:multiLevelType w:val="multilevel"/>
    <w:lvl w:ilvl="0">
      <w:start w:val="117"/>
      <w:numFmt w:val="decimal"/>
      <w:lvlText w:val="%1."/>
      <w:lvlJc w:val="left"/>
      <w:pPr>
        <w:ind w:left="720" w:hanging="480"/>
      </w:pPr>
    </w:lvl>
    <w:lvl w:ilvl="1">
      <w:start w:val="117"/>
      <w:numFmt w:val="decimal"/>
      <w:lvlText w:val="%2."/>
      <w:lvlJc w:val="left"/>
      <w:pPr>
        <w:ind w:left="1440" w:hanging="480"/>
      </w:pPr>
    </w:lvl>
    <w:lvl w:ilvl="2">
      <w:start w:val="117"/>
      <w:numFmt w:val="decimal"/>
      <w:lvlText w:val="%3."/>
      <w:lvlJc w:val="left"/>
      <w:pPr>
        <w:ind w:left="2160" w:hanging="480"/>
      </w:pPr>
    </w:lvl>
    <w:lvl w:ilvl="3">
      <w:start w:val="117"/>
      <w:numFmt w:val="decimal"/>
      <w:lvlText w:val="%4."/>
      <w:lvlJc w:val="left"/>
      <w:pPr>
        <w:ind w:left="2880" w:hanging="480"/>
      </w:pPr>
    </w:lvl>
    <w:lvl w:ilvl="4">
      <w:start w:val="117"/>
      <w:numFmt w:val="decimal"/>
      <w:lvlText w:val="%5."/>
      <w:lvlJc w:val="left"/>
      <w:pPr>
        <w:ind w:left="3600" w:hanging="480"/>
      </w:pPr>
    </w:lvl>
    <w:lvl w:ilvl="5">
      <w:start w:val="117"/>
      <w:numFmt w:val="decimal"/>
      <w:lvlText w:val="%6."/>
      <w:lvlJc w:val="left"/>
      <w:pPr>
        <w:ind w:left="4320" w:hanging="480"/>
      </w:pPr>
    </w:lvl>
    <w:lvl w:ilvl="6">
      <w:start w:val="117"/>
      <w:numFmt w:val="decimal"/>
      <w:lvlText w:val="%7."/>
      <w:lvlJc w:val="left"/>
      <w:pPr>
        <w:ind w:left="5040" w:hanging="480"/>
      </w:pPr>
    </w:lvl>
    <w:lvl w:ilvl="7">
      <w:start w:val="117"/>
      <w:numFmt w:val="decimal"/>
      <w:lvlText w:val="%8."/>
      <w:lvlJc w:val="left"/>
      <w:pPr>
        <w:ind w:left="5760" w:hanging="480"/>
      </w:pPr>
    </w:lvl>
    <w:lvl w:ilvl="8">
      <w:start w:val="117"/>
      <w:numFmt w:val="decimal"/>
      <w:lvlText w:val="%9."/>
      <w:lvlJc w:val="left"/>
      <w:pPr>
        <w:ind w:left="6480" w:hanging="480"/>
      </w:pPr>
    </w:lvl>
  </w:abstractNum>
  <w:abstractNum w:abstractNumId="9941120">
    <w:nsid w:val="A9941120"/>
    <w:multiLevelType w:val="multilevel"/>
    <w:lvl w:ilvl="0">
      <w:start w:val="120"/>
      <w:numFmt w:val="decimal"/>
      <w:lvlText w:val="%1."/>
      <w:lvlJc w:val="left"/>
      <w:pPr>
        <w:ind w:left="720" w:hanging="480"/>
      </w:pPr>
    </w:lvl>
    <w:lvl w:ilvl="1">
      <w:start w:val="120"/>
      <w:numFmt w:val="decimal"/>
      <w:lvlText w:val="%2."/>
      <w:lvlJc w:val="left"/>
      <w:pPr>
        <w:ind w:left="1440" w:hanging="480"/>
      </w:pPr>
    </w:lvl>
    <w:lvl w:ilvl="2">
      <w:start w:val="120"/>
      <w:numFmt w:val="decimal"/>
      <w:lvlText w:val="%3."/>
      <w:lvlJc w:val="left"/>
      <w:pPr>
        <w:ind w:left="2160" w:hanging="480"/>
      </w:pPr>
    </w:lvl>
    <w:lvl w:ilvl="3">
      <w:start w:val="120"/>
      <w:numFmt w:val="decimal"/>
      <w:lvlText w:val="%4."/>
      <w:lvlJc w:val="left"/>
      <w:pPr>
        <w:ind w:left="2880" w:hanging="480"/>
      </w:pPr>
    </w:lvl>
    <w:lvl w:ilvl="4">
      <w:start w:val="120"/>
      <w:numFmt w:val="decimal"/>
      <w:lvlText w:val="%5."/>
      <w:lvlJc w:val="left"/>
      <w:pPr>
        <w:ind w:left="3600" w:hanging="480"/>
      </w:pPr>
    </w:lvl>
    <w:lvl w:ilvl="5">
      <w:start w:val="120"/>
      <w:numFmt w:val="decimal"/>
      <w:lvlText w:val="%6."/>
      <w:lvlJc w:val="left"/>
      <w:pPr>
        <w:ind w:left="4320" w:hanging="480"/>
      </w:pPr>
    </w:lvl>
    <w:lvl w:ilvl="6">
      <w:start w:val="120"/>
      <w:numFmt w:val="decimal"/>
      <w:lvlText w:val="%7."/>
      <w:lvlJc w:val="left"/>
      <w:pPr>
        <w:ind w:left="5040" w:hanging="480"/>
      </w:pPr>
    </w:lvl>
    <w:lvl w:ilvl="7">
      <w:start w:val="120"/>
      <w:numFmt w:val="decimal"/>
      <w:lvlText w:val="%8."/>
      <w:lvlJc w:val="left"/>
      <w:pPr>
        <w:ind w:left="5760" w:hanging="480"/>
      </w:pPr>
    </w:lvl>
    <w:lvl w:ilvl="8">
      <w:start w:val="120"/>
      <w:numFmt w:val="decimal"/>
      <w:lvlText w:val="%9."/>
      <w:lvlJc w:val="left"/>
      <w:pPr>
        <w:ind w:left="6480" w:hanging="480"/>
      </w:pPr>
    </w:lvl>
  </w:abstractNum>
  <w:abstractNum w:abstractNumId="9941122">
    <w:nsid w:val="A9941122"/>
    <w:multiLevelType w:val="multilevel"/>
    <w:lvl w:ilvl="0">
      <w:start w:val="122"/>
      <w:numFmt w:val="decimal"/>
      <w:lvlText w:val="%1."/>
      <w:lvlJc w:val="left"/>
      <w:pPr>
        <w:ind w:left="720" w:hanging="480"/>
      </w:pPr>
    </w:lvl>
    <w:lvl w:ilvl="1">
      <w:start w:val="122"/>
      <w:numFmt w:val="decimal"/>
      <w:lvlText w:val="%2."/>
      <w:lvlJc w:val="left"/>
      <w:pPr>
        <w:ind w:left="1440" w:hanging="480"/>
      </w:pPr>
    </w:lvl>
    <w:lvl w:ilvl="2">
      <w:start w:val="122"/>
      <w:numFmt w:val="decimal"/>
      <w:lvlText w:val="%3."/>
      <w:lvlJc w:val="left"/>
      <w:pPr>
        <w:ind w:left="2160" w:hanging="480"/>
      </w:pPr>
    </w:lvl>
    <w:lvl w:ilvl="3">
      <w:start w:val="122"/>
      <w:numFmt w:val="decimal"/>
      <w:lvlText w:val="%4."/>
      <w:lvlJc w:val="left"/>
      <w:pPr>
        <w:ind w:left="2880" w:hanging="480"/>
      </w:pPr>
    </w:lvl>
    <w:lvl w:ilvl="4">
      <w:start w:val="122"/>
      <w:numFmt w:val="decimal"/>
      <w:lvlText w:val="%5."/>
      <w:lvlJc w:val="left"/>
      <w:pPr>
        <w:ind w:left="3600" w:hanging="480"/>
      </w:pPr>
    </w:lvl>
    <w:lvl w:ilvl="5">
      <w:start w:val="122"/>
      <w:numFmt w:val="decimal"/>
      <w:lvlText w:val="%6."/>
      <w:lvlJc w:val="left"/>
      <w:pPr>
        <w:ind w:left="4320" w:hanging="480"/>
      </w:pPr>
    </w:lvl>
    <w:lvl w:ilvl="6">
      <w:start w:val="122"/>
      <w:numFmt w:val="decimal"/>
      <w:lvlText w:val="%7."/>
      <w:lvlJc w:val="left"/>
      <w:pPr>
        <w:ind w:left="5040" w:hanging="480"/>
      </w:pPr>
    </w:lvl>
    <w:lvl w:ilvl="7">
      <w:start w:val="122"/>
      <w:numFmt w:val="decimal"/>
      <w:lvlText w:val="%8."/>
      <w:lvlJc w:val="left"/>
      <w:pPr>
        <w:ind w:left="5760" w:hanging="480"/>
      </w:pPr>
    </w:lvl>
    <w:lvl w:ilvl="8">
      <w:start w:val="122"/>
      <w:numFmt w:val="decimal"/>
      <w:lvlText w:val="%9."/>
      <w:lvlJc w:val="left"/>
      <w:pPr>
        <w:ind w:left="6480" w:hanging="480"/>
      </w:pPr>
    </w:lvl>
  </w:abstractNum>
  <w:abstractNum w:abstractNumId="9941125">
    <w:nsid w:val="A9941125"/>
    <w:multiLevelType w:val="multilevel"/>
    <w:lvl w:ilvl="0">
      <w:start w:val="125"/>
      <w:numFmt w:val="decimal"/>
      <w:lvlText w:val="%1."/>
      <w:lvlJc w:val="left"/>
      <w:pPr>
        <w:ind w:left="720" w:hanging="480"/>
      </w:pPr>
    </w:lvl>
    <w:lvl w:ilvl="1">
      <w:start w:val="125"/>
      <w:numFmt w:val="decimal"/>
      <w:lvlText w:val="%2."/>
      <w:lvlJc w:val="left"/>
      <w:pPr>
        <w:ind w:left="1440" w:hanging="480"/>
      </w:pPr>
    </w:lvl>
    <w:lvl w:ilvl="2">
      <w:start w:val="125"/>
      <w:numFmt w:val="decimal"/>
      <w:lvlText w:val="%3."/>
      <w:lvlJc w:val="left"/>
      <w:pPr>
        <w:ind w:left="2160" w:hanging="480"/>
      </w:pPr>
    </w:lvl>
    <w:lvl w:ilvl="3">
      <w:start w:val="125"/>
      <w:numFmt w:val="decimal"/>
      <w:lvlText w:val="%4."/>
      <w:lvlJc w:val="left"/>
      <w:pPr>
        <w:ind w:left="2880" w:hanging="480"/>
      </w:pPr>
    </w:lvl>
    <w:lvl w:ilvl="4">
      <w:start w:val="125"/>
      <w:numFmt w:val="decimal"/>
      <w:lvlText w:val="%5."/>
      <w:lvlJc w:val="left"/>
      <w:pPr>
        <w:ind w:left="3600" w:hanging="480"/>
      </w:pPr>
    </w:lvl>
    <w:lvl w:ilvl="5">
      <w:start w:val="125"/>
      <w:numFmt w:val="decimal"/>
      <w:lvlText w:val="%6."/>
      <w:lvlJc w:val="left"/>
      <w:pPr>
        <w:ind w:left="4320" w:hanging="480"/>
      </w:pPr>
    </w:lvl>
    <w:lvl w:ilvl="6">
      <w:start w:val="125"/>
      <w:numFmt w:val="decimal"/>
      <w:lvlText w:val="%7."/>
      <w:lvlJc w:val="left"/>
      <w:pPr>
        <w:ind w:left="5040" w:hanging="480"/>
      </w:pPr>
    </w:lvl>
    <w:lvl w:ilvl="7">
      <w:start w:val="125"/>
      <w:numFmt w:val="decimal"/>
      <w:lvlText w:val="%8."/>
      <w:lvlJc w:val="left"/>
      <w:pPr>
        <w:ind w:left="5760" w:hanging="480"/>
      </w:pPr>
    </w:lvl>
    <w:lvl w:ilvl="8">
      <w:start w:val="125"/>
      <w:numFmt w:val="decimal"/>
      <w:lvlText w:val="%9."/>
      <w:lvlJc w:val="left"/>
      <w:pPr>
        <w:ind w:left="6480" w:hanging="480"/>
      </w:pPr>
    </w:lvl>
  </w:abstractNum>
  <w:abstractNum w:abstractNumId="9941130">
    <w:nsid w:val="A9941130"/>
    <w:multiLevelType w:val="multilevel"/>
    <w:lvl w:ilvl="0">
      <w:start w:val="130"/>
      <w:numFmt w:val="decimal"/>
      <w:lvlText w:val="%1."/>
      <w:lvlJc w:val="left"/>
      <w:pPr>
        <w:ind w:left="720" w:hanging="480"/>
      </w:pPr>
    </w:lvl>
    <w:lvl w:ilvl="1">
      <w:start w:val="130"/>
      <w:numFmt w:val="decimal"/>
      <w:lvlText w:val="%2."/>
      <w:lvlJc w:val="left"/>
      <w:pPr>
        <w:ind w:left="1440" w:hanging="480"/>
      </w:pPr>
    </w:lvl>
    <w:lvl w:ilvl="2">
      <w:start w:val="130"/>
      <w:numFmt w:val="decimal"/>
      <w:lvlText w:val="%3."/>
      <w:lvlJc w:val="left"/>
      <w:pPr>
        <w:ind w:left="2160" w:hanging="480"/>
      </w:pPr>
    </w:lvl>
    <w:lvl w:ilvl="3">
      <w:start w:val="130"/>
      <w:numFmt w:val="decimal"/>
      <w:lvlText w:val="%4."/>
      <w:lvlJc w:val="left"/>
      <w:pPr>
        <w:ind w:left="2880" w:hanging="480"/>
      </w:pPr>
    </w:lvl>
    <w:lvl w:ilvl="4">
      <w:start w:val="130"/>
      <w:numFmt w:val="decimal"/>
      <w:lvlText w:val="%5."/>
      <w:lvlJc w:val="left"/>
      <w:pPr>
        <w:ind w:left="3600" w:hanging="480"/>
      </w:pPr>
    </w:lvl>
    <w:lvl w:ilvl="5">
      <w:start w:val="130"/>
      <w:numFmt w:val="decimal"/>
      <w:lvlText w:val="%6."/>
      <w:lvlJc w:val="left"/>
      <w:pPr>
        <w:ind w:left="4320" w:hanging="480"/>
      </w:pPr>
    </w:lvl>
    <w:lvl w:ilvl="6">
      <w:start w:val="130"/>
      <w:numFmt w:val="decimal"/>
      <w:lvlText w:val="%7."/>
      <w:lvlJc w:val="left"/>
      <w:pPr>
        <w:ind w:left="5040" w:hanging="480"/>
      </w:pPr>
    </w:lvl>
    <w:lvl w:ilvl="7">
      <w:start w:val="130"/>
      <w:numFmt w:val="decimal"/>
      <w:lvlText w:val="%8."/>
      <w:lvlJc w:val="left"/>
      <w:pPr>
        <w:ind w:left="5760" w:hanging="480"/>
      </w:pPr>
    </w:lvl>
    <w:lvl w:ilvl="8">
      <w:start w:val="13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7">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1">
    <w:abstractNumId w:val="991"/>
  </w:num>
  <w:num w:numId="1052">
    <w:abstractNumId w:val="991"/>
  </w:num>
  <w:num w:numId="105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1"/>
  </w:num>
  <w:num w:numId="1061">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 w:numId="1068">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1"/>
  </w:num>
  <w:num w:numId="107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8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8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8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88">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89">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9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91">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9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9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94">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95">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96">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97">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98">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099">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100">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101">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102">
    <w:abstractNumId w:val="9941103"/>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103">
    <w:abstractNumId w:val="9941109"/>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1104">
    <w:abstractNumId w:val="9941111"/>
    <w:lvlOverride w:ilvl="0">
      <w:startOverride w:val="111"/>
    </w:lvlOverride>
    <w:lvlOverride w:ilvl="1">
      <w:startOverride w:val="111"/>
    </w:lvlOverride>
    <w:lvlOverride w:ilvl="2">
      <w:startOverride w:val="111"/>
    </w:lvlOverride>
    <w:lvlOverride w:ilvl="3">
      <w:startOverride w:val="111"/>
    </w:lvlOverride>
    <w:lvlOverride w:ilvl="4">
      <w:startOverride w:val="111"/>
    </w:lvlOverride>
    <w:lvlOverride w:ilvl="5">
      <w:startOverride w:val="111"/>
    </w:lvlOverride>
    <w:lvlOverride w:ilvl="6">
      <w:startOverride w:val="111"/>
    </w:lvlOverride>
    <w:lvlOverride w:ilvl="7">
      <w:startOverride w:val="111"/>
    </w:lvlOverride>
    <w:lvlOverride w:ilvl="8">
      <w:startOverride w:val="111"/>
    </w:lvlOverride>
  </w:num>
  <w:num w:numId="1105">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106">
    <w:abstractNumId w:val="9941120"/>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1107">
    <w:abstractNumId w:val="9941122"/>
    <w:lvlOverride w:ilvl="0">
      <w:startOverride w:val="122"/>
    </w:lvlOverride>
    <w:lvlOverride w:ilvl="1">
      <w:startOverride w:val="122"/>
    </w:lvlOverride>
    <w:lvlOverride w:ilvl="2">
      <w:startOverride w:val="122"/>
    </w:lvlOverride>
    <w:lvlOverride w:ilvl="3">
      <w:startOverride w:val="122"/>
    </w:lvlOverride>
    <w:lvlOverride w:ilvl="4">
      <w:startOverride w:val="122"/>
    </w:lvlOverride>
    <w:lvlOverride w:ilvl="5">
      <w:startOverride w:val="122"/>
    </w:lvlOverride>
    <w:lvlOverride w:ilvl="6">
      <w:startOverride w:val="122"/>
    </w:lvlOverride>
    <w:lvlOverride w:ilvl="7">
      <w:startOverride w:val="122"/>
    </w:lvlOverride>
    <w:lvlOverride w:ilvl="8">
      <w:startOverride w:val="122"/>
    </w:lvlOverride>
  </w:num>
  <w:num w:numId="1108">
    <w:abstractNumId w:val="9941125"/>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1109">
    <w:abstractNumId w:val="9941130"/>
    <w:lvlOverride w:ilvl="0">
      <w:startOverride w:val="130"/>
    </w:lvlOverride>
    <w:lvlOverride w:ilvl="1">
      <w:startOverride w:val="130"/>
    </w:lvlOverride>
    <w:lvlOverride w:ilvl="2">
      <w:startOverride w:val="130"/>
    </w:lvlOverride>
    <w:lvlOverride w:ilvl="3">
      <w:startOverride w:val="130"/>
    </w:lvlOverride>
    <w:lvlOverride w:ilvl="4">
      <w:startOverride w:val="130"/>
    </w:lvlOverride>
    <w:lvlOverride w:ilvl="5">
      <w:startOverride w:val="130"/>
    </w:lvlOverride>
    <w:lvlOverride w:ilvl="6">
      <w:startOverride w:val="130"/>
    </w:lvlOverride>
    <w:lvlOverride w:ilvl="7">
      <w:startOverride w:val="130"/>
    </w:lvlOverride>
    <w:lvlOverride w:ilvl="8">
      <w:startOverride w:val="130"/>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2026-09-12T04:29:16Z</dcterms:created>
  <dcterms:modified xsi:type="dcterms:W3CDTF">2026-09-12T04:29:16Z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fontoptions">
    <vt:lpwstr/>
  </property>
  <property fmtid="{D5CDD505-2E9C-101B-9397-08002B2CF9AE}" pid="7" name="mainlang">
    <vt:lpwstr>polish</vt:lpwstr>
  </property>
  <property fmtid="{D5CDD505-2E9C-101B-9397-08002B2CF9AE}" pid="8" name="otherlang">
    <vt:lpwstr>polish</vt:lpwstr>
  </property>
  <property fmtid="{D5CDD505-2E9C-101B-9397-08002B2CF9AE}" pid="9" name="rights">
    <vt:lpwstr>Licencja: Uznanie autorstwa - Na tych samych warunkach 4.0 Międzynarodowa CC BY-SA 4.0</vt:lpwstr>
  </property>
  <property fmtid="{D5CDD505-2E9C-101B-9397-08002B2CF9AE}" pid="10" name="subtitle">
    <vt:lpwstr>Boża ochrona Nowego Testamentu</vt:lpwstr>
  </property>
  <property fmtid="{D5CDD505-2E9C-101B-9397-08002B2CF9AE}" pid="11" name="tags">
    <vt:lpwstr/>
  </property>
</Properties>
</file>