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niepoprawny niż w angielskim. Gdy więc taka wersja pojawiła się i stała się znana, nieuniknione było podjęcie prób jej skorygowania. W związku z tym pierwszy z powyższych odczytów, „ta tajemnica… która”, jest powszechnie uznawany za próbę uczynienia tego trudnego odczytu zrozumiałym. Musiało to jednak być wczesne zjawisko, ponieważ całkowicie dominuje ono w tradycji łacińskiej, zarówno w wersjach, jak i u Ojców, a także jest prawdopodobnym odczytaniem wersji Syr</w:t>
      </w:r>
      <w:r>
        <w:rPr>
          <w:vertAlign w:val="superscript"/>
        </w:rPr>
        <w:t xml:space="preserve">p</w:t>
      </w:r>
      <w:r>
        <w:t xml:space="preserve"> </w:t>
      </w:r>
      <w:r>
        <w:t xml:space="preserve">i koptyjskiej. Występuje ono tylko w jednym greckim manuskrypcie, Codeksie D, i u żadnego greckiego Ojca przed V wiekiem.</w:t>
      </w:r>
    </w:p>
    <w:p>
      <w:pPr>
        <w:pStyle w:val="FootnoteText"/>
      </w:pPr>
      <w:r>
        <w:t xml:space="preserve">The collocation “the mystery… who” is even more pathologic in Greek than it is in English. It was thus inevitable, once such a reading came into existence and became known, that remedial action would be attempted. Accordingly, the first reading above, “the mystery… which”, is generally regarded as an attempt to make the difficult reading intelligible. But it must have been an early development, for it completely dominates the Latin tradition, both version and Fathers, as well as being the probable reading of the Syr</w:t>
      </w:r>
      <w:r>
        <w:rPr>
          <w:vertAlign w:val="superscript"/>
        </w:rPr>
        <w:t xml:space="preserve">p</w:t>
      </w:r>
      <w:r>
        <w:t xml:space="preserve"> </w:t>
      </w:r>
      <w:r>
        <w:t xml:space="preserve">and Coptic versions. It is found in only one Greek MS, Codex D, and in no Greek Father before the fifth century.</w:t>
      </w:r>
    </w:p>
    <w:p>
      <w:pPr>
        <w:pStyle w:val="FootnoteText"/>
      </w:pPr>
      <w:r>
        <w:t xml:space="preserve">Most modern scholars regard “God” as a separate therapeutic response to the difficult reading. Although it dominates the Greek MSS (over 98 percent), it is certainly attested by only two versions, the Georgian and Slavonic (both late). But it also dominates the Greek Fathers. Around AD 100 there are possible allusions in Barnabas, “</w:t>
      </w:r>
      <w:r>
        <w:rPr>
          <w:i/>
          <w:iCs/>
        </w:rPr>
        <w:t xml:space="preserve">Ιησους … ο υιος του Θεου τυπω και εν σαρκι φανερωθεις</w:t>
      </w:r>
      <w:r>
        <w:t xml:space="preserve">” (Cap. xii), and in Ignatius, “</w:t>
      </w:r>
      <w:r>
        <w:rPr>
          <w:i/>
          <w:iCs/>
        </w:rPr>
        <w:t xml:space="preserve">Θεου ανθρωπινως φανερουμενου</w:t>
      </w:r>
      <w:r>
        <w:t xml:space="preserve">” (Ad Ephes. c. 19) and “</w:t>
      </w:r>
      <w:r>
        <w:rPr>
          <w:i/>
          <w:iCs/>
        </w:rPr>
        <w:t xml:space="preserve">εν σαρκι γενομενος Θεος</w:t>
      </w:r>
      <w:r>
        <w:t xml:space="preserve">” (Ibid., c. 7). In the third century there seem to be clear references in Hippolytus, “</w:t>
      </w:r>
      <w:r>
        <w:rPr>
          <w:i/>
          <w:iCs/>
        </w:rPr>
        <w:t xml:space="preserve">Θεος εν σωματι εφανερωθη</w:t>
      </w:r>
      <w:r>
        <w:t xml:space="preserve">” (Contra Haeresim Noeti, c. xvii), Dionysius, “</w:t>
      </w:r>
      <w:r>
        <w:rPr>
          <w:i/>
          <w:iCs/>
        </w:rPr>
        <w:t xml:space="preserve">Θεος γαρ εφανερωθη εν σαρκι</w:t>
      </w:r>
      <w:r>
        <w:t xml:space="preserve">” (Concilia, i. 853a) and Gregory Thaumaturgus, “</w:t>
      </w:r>
      <w:r>
        <w:rPr>
          <w:i/>
          <w:iCs/>
        </w:rPr>
        <w:t xml:space="preserve">και εστιν Θεος αληθινος ο ασαρκος εν σαρκι φανερωθεις</w:t>
      </w:r>
      <w:r>
        <w:t xml:space="preserve">” (quoted by Photius). In the 4th century there are clear quotes or references in Gregory of Nyssa (22 times), Gregory of Nazianzus, Didymus of Alexandria, Diodorus, the Apostolic Constitutions, and Chrysostom, followed by Cyril of Alexandria, Theodoret, and Euthalius in the fifth century, and so on (Burgon, Ibid, pp. 456-476, 486-490).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2026-06-03T06:08:59Z</dcterms:created>
  <dcterms:modified xsi:type="dcterms:W3CDTF">2026-06-03T06:08:59Z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