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7"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5"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rPr>
          <w:rStyle w:val="FootnoteReference"/>
        </w:rPr>
        <w:footnoteReference w:id="144"/>
      </w:r>
    </w:p>
    <w:p>
      <w:pPr>
        <w:pStyle w:val="BodyText"/>
      </w:pPr>
      <w:r>
        <w:t xml:space="preserve">Turning now to the abnormal transmission, it no doubt commenced right along with the normal. The apostolic writings themselves contain strong complaints and warning against heretical and malicious activity. As Christianity spread and began to make an impact on the world, not everyone accepted it as ‘good news’. Opposition of various sorts arose. Also, there came to be divisions within the larger Christian community—in the NT itself notice is taken of the beginnings of some of these tangents. In some cases faithfulness to an ideological (theological) position evidently became more important than faithfulness to the NT Text. Certain it is that Church Fathers who wrote during the second century complained bitterly about the deliberate alterations to the Text perpetrated by ‘heretics’. Large sections of the extant writings of the early Fathers are precisely and exclusively concerned with combating the heretics. It is clear that during the second century, and possibly already in the first, such persons produced many copies of NT writings incorporating their alterations.3 Some apparently were quite widely circulated, for a time. The result was a welter of variant readings, to confuse the uninformed and mislead the unwary. Such a scenario was totally predictable. If the NT is in fact God’s Word then both God and Satan must have a lively interest in its fortunes. To approach the textual criticism of the NT without taking due account of that interest is to act irresponsibly.</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2026-04-20T04:04:24Z</dcterms:created>
  <dcterms:modified xsi:type="dcterms:W3CDTF">2026-04-20T04:04:24Z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