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61"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 ezpodstawne Pojęcie „strumieni” Eppa nie wypada lepiej. Istnieje tylko jeden strumień (właściwie rzeka), z wieloma małymi wirami wzdłuż brzegów.</w:t>
      </w:r>
      <w:r>
        <w:rPr>
          <w:rStyle w:val="FootnoteReference"/>
        </w:rPr>
        <w:footnoteReference w:id="158"/>
      </w:r>
      <w:r>
        <w:t xml:space="preserve"> </w:t>
      </w:r>
      <w:r>
        <w:t xml:space="preserve">Kiedy mówię, że Tekst Większościowy dominuje strumień, mam na myśli to, że jest on reprezentowany w około 95% manuskryptów.</w:t>
      </w:r>
      <w:r>
        <w:rPr>
          <w:rStyle w:val="FootnoteReference"/>
        </w:rPr>
        <w:footnoteReference w:id="159"/>
      </w:r>
    </w:p>
    <w:p>
      <w:pPr>
        <w:pStyle w:val="BodyText"/>
      </w:pPr>
      <w:r>
        <w:t xml:space="preserve">What we find upon consulting the witnesses is just such a picture. We have the Majority Text (Aland), or the Traditional Text (Burgon), dominating the stream of transmission with a few individual witnesses going their idiosyncratic ways. In Chapter 4 of my</w:t>
      </w:r>
      <w:r>
        <w:t xml:space="preserve"> </w:t>
      </w:r>
      <w:r>
        <w:rPr>
          <w:i/>
          <w:iCs/>
        </w:rPr>
        <w:t xml:space="preserve">Identity IV</w:t>
      </w:r>
      <w:r>
        <w:t xml:space="preserve"> </w:t>
      </w:r>
      <w:r>
        <w:t xml:space="preserve">I demonstrate that the notion of ‘text-types’ and recensions, as defined and used by Hort and his followers, is gratuitous. Epp’s notion of ‘streams’ fares no better. There is just one stream (actually a river), with a number of small eddies along the edges.1 When I say the Majority Text dominates the stream, I mean it is represented in about 95% of the MSS.2</w:t>
      </w:r>
    </w:p>
    <w:p>
      <w:pPr>
        <w:pStyle w:val="BodyText"/>
      </w:pPr>
      <w:r>
        <w:rPr>
          <w:rStyle w:val="FootnoteReference"/>
        </w:rPr>
        <w:footnoteReference w:id="160"/>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8">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59">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0">
    <w:p>
      <w:pPr>
        <w:pStyle w:val="FootnoteText"/>
      </w:pPr>
      <w:r>
        <w:rPr>
          <w:rStyle w:val="FootnoteReference"/>
        </w:rPr>
        <w:footnoteRef/>
      </w:r>
      <w:r>
        <w:t xml:space="preserve"> </w:t>
      </w:r>
      <w:r>
        <w:t xml:space="preserve">I am not prepared to defend the precise figures used, they are</w:t>
      </w:r>
      <w:r>
        <w:t xml:space="preserve"> </w:t>
      </w:r>
      <w:r>
        <w:rPr>
          <w:b/>
          <w:bCs/>
        </w:rPr>
        <w:t xml:space="preserve">guesses</w:t>
      </w:r>
      <w:r>
        <w:t xml:space="preserve">, but I believe they represent a reasonable approximation to reality. I heartily agree with Colwell when he insists that we must “rigorously eliminate the singular reading” (“External Evidence and New Testament Criticism”,</w:t>
      </w:r>
      <w:r>
        <w:t xml:space="preserve"> </w:t>
      </w:r>
      <w:r>
        <w:rPr>
          <w:i/>
          <w:iCs/>
        </w:rPr>
        <w:t xml:space="preserve">Studies in the History of the Text of the New Testament</w:t>
      </w:r>
      <w:r>
        <w:t xml:space="preserve">, ed. B.L. Daniels and M.J. Suggs [Salt Lake City: University of Utah Press, 1967], p. 8) on the altogether reasonable assumption (it seems to me) that a solitary witness against the world cannot possibly be right.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2026-05-20T03:27:53Z</dcterms:created>
  <dcterms:modified xsi:type="dcterms:W3CDTF">2026-05-20T03:27:53Z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