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2"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rPr>
          <w:rStyle w:val="FootnoteReference"/>
        </w:rPr>
        <w:footnoteReference w:id="131"/>
      </w:r>
      <w:r>
        <w:t xml:space="preserve"> </w:t>
      </w:r>
      <w:r>
        <w:t xml:space="preserve">Tertullian, also, says of his right to the New Testament Scriptures,</w:t>
      </w:r>
      <w:r>
        <w:t xml:space="preserve"> </w:t>
      </w:r>
      <w:r>
        <w:t xml:space="preserve">“</w:t>
      </w:r>
      <w:r>
        <w:t xml:space="preserve">I hold sure title-deeds from the original owners themselves… I am the heir of the apostles. Just as they carefully prepared their will and testament, and committed it to a trust… even so I hold it.</w:t>
      </w:r>
      <w:r>
        <w:t xml:space="preserve">”</w:t>
      </w:r>
      <w:r>
        <w:t xml:space="preserve"> </w:t>
      </w:r>
      <w:r>
        <w:t xml:space="preserve">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2026-02-19T20:27:11Z</dcterms:created>
  <dcterms:modified xsi:type="dcterms:W3CDTF">2026-02-19T20:27:11Z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