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 35, przyp. tłum.] mówi o heretykach nauczających doktryny duchów błędu, fakt ten „sprawia, iż my, którzy jesteśmy uczniami prawdziwej i czystej doktryny Jezusa Chrystusa, stajemy się bardziej wierni i niezłomni w nadziei ogłoszonej przez Niego.”</w:t>
      </w:r>
    </w:p>
    <w:p>
      <w:pPr>
        <w:pStyle w:val="BodyText"/>
      </w:pPr>
      <w:r>
        <w:t xml:space="preserve">Similarly, Justin Martyr says (Apol. i.58),</w:t>
      </w:r>
      <w:r>
        <w:t xml:space="preserve"> </w:t>
      </w:r>
      <w:r>
        <w:t xml:space="preserve">“</w:t>
      </w:r>
      <w:r>
        <w:t xml:space="preserve">the wicked demons have also put forward Marcion of Pontus</w:t>
      </w:r>
      <w:r>
        <w:t xml:space="preserve">”</w:t>
      </w:r>
      <w:r>
        <w:t xml:space="preserve">. Again, such strong language makes clear that he was aware and concerned. And in Trypho xxxv he says of heretics teaching doctrines of the spirits of error, that fact</w:t>
      </w:r>
      <w:r>
        <w:t xml:space="preserve"> </w:t>
      </w:r>
      <w:r>
        <w:t xml:space="preserve">“</w:t>
      </w:r>
      <w:r>
        <w:t xml:space="preserve">causes us who are disciples of the true and pure doctrine of Jesus Christ to be more faithful and steadfast in the hope announced by Him.</w:t>
      </w:r>
      <w:r>
        <w:t xml:space="preserve">”</w:t>
      </w:r>
    </w:p>
    <w:p>
      <w:pPr>
        <w:pStyle w:val="BodyText"/>
      </w:pPr>
      <w:r>
        <w:t xml:space="preserve">It seems obvious that heretical activity would have precisely the effect of putting the faithful on their guard and forcing them to define in their own minds what they were going to defend. Thus Marcion’s truncated canon evidently stirred the faithful to define the true canon. But Marcion also altered the wording of Luke and Paul’s Epistles, and by their bitter complaints it is clear that the faithful were both aware and concerned. We may note in passing that the heretical activity also furnishes backhanded evidence that the New Testament writings were regarded as Scripture—why bother falsifying them if they had no authority?</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2026-02-15T15:56:20Z</dcterms:created>
  <dcterms:modified xsi:type="dcterms:W3CDTF">2026-02-15T15:56:20Z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