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4"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43"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42"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większość potwierdzeń,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popularność odbiegającej od normy formie tekstu. Nie znamy żadnego miejsca w historii, które mogłoby pomieścić taki przewrót.</w:t>
      </w:r>
    </w:p>
    <w:p>
      <w:pPr>
        <w:pStyle w:val="BodyText"/>
      </w:pPr>
      <w:r>
        <w:rPr>
          <w:rStyle w:val="FootnoteReference"/>
        </w:rPr>
        <w:footnoteReference w:id="141"/>
      </w:r>
    </w:p>
    <w:p>
      <w:pPr>
        <w:pStyle w:val="BodyText"/>
      </w:pPr>
      <w:r>
        <w:t xml:space="preserve">The considerations just cited are crucial to an adequate understanding of the history of the transmission of the text because they indicate that a basic trend was established at the very beginning—a trend that would continue inexorably until the advent of a printed N.T. text. I say “inexorably” because, given a normal process of transmission, the science of statistical probability demonstrates that a text form in such circumstances could scarcely be dislodged from its dominant position—the probabilities against a competing text form ever achieving a majority attestation would be prohibitive no matter how many generations of MSS there might be.1 It would take an extraordinary upheaval in the transmissional history to give currency to an aberrant text form. We know of no place in history that will accommodate such an upheaval.</w:t>
      </w:r>
    </w:p>
    <w:bookmarkEnd w:id="142"/>
    <w:bookmarkEnd w:id="143"/>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2026-04-10T17:55:25Z</dcterms:created>
  <dcterms:modified xsi:type="dcterms:W3CDTF">2026-04-10T17:55:25Z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