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In John 2,22 I would translate,</w:t>
      </w:r>
      <w:r>
        <w:t xml:space="preserve"> </w:t>
      </w:r>
      <w:r>
        <w:t xml:space="preserve">“</w:t>
      </w:r>
      <w:r>
        <w:t xml:space="preserve">so they believed the Scripture, even the word that Jesus had spoken</w:t>
      </w:r>
      <w:r>
        <w:t xml:space="preserve">”</w:t>
      </w:r>
      <w:r>
        <w:t xml:space="preserve">—what Jesus said in John 2,19 was already circulating as</w:t>
      </w:r>
      <w:r>
        <w:t xml:space="preserve"> </w:t>
      </w:r>
      <w:r>
        <w:t xml:space="preserve">‘</w:t>
      </w:r>
      <w:r>
        <w:t xml:space="preserve">Scripture</w:t>
      </w:r>
      <w:r>
        <w:t xml:space="preserve">’</w:t>
      </w:r>
      <w:r>
        <w:t xml:space="preserve"> </w:t>
      </w:r>
      <w:r>
        <w:t xml:space="preserve">in Matthew 26,61 and 27,40 (when John wrote, in 62 AD).</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2025-12-11T05:43:09Z</dcterms:created>
  <dcterms:modified xsi:type="dcterms:W3CDTF">2025-12-11T05:43:09Z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