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2"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chrześcijańskim.[^ch-roberts-4243-5458] Aland stwierdza: „Egipt wyróżniał się spośród innych prowincji Kościoła, na ile możemy to ocenić, wczesną dominacją gnostycyzmu”.[^k-i-b-aland-s-59] Dalej informuje nas, że „pod koniec II wieku” Kościół egipski był „w przeważającej mierze gnostycki”, a następnie dodaje: „Kopie istniejące w społecznościach gnostyckich nie mogły być używane, ponieważ podejrzewano, że były zniekształcone”.[^k-aland-1987-8ns138] 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aktów,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ortodoksi.[^metzger-early-version-101]</w:t>
      </w:r>
    </w:p>
    <w:p>
      <w:pPr>
        <w:pStyle w:val="BlockText"/>
      </w:pPr>
      <w:r>
        <w:t xml:space="preserve">Among the Christian documents which during the second century either originated in Egypt or circulated there among both the orthodox and the Gnostics are numerous apocryphal gospels, acts, epistles, and apocalypses… There are also fragments of exegetical and dogmatic works composed by Alexandrian Chris- tians, chiefly Gnostics, during the second century… In fact, to judge by the comments made by Clement of Alexandria, almost every deviant Christian sect was represented in Egypt during the second century; Clement mentions the Valentinians, the Basil- idians, the Marcionites, the Peratae, the Encratites, the Docetists, the Haimetites, the Cainites, the Ophites, the Simonians, and the Eutychites. What proportion of Christians in Egypt during the second century were orthodox is not known.5</w:t>
      </w:r>
    </w:p>
    <w:p>
      <w:pPr>
        <w:pStyle w:val="FirstParagraph"/>
      </w:pPr>
      <w:r>
        <w:t xml:space="preserve">[^ch-roberts-4243-5458] C.H. Roberts,</w:t>
      </w:r>
      <w:r>
        <w:t xml:space="preserve"> </w:t>
      </w:r>
      <w:r>
        <w:rPr>
          <w:i/>
          <w:iCs/>
        </w:rPr>
        <w:t xml:space="preserve">Manuscript, Society and Belief in Early Christian Egypt</w:t>
      </w:r>
      <w:r>
        <w:t xml:space="preserve"> </w:t>
      </w:r>
      <w:r>
        <w:t xml:space="preserve">(Londyn: Oxford University Press, 1979), s. 42–43, 54–58.</w:t>
      </w:r>
    </w:p>
    <w:p>
      <w:pPr>
        <w:pStyle w:val="BodyText"/>
      </w:pPr>
      <w:r>
        <w:t xml:space="preserve">[^k-i-b-aland-s-59] K. i B. Aland, s. 59.</w:t>
      </w:r>
    </w:p>
    <w:p>
      <w:pPr>
        <w:pStyle w:val="BodyText"/>
      </w:pPr>
      <w:r>
        <w:t xml:space="preserve">[^k-aland-1987-8ns138] K. Aland, „The Text of the Church?”,</w:t>
      </w:r>
      <w:r>
        <w:t xml:space="preserve"> </w:t>
      </w:r>
      <w:r>
        <w:rPr>
          <w:i/>
          <w:iCs/>
        </w:rPr>
        <w:t xml:space="preserve">Trinity Journal</w:t>
      </w:r>
      <w:r>
        <w:t xml:space="preserve">, 1987, 8NS:138.</w:t>
      </w:r>
    </w:p>
    <w:p>
      <w:pPr>
        <w:pStyle w:val="BodyText"/>
      </w:pPr>
      <w:r>
        <w:t xml:space="preserve">[^metzger-early-version-101] Metzger,</w:t>
      </w:r>
      <w:r>
        <w:t xml:space="preserve"> </w:t>
      </w:r>
      <w:r>
        <w:rPr>
          <w:i/>
          <w:iCs/>
        </w:rPr>
        <w:t xml:space="preserve">Early Versions</w:t>
      </w:r>
      <w:r>
        <w:t xml:space="preserve">, s. 101.</w:t>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2026-03-27T04:37:20Z</dcterms:created>
  <dcterms:modified xsi:type="dcterms:W3CDTF">2026-03-27T04:37:20Z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