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8"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7"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6"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p>
      <w:pPr>
        <w:pStyle w:val="BodyText"/>
      </w:pPr>
      <w:r>
        <w:t xml:space="preserve">Argument oparty na prawdopodobieństwie statystycznym wkracza tutaj ze zdwojoną siłą.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indywidualne,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It really does seem that those scholars who reject the Majority Text are faced with a serious problem. How is it to be explained if it does not reflect the Original? Hort’s notion of a Lucianic revision has been abandoned by most scholars because of the total lack of historical evidence. The eclecticists are not even trying. The “process” view has not been articulated in sufficient detail to permit refutation, but on the face of it that view is flatly contradicted by the argument from statistical probability.</w:t>
      </w:r>
      <w:r>
        <w:rPr>
          <w:rStyle w:val="FootnoteReference"/>
        </w:rPr>
        <w:footnoteReference w:id="165"/>
      </w:r>
      <w:r>
        <w:t xml:space="preserve"> </w:t>
      </w:r>
      <w:r>
        <w:t xml:space="preserve">How could any amount of ‘process’ bridge the gap between B or Aleph and the TR?</w:t>
      </w:r>
    </w:p>
    <w:p>
      <w:pPr>
        <w:pStyle w:val="BodyText"/>
      </w:pPr>
      <w:r>
        <w:t xml:space="preserve">But there is a more basic problem with the process view. Hort saw clearly, and correctly, that the Majority Text must have a common archetype. Recall that Hort’s genealogical method was based on community of</w:t>
      </w:r>
      <w:r>
        <w:t xml:space="preserve"> </w:t>
      </w:r>
      <w:r>
        <w:rPr>
          <w:b/>
          <w:bCs/>
        </w:rPr>
        <w:t xml:space="preserve">error</w:t>
      </w:r>
      <w:r>
        <w:t xml:space="preserve">. On the hypothesis that the Majority Text is a late and inferior text form, the large mass of common readings which distinguish it from the socalled ‘Western’ or ‘Alexandrian text-types’ must be</w:t>
      </w:r>
      <w:r>
        <w:t xml:space="preserve"> </w:t>
      </w:r>
      <w:r>
        <w:rPr>
          <w:b/>
          <w:bCs/>
        </w:rPr>
        <w:t xml:space="preserve">errors</w:t>
      </w:r>
      <w:r>
        <w:t xml:space="preserve"> </w:t>
      </w:r>
      <w:r>
        <w:t xml:space="preserve">(which was precisely Hort’s contention) and such an agreement in error would have to have a common source. The process view fails completely to account for such an agreement in error (on that hypothesis).</w:t>
      </w:r>
    </w:p>
    <w:p>
      <w:pPr>
        <w:pStyle w:val="BodyText"/>
      </w:pPr>
      <w:r>
        <w:t xml:space="preserve">Hort saw the need for a common source and posited a Lucianic revision. Scholars now generally recognize that the ‘Byzantine text-type’ must date back at least into the second century. But what chance would the original ‘Byzantine’ document, the archetype, have of gaining currency when appeal to the Autographs was still possible (if it was a separate invention)?</w:t>
      </w:r>
    </w:p>
    <w:p>
      <w:pPr>
        <w:pStyle w:val="BodyText"/>
      </w:pPr>
      <w:r>
        <w:t xml:space="preserve">Candidly, there is only one reasonable explanation for the Majority Text that has so far been advanced—it is the result of an essentially normal process of transmission and the common source for its consensus is the Autographs. Down through the centuries of copying, the original text has always been reflected with a high degree of accuracy in the manuscript tradition as a whole. The history of the text presented above not only accounts nicely for the Majority Text, it also accounts for the inconsistent minority of MSS. They are remnants of the abnormal transmission of the text, reflecting ancient aberrant forms. It is a dependence upon such aberrant forms that distinguishes contemporary critical/eclectic editions of the Greek New Testament, and the modern translations based upon them.</w:t>
      </w:r>
    </w:p>
    <w:bookmarkEnd w:id="166"/>
    <w:bookmarkEnd w:id="167"/>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 </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“która”</w:t>
      </w:r>
      <w:r>
        <w:t xml:space="preserve"> </w:t>
      </w:r>
      <w:r>
        <w:t xml:space="preserve">powstała z</w:t>
      </w:r>
      <w:r>
        <w:t xml:space="preserve"> </w:t>
      </w:r>
      <w:r>
        <w:t xml:space="preserve">“kto”</w:t>
      </w:r>
      <w:r>
        <w:t xml:space="preserve">, wówczas to drugie musi być starsze. Odczyt</w:t>
      </w:r>
      <w:r>
        <w:t xml:space="preserve"> </w:t>
      </w:r>
      <w:r>
        <w:t xml:space="preserve">“kto”</w:t>
      </w:r>
      <w:r>
        <w:t xml:space="preserve"> </w:t>
      </w:r>
      <w:r>
        <w:t xml:space="preserve">jest co prawda najtrudniejszy, do tego stopnia, że stosowanie zasady</w:t>
      </w:r>
      <w:r>
        <w:t xml:space="preserve"> </w:t>
      </w:r>
      <w:r>
        <w:t xml:space="preserve">“trudniejszego odczytu”</w:t>
      </w:r>
      <w:r>
        <w:t xml:space="preserve"> </w:t>
      </w:r>
      <w:r>
        <w:t xml:space="preserve">w obliczu łatwego wyjaśnienia transkrypcyjnego (przypadkowego pominięcia dwóch pociągnięć pióra) dla trudnego odczytu wydaje się nierozsądne. Jak trafnie ujął to Burgon:</w:t>
      </w:r>
    </w:p>
    <w:p>
      <w:pPr>
        <w:pStyle w:val="FootnoteBlockText"/>
      </w:pPr>
      <w:r>
        <w:t xml:space="preserve">I trust we are at least agreed that the maxim “</w:t>
      </w:r>
      <w:r>
        <w:rPr>
          <w:i/>
          <w:iCs/>
        </w:rPr>
        <w:t xml:space="preserve">proclivi lectioni praestat ardua,</w:t>
      </w:r>
      <w:r>
        <w:t xml:space="preserve">” does not enunciate so foolish a proposition as that in choosing between two or more conflicting readings, we are to prefer</w:t>
      </w:r>
      <w:r>
        <w:t xml:space="preserve"> </w:t>
      </w:r>
      <w:r>
        <w:rPr>
          <w:b/>
          <w:bCs/>
        </w:rPr>
        <w:t xml:space="preserve">that</w:t>
      </w:r>
      <w:r>
        <w:t xml:space="preserve"> </w:t>
      </w:r>
      <w:r>
        <w:t xml:space="preserve">one which has the feeblest external attestation, — provided it be but in itself almost unintelligible? (</w:t>
      </w:r>
      <w:r>
        <w:rPr>
          <w:i/>
          <w:iCs/>
        </w:rPr>
        <w:t xml:space="preserve">Ibid.</w:t>
      </w:r>
      <w:r>
        <w:t xml:space="preserve">, p. 497).</w:t>
      </w:r>
    </w:p>
    <w:p>
      <w:pPr>
        <w:pStyle w:val="FootnoteBlockText"/>
      </w:pPr>
      <w:r>
        <w:t xml:space="preserve">Wierzę, że przynajmniej co do tego się zgadzamy, iż maksyma „</w:t>
      </w:r>
      <w:r>
        <w:rPr>
          <w:i/>
          <w:iCs/>
        </w:rPr>
        <w:t xml:space="preserve">proclivi lectioni praestat ardua</w:t>
      </w:r>
      <w:r>
        <w:t xml:space="preserve">” nie głosi tak nierozsądnej tezy, jakoby przy wyborze między dwoma lub więcej sprzecznymi odczytami należało preferować</w:t>
      </w:r>
      <w:r>
        <w:t xml:space="preserve"> </w:t>
      </w:r>
      <w:r>
        <w:rPr>
          <w:b/>
          <w:bCs/>
        </w:rPr>
        <w:t xml:space="preserve">właśnie ten</w:t>
      </w:r>
      <w:r>
        <w:t xml:space="preserve">, który ma najsłabsze zewnętrzne potwierdzenie – pod warunkiem, że sam w sobie jest niemal niezrozumiały? (</w:t>
      </w:r>
      <w:r>
        <w:rPr>
          <w:i/>
          <w:iCs/>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65">
    <w:p>
      <w:pPr>
        <w:pStyle w:val="FootnoteText"/>
      </w:pPr>
      <w:r>
        <w:rPr>
          <w:rStyle w:val="FootnoteReference"/>
        </w:rPr>
        <w:footnoteRef/>
      </w:r>
      <w:r>
        <w:t xml:space="preserve"> </w:t>
      </w:r>
      <w:r>
        <w:t xml:space="preserve">For further discussion see the final pages of Appendix C in my Identity IV.</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2026-06-15T05:53:35Z</dcterms:created>
  <dcterms:modified xsi:type="dcterms:W3CDTF">2026-06-15T05:53:35Z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