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Override PartName="/word/media/rId16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 wydawnictwa</w:t>
      </w:r>
      <w:r>
        <w:t xml:space="preserve"> </w:t>
      </w:r>
      <w:hyperlink r:id="rId21">
        <w:r>
          <w:rPr>
            <w:rStyle w:val="Hyperlink"/>
          </w:rPr>
          <w:t xml:space="preserve">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w:t>
      </w:r>
      <w:r>
        <w:t xml:space="preserve"> </w:t>
      </w:r>
      <w:r>
        <w:rPr>
          <w:iCs/>
          <w:i/>
        </w:rPr>
        <w:t xml:space="preserve">pro publico bono</w:t>
      </w:r>
      <w:r>
        <w:t xml:space="preserve">,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90" w:name="część-i-dowody-historyczne"/>
    <w:p>
      <w:pPr>
        <w:pStyle w:val="Heading1"/>
      </w:pPr>
      <w:r>
        <w:t xml:space="preserve">CZĘŚĆ I: Dowody historyczne</w:t>
      </w:r>
    </w:p>
    <w:bookmarkStart w:id="6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6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3"/>
    <w:bookmarkStart w:id="85" w:name="wprowadzenie"/>
    <w:p>
      <w:pPr>
        <w:pStyle w:val="Heading2"/>
      </w:pPr>
      <w:r>
        <w:t xml:space="preserve">Wprowadzenie</w:t>
      </w:r>
    </w:p>
    <w:bookmarkStart w:id="79" w:name="natchnienie"/>
    <w:p>
      <w:pPr>
        <w:pStyle w:val="Heading3"/>
      </w:pPr>
      <w:r>
        <w:t xml:space="preserve">Natchnienie</w:t>
      </w:r>
    </w:p>
    <w:p>
      <w:pPr>
        <w:pStyle w:val="FirstParagraph"/>
      </w:pPr>
      <w:r>
        <w:t xml:space="preserve">Gdy piszę książkę</w:t>
      </w:r>
      <w:r>
        <w:rPr>
          <w:rStyle w:val="FootnoteReference"/>
        </w:rPr>
        <w:footnoteReference w:id="6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8"/>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6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1"/>
      </w:r>
      <w:r>
        <w:t xml:space="preserve"> </w:t>
      </w:r>
      <w:r>
        <w:t xml:space="preserve">Ewangelii Chrystusa</w:t>
      </w:r>
      <w:r>
        <w:rPr>
          <w:rStyle w:val="FootnoteReference"/>
        </w:rPr>
        <w:footnoteReference w:id="72"/>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79"/>
    <w:bookmarkStart w:id="8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1"/>
    <w:bookmarkStart w:id="8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4"/>
    <w:bookmarkEnd w:id="85"/>
    <w:bookmarkStart w:id="18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8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3"/>
    <w:bookmarkStart w:id="121" w:name="X2567adac6f25933c916ef36242b5d7814bc2aed"/>
    <w:p>
      <w:pPr>
        <w:pStyle w:val="Heading3"/>
      </w:pPr>
      <w:r>
        <w:t xml:space="preserve">Wczesne rozpoznanie</w:t>
      </w:r>
      <w:r>
        <w:t xml:space="preserve"> </w:t>
      </w:r>
      <w:r>
        <w:rPr>
          <w:rStyle w:val="FootnoteReference"/>
        </w:rPr>
        <w:footnoteReference w:id="9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6"/>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7"/>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8"/>
      </w:r>
      <w:r>
        <w:t xml:space="preserve"> </w:t>
      </w:r>
      <w:r>
        <w:t xml:space="preserve">tak jak ci, którzy stali się naocznymi świadkami, od początku, i słudzy Słowa dostarczyli nam je,</w:t>
      </w:r>
      <w:r>
        <w:rPr>
          <w:rStyle w:val="FootnoteReference"/>
        </w:rPr>
        <w:footnoteReference w:id="99"/>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0"/>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3"/>
      </w:r>
    </w:p>
    <w:p>
      <w:pPr>
        <w:pStyle w:val="BodyText"/>
      </w:pPr>
      <w:r>
        <w:t xml:space="preserve">Autor, kimkolwiek był, wyraźnie przypisuje boskie autorstwo temu cytatowi, który wydaje się pochodzić z 2 Listu Piotra 3,8.</w:t>
      </w:r>
      <w:r>
        <w:rPr>
          <w:rStyle w:val="FootnoteReference"/>
        </w:rPr>
        <w:footnoteReference w:id="10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09"/>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1"/>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5"/>
      </w:r>
      <w:r>
        <w:t xml:space="preserve">. Podobnie traktuje on Ewangelię Mateusza 19,9 lub Ewangelię Marka 10,11 w rozdziale 33.</w:t>
      </w:r>
    </w:p>
    <w:p>
      <w:pPr>
        <w:pStyle w:val="BodyText"/>
      </w:pPr>
      <w:r>
        <w:t xml:space="preserve">Teofil, biskup Antiochii</w:t>
      </w:r>
      <w:r>
        <w:rPr>
          <w:rStyle w:val="FootnoteReference"/>
        </w:rPr>
        <w:footnoteReference w:id="11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7"/>
      </w:r>
    </w:p>
    <w:p>
      <w:pPr>
        <w:pStyle w:val="BodyText"/>
      </w:pPr>
      <w:r>
        <w:t xml:space="preserve">Dzieła Ireneusza (zm. 202 r.)</w:t>
      </w:r>
      <w:r>
        <w:rPr>
          <w:rStyle w:val="FootnoteReference"/>
        </w:rPr>
        <w:footnoteReference w:id="118"/>
      </w:r>
      <w:r>
        <w:t xml:space="preserve">, które zachowały się do dziś, jego główne dzieło</w:t>
      </w:r>
      <w:r>
        <w:t xml:space="preserve"> </w:t>
      </w:r>
      <w:r>
        <w:rPr>
          <w:iCs/>
          <w:i/>
        </w:rPr>
        <w:t xml:space="preserve">Przeciw heretykom</w:t>
      </w:r>
      <w:r>
        <w:rPr>
          <w:rStyle w:val="FootnoteReference"/>
        </w:rPr>
        <w:footnoteReference w:id="11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0"/>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1"/>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4"/>
      </w:r>
      <w:r>
        <w:t xml:space="preserve"> </w:t>
      </w:r>
      <w:r>
        <w:t xml:space="preserve">którzy nie uznają Jezusa Chrystusa jako przychodzącego w ciele</w:t>
      </w:r>
      <w:r>
        <w:rPr>
          <w:rStyle w:val="FootnoteReference"/>
        </w:rPr>
        <w:footnoteReference w:id="12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8"/>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2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0"/>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32"/>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49"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Cs/>
          <w:i/>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36"/>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Cs/>
          <w:b/>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37"/>
      </w:r>
    </w:p>
    <w:p>
      <w:pPr>
        <w:pStyle w:val="BodyText"/>
      </w:pPr>
      <w:r>
        <w:rPr>
          <w:iCs/>
          <w:i/>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38"/>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39"/>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40"/>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41"/>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Cs/>
          <w:i/>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42"/>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43"/>
      </w:r>
      <w:r>
        <w:t xml:space="preserve"> </w:t>
      </w:r>
      <w:r>
        <w:t xml:space="preserve">Aland stwierdza: „Egipt wyróżniał się spośród innych prowincji Kościoła, na ile możemy to ocenić, wczesną dominacją gnostycyzmu”.</w:t>
      </w:r>
      <w:r>
        <w:rPr>
          <w:rStyle w:val="FootnoteReference"/>
        </w:rPr>
        <w:footnoteReference w:id="144"/>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45"/>
      </w:r>
      <w:r>
        <w:t xml:space="preserve"> </w:t>
      </w:r>
      <w:r>
        <w:t xml:space="preserve">No, to wszystko jest bardzo pouczające – innymi słowy, Aland mówi nam, że do 200 roku n.e. tradycji tekstowej w Egipcie</w:t>
      </w:r>
      <w:r>
        <w:t xml:space="preserve"> </w:t>
      </w:r>
      <w:r>
        <w:rPr>
          <w:bCs/>
          <w:b/>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objawień…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46"/>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Cs/>
          <w:b/>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Cs/>
          <w:i/>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47"/>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48"/>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Cs/>
          <w:i/>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49"/>
    <w:bookmarkStart w:id="164"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50"/>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Cs/>
          <w:i/>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51"/>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52"/>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53"/>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Cs/>
          <w:i/>
        </w:rPr>
        <w:t xml:space="preserve">Nienormalny przebieg przekazywania</w:t>
      </w:r>
      <w:r>
        <w:rPr>
          <w:rStyle w:val="FootnoteReference"/>
        </w:rPr>
        <w:footnoteReference w:id="154"/>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55"/>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56"/>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57"/>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58"/>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59"/>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60"/>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61"/>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62"/>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63"/>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Cs/>
          <w:b/>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64"/>
    <w:bookmarkStart w:id="177"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Cs/>
          <w:i/>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66" name="Picture"/>
            <a:graphic>
              <a:graphicData uri="http://schemas.openxmlformats.org/drawingml/2006/picture">
                <pic:pic>
                  <pic:nvPicPr>
                    <pic:cNvPr descr="images/Rysunek_A.jpg" id="167" name="Picture"/>
                    <pic:cNvPicPr>
                      <a:picLocks noChangeArrowheads="1" noChangeAspect="1"/>
                    </pic:cNvPicPr>
                  </pic:nvPicPr>
                  <pic:blipFill>
                    <a:blip r:embed="rId165"/>
                    <a:stretch>
                      <a:fillRect/>
                    </a:stretch>
                  </pic:blipFill>
                  <pic:spPr bwMode="auto">
                    <a:xfrm>
                      <a:off x="0" y="0"/>
                      <a:ext cx="5334000" cy="3390972"/>
                    </a:xfrm>
                    <a:prstGeom prst="rect">
                      <a:avLst/>
                    </a:prstGeom>
                    <a:noFill/>
                    <a:ln w="9525">
                      <a:noFill/>
                      <a:headEnd/>
                      <a:tailEnd/>
                    </a:ln>
                  </pic:spPr>
                </pic:pic>
              </a:graphicData>
            </a:graphic>
          </wp:inline>
        </w:drawing>
      </w:r>
      <w:r>
        <w:br/>
      </w:r>
      <w:r>
        <w:rPr>
          <w:bCs/>
          <w:b/>
        </w:rPr>
        <w:t xml:space="preserve">Rysunek A</w:t>
      </w:r>
      <w:r>
        <w:rPr>
          <w:rStyle w:val="FootnoteReference"/>
        </w:rPr>
        <w:footnoteReference w:id="168"/>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69"/>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Cs/>
          <w:i/>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70"/>
      </w:r>
      <w:r>
        <w:t xml:space="preserve"> </w:t>
      </w:r>
      <w:r>
        <w:t xml:space="preserve">Kiedy mówię, że Tekst Większościowy dominuje strumień, mam na myśli to, że jest on reprezentowany w około 95% manuskryptów.</w:t>
      </w:r>
      <w:r>
        <w:rPr>
          <w:rStyle w:val="FootnoteReference"/>
        </w:rPr>
        <w:footnoteReference w:id="171"/>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72"/>
      </w:r>
    </w:p>
    <w:p>
      <w:pPr>
        <w:pStyle w:val="BodyText"/>
      </w:pPr>
      <w:r>
        <w:t xml:space="preserve">A członkowie niezgadzającej się grupy różnią się od odczytu do odczytu.</w:t>
      </w:r>
      <w:r>
        <w:rPr>
          <w:rStyle w:val="FootnoteReference"/>
        </w:rPr>
        <w:footnoteReference w:id="173"/>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74"/>
      </w:r>
      <w:r>
        <w:t xml:space="preserve"> </w:t>
      </w:r>
      <w:r>
        <w:t xml:space="preserve">Ale gdyby te trzy „typy tekstów” były równe, w jaki sposób tak zwany „bizantyjski” mógłby kiedykolwiek uzyskać przewagę wynoszącą 90–95%?</w:t>
      </w:r>
    </w:p>
    <w:p>
      <w:pPr>
        <w:pStyle w:val="BodyText"/>
      </w:pPr>
      <w:r>
        <w:t xml:space="preserve">Argument oparty na prawdopodobieństwie statystycznym wkracza tutaj ze zdwojoną siłą. Zachowane manuskrypty nie tylko przedstawiają nam jedną formę tekstową, która cieszy się 95-procentową większością, ale pozostałe 5% nie stanowi pojedynczej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odczyt „Bóg”, podczas gdy tylko dziewięć odczytów zawiera inne słowo. Spośród tych dziewięciu odczytów, trzy mają odczyty indywidualne, a sześć zgadza się co do odczytu „kto”.</w:t>
      </w:r>
      <w:r>
        <w:rPr>
          <w:rStyle w:val="FootnoteReference"/>
        </w:rPr>
        <w:footnoteReference w:id="175"/>
      </w:r>
      <w:r>
        <w:t xml:space="preserve"> </w:t>
      </w:r>
      <w:r>
        <w:t xml:space="preserve">Musimy więc rozstrzygać między 98,5% a 1%, „Bóg” kontra „kto”. Trudno wyobrazić sobie jakikolwiek zbieg okoliczności w historii przekazywania, który wystarczyłby do wywołania katastrofalnego przewrotu w prawdopodobieństwie statystycznym, wymaganego do twierdzenia, że „kto” jest odczytem oryginalnym.</w:t>
      </w:r>
    </w:p>
    <w:p>
      <w:pPr>
        <w:pStyle w:val="BodyText"/>
      </w:pPr>
      <w:r>
        <w:t xml:space="preserve">Naprawdę wydaje się, że Ci uczeni, którzy odrzucają Tekst Większościowy, stoją przed poważnym problemem. Jak to wyjaśnić, jeśli nie odzwierciedla on Oryginału? Koncepcja Horta dotycząca Rewizji Lucjańskiej została odrzucona przez większość uczonych z powodu całkowitego braku dowodów historycznych. Eklektycy nawet nie próbują. Pogląd „procesowy” nie został sformułowany wystarczająco szczegółowo, by umożliwić jego obalenie, ale na pierwszy rzut oka jest on wprost sprzeczny z argumentem opartym na prawdopodobieństwie statystycznym.</w:t>
      </w:r>
      <w:r>
        <w:rPr>
          <w:rStyle w:val="FootnoteReference"/>
        </w:rPr>
        <w:footnoteReference w:id="176"/>
      </w:r>
      <w:r>
        <w:t xml:space="preserve"> </w:t>
      </w:r>
      <w:r>
        <w:t xml:space="preserve">W jaki sposób jakakolwiek ilość „procesów” mógłaby wypełnić lukę między B lub Alefem a Textus Receptus?</w:t>
      </w:r>
    </w:p>
    <w:p>
      <w:pPr>
        <w:pStyle w:val="BodyText"/>
      </w:pPr>
      <w:r>
        <w:t xml:space="preserve">Istnieje jednak bardziej podstawowy problem związany z podejściem procesowym. Hort jasno i słusznie dostrzegł, że Tekst Większościowy musi mieć wspólny archetyp. Przypomnijmy, że metoda genealogiczna Horta opierała się na wspólnocie</w:t>
      </w:r>
      <w:r>
        <w:t xml:space="preserve"> </w:t>
      </w:r>
      <w:r>
        <w:rPr>
          <w:bCs/>
          <w:b/>
        </w:rPr>
        <w:t xml:space="preserve">błędów</w:t>
      </w:r>
      <w:r>
        <w:t xml:space="preserve">. W oparciu o hipotezę, że Tekst Większościowy jest późną i gorszą formą tekstową, ogromna liczba wspólnych odczytów, które odróżniają go od tak zwanych „zachodnich” lub „aleksandryjskich typów tekstowych”, musi stanowić</w:t>
      </w:r>
      <w:r>
        <w:t xml:space="preserve"> </w:t>
      </w:r>
      <w:r>
        <w:rPr>
          <w:bCs/>
          <w:b/>
        </w:rPr>
        <w:t xml:space="preserve">błędy</w:t>
      </w:r>
      <w:r>
        <w:t xml:space="preserve"> </w:t>
      </w:r>
      <w:r>
        <w:t xml:space="preserve">(co było dokładnie twierdzeniem Horta), a taka zgodność w błędach musiałaby mieć wspólne źródło. Pogląd procesowy całkowicie nie potrafi wyjaśnić takiej zgodności w błędach (w oparciu o tę hipotezę).</w:t>
      </w:r>
    </w:p>
    <w:p>
      <w:pPr>
        <w:pStyle w:val="BodyText"/>
      </w:pPr>
      <w:r>
        <w:t xml:space="preserve">Hort dostrzegł potrzebę wspólnego źródła i zaproponował Rewizję Lucjańską. Obecnie badacze powszechnie uznają, że „typ tekstu bizantyjskiego” musi sięgać co najmniej II wieku. Jakie jednak szanse miałby oryginalny dokument „bizantyjski”, czyli archetyp, na upowszechnienie się, skoro nadal możliwe było odwoływanie się do Autografów (o ile był to odrębny wynalazek)?</w:t>
      </w:r>
    </w:p>
    <w:p>
      <w:pPr>
        <w:pStyle w:val="BodyText"/>
      </w:pPr>
      <w:r>
        <w:t xml:space="preserve">Szczerze mówiąc, istnieje tylko jedno rozsądne wyjaśnienie dotyczące Tekstu Większościowego, jakie dotychczas przedstawiono — jest on wynikiem zasadniczo normalnego procesu przekazywania, a wspólnym źródłem jego konsensusu są Autografy. Przez wieki kopiowania oryginalny tekst zawsze znajdował odzwierciedlenie z dużą dozą dokładności w całej tradycji rękopiśmiennej. Przedstawiona powyżej historia tekstu nie tylko dobrze wyjaśnia istnienie Tekstu Większościowego, wyjaśnia także istnienie niespójnej mniejszości manuskryptów. Są one pozostałościami po nienormalnym przebiegu przekazywania tekstu, odzwierciedlającymi starożytne, nieprawidłowe formy. To właśnie opieranie się na takich nieprawidłowych formach odróżnia współczesne krytyczne/eklektyczne wydania greckiego Nowego Testamentu oraz oparte na nich współczesne tłumaczenia.</w:t>
      </w:r>
    </w:p>
    <w:bookmarkEnd w:id="177"/>
    <w:bookmarkStart w:id="185" w:name="jakie-są-rzeczywiste-dowody"/>
    <w:p>
      <w:pPr>
        <w:pStyle w:val="Heading3"/>
      </w:pPr>
      <w:r>
        <w:t xml:space="preserve">Jakie są rzeczywiste dowody?</w:t>
      </w:r>
    </w:p>
    <w:p>
      <w:pPr>
        <w:pStyle w:val="FirstParagraph"/>
      </w:pPr>
      <w:r>
        <w:t xml:space="preserve">Jakie są rzeczywiste dowody, które należy poddać ocenie? Manuskrypty zawierające ciągły tekst stanowią świadectwa pierwszorzędne. Lekcjonarze są świadectwami drugorzędnymi. Starożytne wersje i cytaty ojców Kościoła stanowią świadectwa trzeciorzędne. Wszelkie dowody historyczne, o ile można je zweryfikować, mają charakter pomocniczy. Znaczenie dowodów drugorzędnych i trzeciorzędnych zależy od założeń, że oryginalne brzmienie zostało utracone oraz że przekaz tekstu nie przebiegał w sposób normalny. Ponieważ oba te założenia są fałszywe, skupię się na świadectwach pierwszorzędnych, tym bardziej, że jest ich tak wiele.</w:t>
      </w:r>
    </w:p>
    <w:p>
      <w:pPr>
        <w:pStyle w:val="BodyText"/>
      </w:pPr>
      <w:r>
        <w:t xml:space="preserve">Do głównych świadków zalicza się zazwyczaj trzy rodzaje: papirusy, uncjały i pisma kursywne. Zarówno papirusy, jak i uncjały są zapisane wielkimi literami (często bez odstępów między wyrazami), a różnica polega na używanym materiale – papirusie lub pergaminie (skórze). Pisma kursywne są zapisywane małymi literami, często połączonymi ze sobą, i zazwyczaj z odstępami między wyrazami, jako materiał używano pergaminu lub papieru. Pismo uncjałowe było stosowane wyłącznie do IX wieku, kiedy to pojawiły się pierwsze manuskrypty kursywne. Do XI wieku pismo kursywne zdominowało.</w:t>
      </w:r>
    </w:p>
    <w:p>
      <w:pPr>
        <w:pStyle w:val="BodyText"/>
      </w:pPr>
      <w:r>
        <w:t xml:space="preserve">Międzynarodowy wykaz zachowanych (znanych) manuskryptów Nowego Testamentu jest prowadzony przez Instytut Badań Tekstologicznych Nowego Testamentu (INTF) w Münster w Niemczech. Nazywa się on</w:t>
      </w:r>
      <w:r>
        <w:t xml:space="preserve"> </w:t>
      </w:r>
      <w:r>
        <w:rPr>
          <w:iCs/>
          <w:i/>
        </w:rPr>
        <w:t xml:space="preserve">Kurzgefasste Liste</w:t>
      </w:r>
      <w:r>
        <w:t xml:space="preserve">.</w:t>
      </w:r>
      <w:r>
        <w:rPr>
          <w:rStyle w:val="FootnoteReference"/>
        </w:rPr>
        <w:footnoteReference w:id="178"/>
      </w:r>
      <w:r>
        <w:t xml:space="preserve"> </w:t>
      </w:r>
      <w:r>
        <w:t xml:space="preserve">Według stanu na luty 2018 r. lista wykazu zawierała 133 papirusy, 282 manuskrypty uncjałowe (majuskuły) oraz około 2 850 ponumerowanych manuskryptów kursywnych (minuskuły).</w:t>
      </w:r>
    </w:p>
    <w:p>
      <w:pPr>
        <w:pStyle w:val="BodyText"/>
      </w:pPr>
      <w:r>
        <w:t xml:space="preserve">Datowanie manuskryptów to śliski interes, podatny na domysły, stronniczość i „linię partyjną”. Czytelnik powinien rozumieć, że daty przypisane poszczególnym manuskryptom mogą być niewiele więcej niż przybliżonymi przypuszczeniami, do tego stopnia, że zazwyczaj podane są jako stulecie. Jeśli manuskrypt posiada konkretną datę, oznacza to, że kopista zapisał ją gdy skończył.</w:t>
      </w:r>
    </w:p>
    <w:p>
      <w:pPr>
        <w:pStyle w:val="BodyText"/>
      </w:pPr>
      <w:r>
        <w:t xml:space="preserve">Sporządziłem przybliżone zestawienie papirusów według stuleci (przyjmując późniejszą datę, gdy była taka opcja)</w:t>
      </w:r>
      <w:r>
        <w:t xml:space="preserve"> </w:t>
      </w:r>
      <w:r>
        <w:rPr>
          <w:rStyle w:val="FootnoteReference"/>
        </w:rPr>
        <w:footnoteReference w:id="179"/>
      </w:r>
      <w:r>
        <w:t xml:space="preserve">, obejmują one okres od II do VIII wieku: II — 4, III — 49, IV — 31, V — 14, VI — 16, VII — 16, VIII — 3. Spośród tych 133 papirusów, 35 zawiera mniej niż pięć wersetów(są to jedynie fragmenty)</w:t>
      </w:r>
      <w:r>
        <w:rPr>
          <w:rStyle w:val="FootnoteReference"/>
        </w:rPr>
        <w:footnoteReference w:id="180"/>
      </w:r>
      <w:r>
        <w:t xml:space="preserve">, 76 zawiera od sześciu do dwudziestu wersetów (nadal fragmenty), 13 zawiera mniej niż dwa rozdziały, a tylko 9 z nich ma znaczną objętość. Dla około 40 rozdziałów w całym Nowym Testamencie nie ma żadnego świadectwa papirusowego. Jedynie Ewangelia Łukasza, Ewangelia Jana, Dzieje Apostolskie, List do Hebrajczyków, 1 i 2 List Piotra oraz List Judy mają świadectwo papirusowe dla całego rozdziału. Tylko jeden papirus zawiera kompletną księgę: P</w:t>
      </w:r>
      <w:r>
        <w:rPr>
          <w:vertAlign w:val="superscript"/>
        </w:rPr>
        <w:t xml:space="preserve">72</w:t>
      </w:r>
      <w:r>
        <w:t xml:space="preserve"> </w:t>
      </w:r>
      <w:r>
        <w:t xml:space="preserve">zawiera 1 i 2 List Piotra oraz List Judy. Znaczenie przypisywane papirusom będzie zależało od indywidualnych założeń.</w:t>
      </w:r>
    </w:p>
    <w:p>
      <w:pPr>
        <w:pStyle w:val="BodyText"/>
      </w:pPr>
      <w:r>
        <w:t xml:space="preserve">Sporządziłem przybliżone zestawienie uncjałów według stuleci (przyjmując późniejszą datę, gdy była taka opcja), obejmują one okres od III do XI wieku: III — 2, IV — 18, V — 50, VI — 65, VII — 36, VIII — 27, IX — 62, X — 20, XI — 2. Spośród tych 282 uncjałów 182 zawierają mniej niż jeden rozdział (większość z nich ma tylko kilka wersetów, a niektóre nawet mniej), kolejne 37 zawierają mniej niż całą księgę, jedynie 63 zawierają kompletną księgę lub więcej. Znaczenie przypisywane uncjałom będzie zależało od indywidualnych założeń.</w:t>
      </w:r>
    </w:p>
    <w:p>
      <w:pPr>
        <w:pStyle w:val="BodyText"/>
      </w:pPr>
      <w:r>
        <w:t xml:space="preserve">Pisma kursywne mają rozpiętość dat od IX do XVII wieku. Zdecydowana większość z nich, około 2 130, skupia się w czterech stuleciach: od XI do XIV. Około 90 z nich jest dość fragmentarycznych, a wiele więcej nie jest kompletnych. Około 25 z nich ma numer, ale wiadomo o nich tak niewiele, że najwyraźniej nie są dostępne, a równie wiele zniknęło z pola widzenia. Mimo to pozostało wystarczająco dużo, by zapewnić nam zajęcie na bardzo, bardzo długi czas.</w:t>
      </w:r>
    </w:p>
    <w:p>
      <w:pPr>
        <w:pStyle w:val="BodyText"/>
      </w:pPr>
      <w:r>
        <w:t xml:space="preserve">Przed wynalezieniem papieru, materiałami używanymi do tworzenia kopii były papirus i pergamin (skóra), oba grubsze od papieru. Kompletny Nowy Testament oprawiony w jednym tomie byłby raczej opasły i dość kosztowny. Dlatego już na początku zaczęto oprawiać księgi w mniejsze grupy: cztery Ewangelie, listy Pawła (w tym List do Hebrajczyków), Dzieje Apostolskie i Listy Ogólne, z Objawieniem dodanym tu i ówdzie. Ewangelie były zdecydowanie najpopularniejsze, po nich listy Pawła. W chwili pisania tego tekstu znamy około 2 350 manuskryptów (włącznie z fragmentami), które zawierają jakąś część Ewangelii, około 800 zawierających jakąś część listów Pawła, ponad 650 zawierających jakąś część Dziejów Apostolskich, ponad 600 zawierających jakąś część Listów Ogólnych oraz około 300 zawierających jakąś część Objawienia. Znamy około 60 kompletnych Nowych Testamentów, kolejne 150 zawierających wszystkie księgi z wyjątkiem Objawienia oraz około 270 zawierających Dzieje Apostolskie aż po List Judy.</w:t>
      </w:r>
    </w:p>
    <w:p>
      <w:pPr>
        <w:pStyle w:val="BodyText"/>
      </w:pPr>
      <w:r>
        <w:t xml:space="preserve">Nie wszystkie z powyższych będą dostępne do pracy dla zainteresowanej osoby. Rozważ Ewangelie: spośród 2 350 manuskryptów wspomnianych powyżej, dla dowolnej pojedynczej Ewangelii (np. Ewangelii Jana) liczba ta wyniesie około 2 000. Jednak ze względu na fragmenty, uszkodzenia i luki, dla każdego wersetu liczba ta wyniesie około 1 700. INTF w Münster w Niemczech posiada mikrofilmy prawie wszystkich z nich.</w:t>
      </w:r>
      <w:r>
        <w:t xml:space="preserve"> </w:t>
      </w:r>
      <w:r>
        <w:rPr>
          <w:bCs/>
          <w:b/>
        </w:rPr>
        <w:t xml:space="preserve">Jednak</w:t>
      </w:r>
      <w:r>
        <w:t xml:space="preserve"> </w:t>
      </w:r>
      <w:r>
        <w:t xml:space="preserve">taka zainteresowana osoba musi zrozumieć, że nie ma do czynienia z 1 700 niezależnymi świadkami – te manuskrypty reprezentują różne linie przekazu, lub „rodziny”, takie rodziny byłyby świadkami.</w:t>
      </w:r>
      <w:r>
        <w:t xml:space="preserve"> </w:t>
      </w:r>
      <w:r>
        <w:rPr>
          <w:rStyle w:val="FootnoteReference"/>
        </w:rPr>
        <w:footnoteReference w:id="181"/>
      </w:r>
      <w:r>
        <w:t xml:space="preserve"> </w:t>
      </w:r>
      <w:r>
        <w:t xml:space="preserve">Jednak między rodzinami będą wzajemne powiązania, a aby uzyskać pewność co do tych relacji, potrzebna jest naukowo opracowana rekonstrukcja historii przekazywania Tekstu Nowego Testamentu. Niestety, taka rekonstrukcja nie istnieje. Co gorsza, z powodu usypiającego wpływu teorii Horta, rodziny te nie zostały jeszcze zdefiniowane. Naukowo zdefiniowałem rodzinę 35 dla całego Nowego Testamentu, ale jak dotąd, o ile mi wiadomo, żadna inna rodzina nie została podobnie zdefiniowana. Być może w całym Nowym Testamencie nie istnieje żadna inna rodzina, ale to dopiero trzeba ustalić.</w:t>
      </w:r>
    </w:p>
    <w:p>
      <w:pPr>
        <w:pStyle w:val="BodyText"/>
      </w:pPr>
      <w:r>
        <w:t xml:space="preserve">Ci, którzy zajmują się katalogowaniem manuskryptów Nowego Testamentu, informują nas, że pod względem liczby zachowanych manuskryptów na czele plasują się XII i XIII wiek, a za nimi XIV, XI, XV, XVI i X wiek, w takiej kolejności. Istnieje ponad cztery razy więcej manuskryptów z XIII wieku niż z X wieku, ale oczywiście greka koine była językiem bardziej żywym w X wieku niż w XIII, a zatem popyt był większy, a co za tym idzie – większa była również podaż. Innymi słowy, wiele setek naprawdę czystych manuskryptów z X wieku uległo zniszczeniu. Przetrwał większy odsetek naprawdę dobrych manuskryptów powstałych w XIV wieku niż tych z XI wieku i tak dalej. Właśnie dlatego poziom zgodności między manuskryptami bizantyjskimi jest coraz wyższy, przy czym w XIV wieku odsetek ten jest wyższy niż w X wieku. Gdybyśmy jednak żyli w X wieku i przeprowadzili szeroko zakrojone badanie manuskryptów, stwierdzilibyśmy niemal taki sam poziom zgodności (być może 98%). Tak samo gdybyśmy żyli w VIII, VI, IV lub II wieku. Innymi słowy, ZACHOWANE MANUSKRYPTY Z PIERWSZYCH DZIESIĘCIU WIEKÓW NIE SĄ REPREZENTATYWNE DLA RZECZYWISTEGO STANU SPRAW W TAMTYM CZASIE.</w:t>
      </w:r>
      <w:r>
        <w:rPr>
          <w:rStyle w:val="FootnoteReference"/>
        </w:rPr>
        <w:footnoteReference w:id="182"/>
      </w:r>
    </w:p>
    <w:p>
      <w:pPr>
        <w:pStyle w:val="FirstParagraph"/>
      </w:pPr>
      <w:r>
        <w:t xml:space="preserve">Wydaje się, że Aland przyznaje, iż na przestrzeni wieków historii Kościoła tekst bizantyjski był uznawany za „tekst Kościoła”, a początek tego stanu rzeczy wywodzi od Lucjana.</w:t>
      </w:r>
      <w:r>
        <w:t xml:space="preserve"> </w:t>
      </w:r>
      <w:r>
        <w:rPr>
          <w:rStyle w:val="FootnoteReference"/>
        </w:rPr>
        <w:footnoteReference w:id="183"/>
      </w:r>
      <w:r>
        <w:t xml:space="preserve"> </w:t>
      </w:r>
      <w:r>
        <w:t xml:space="preserve">Wielokrotnie wspomina on o „szkole (w) Antiochii” oraz o Azji Mniejszej. Wszystko to jest bardzo interesujące, ponieważ w swojej książce zgadza się z Adolfem Harnackiem, że „około 180 r. największa koncentracja kościołów znajdowała się w Azji Mniejszej oraz wzdłuż greckiego wybrzeża Morza Egejskiego”.</w:t>
      </w:r>
      <w:r>
        <w:t xml:space="preserve"> </w:t>
      </w:r>
      <w:r>
        <w:rPr>
          <w:rStyle w:val="FootnoteReference"/>
        </w:rPr>
        <w:footnoteReference w:id="184"/>
      </w:r>
      <w:r>
        <w:t xml:space="preserve"> </w:t>
      </w:r>
      <w:r>
        <w:t xml:space="preserve">Jest to obszar, gdzie grecki był językiem ojczystym i gdzie nadal był używany. Jest to również obszar, który rozpoczął z większością Autografów. Aland kontynuuje jednak: „Nawet około 325 roku n.e. sytuacja pozostawała w dużej mierze niezmieniona. Azja Mniejsza nadal była sercem Kościoła”. „Serce Kościoła” – kto więc miałby lepszą pozycję, by zidentyfikować poprawny tekst Nowego Testamentu? Kto mógłby „sprzedać” sfałszowany tekst w Azji Mniejszej na początku IV wieku? Twierdzę, że tekst bizantyjski zdominował historię przekazu, ponieważ kościoły w Azji Mniejszej ręczyły za niego. I czyniły to, od samego początku, ponieważ wiedziały, że jest to prawdziwy tekst, otrzymawszy go od Apostołów. Tekst większościowy jest tym, czym jest, właśnie dlatego, że zawsze był</w:t>
      </w:r>
      <w:r>
        <w:t xml:space="preserve"> </w:t>
      </w:r>
      <w:r>
        <w:rPr>
          <w:bCs/>
          <w:b/>
        </w:rPr>
        <w:t xml:space="preserve">Tekstem Kościoła</w:t>
      </w:r>
      <w:r>
        <w:t xml:space="preserve">.</w:t>
      </w:r>
    </w:p>
    <w:bookmarkEnd w:id="185"/>
    <w:bookmarkEnd w:id="186"/>
    <w:bookmarkStart w:id="189" w:name="uwagi-końcowe"/>
    <w:p>
      <w:pPr>
        <w:pStyle w:val="Heading2"/>
      </w:pPr>
      <w:r>
        <w:t xml:space="preserve">Uwagi końcowe</w:t>
      </w:r>
    </w:p>
    <w:p>
      <w:pPr>
        <w:pStyle w:val="FirstParagraph"/>
      </w:pPr>
      <w:r>
        <w:t xml:space="preserve">Do tego miejsca zajmowałem się szerokim nurtem normalnego przebiegu przekazywania Tekstu Nowego Testamentu. Ten szeroki nurt jest powszechnie określany jako „bizantyjski” tekst lub typ tekstu. Jednak ten szeroki nurt składa się z wielu odrębnych linii przekazu – przypomnijmy, że F. Wisse wyodrębnił 36 takich linii na podstawie swoich badań nad Ewangelią Łukasza, rozdziałami 1, 10 i 20. Spośród tych 36 linii jedna jest zdecydowanie największa pod względem liczby reprezentatywnych manuskryptów i będę argumentował, że jest ona również bez wątpienia najlepsza. Nazywam tę linię przekazu „Rodziną 35”, a moje omówienie tej „rodziny” zajmuje część II.</w:t>
      </w:r>
      <w:r>
        <w:rPr>
          <w:rStyle w:val="FootnoteReference"/>
        </w:rPr>
        <w:footnoteReference w:id="187"/>
      </w:r>
      <w:r>
        <w:t xml:space="preserve">. Tam będę argumentował, że Rodzina 35 stanowi ostateczny dowód na to, że Bóg zachował Tekst Nowego Testamentu.</w:t>
      </w:r>
    </w:p>
    <w:p>
      <w:pPr>
        <w:pStyle w:val="BodyText"/>
      </w:pPr>
      <w:r>
        <w:t xml:space="preserve">Given my presuppositions, I consider that I have good reason for declaring the divine preservation of the precise original wording of the complete New Testament Text, to this day. That wording is reproduced in my edition of the Greek NT,</w:t>
      </w:r>
      <w:r>
        <w:t xml:space="preserve"> </w:t>
      </w:r>
      <w:r>
        <w:rPr>
          <w:iCs/>
          <w:i/>
        </w:rPr>
        <w:t xml:space="preserve">The Greek New Testament According to Family 35</w:t>
      </w:r>
      <w:r>
        <w:t xml:space="preserve">. The book may be ordered from Amazon.com, and it may be downloaded from my site, www.prunch.org. I here list my conclusions, promising the reader that I will then give the evidence that leads to those conclusions (besides that already given above).</w:t>
      </w:r>
    </w:p>
    <w:p>
      <w:pPr>
        <w:pStyle w:val="BodyText"/>
      </w:pPr>
      <w:r>
        <w:t xml:space="preserve">On the basis of the evidence so far available I affirm the following:</w:t>
      </w:r>
    </w:p>
    <w:p>
      <w:pPr>
        <w:numPr>
          <w:ilvl w:val="0"/>
          <w:numId w:val="1007"/>
        </w:numPr>
        <w:pStyle w:val="Compact"/>
      </w:pPr>
      <w:r>
        <w:t xml:space="preserve">The original wording was never</w:t>
      </w:r>
      <w:r>
        <w:t xml:space="preserve"> </w:t>
      </w:r>
      <w:r>
        <w:t xml:space="preserve">‘</w:t>
      </w:r>
      <w:r>
        <w:t xml:space="preserve">lost</w:t>
      </w:r>
      <w:r>
        <w:t xml:space="preserve">’</w:t>
      </w:r>
      <w:r>
        <w:t xml:space="preserve">, and its transmission down through the years was basically normal, being recognized as inspired material from the beginning.</w:t>
      </w:r>
    </w:p>
    <w:p>
      <w:pPr>
        <w:numPr>
          <w:ilvl w:val="0"/>
          <w:numId w:val="1007"/>
        </w:numPr>
        <w:pStyle w:val="Compact"/>
      </w:pPr>
      <w:r>
        <w:t xml:space="preserve">That normal process resulted in lines of transmission.</w:t>
      </w:r>
    </w:p>
    <w:p>
      <w:pPr>
        <w:numPr>
          <w:ilvl w:val="0"/>
          <w:numId w:val="1007"/>
        </w:numPr>
        <w:pStyle w:val="Compact"/>
      </w:pPr>
      <w:r>
        <w:t xml:space="preserve">To delineate such lines, MSS must be grouped empirically on the basis of a shared mosaic of readings.</w:t>
      </w:r>
    </w:p>
    <w:p>
      <w:pPr>
        <w:numPr>
          <w:ilvl w:val="0"/>
          <w:numId w:val="1007"/>
        </w:numPr>
        <w:pStyle w:val="Compact"/>
      </w:pPr>
      <w:r>
        <w:t xml:space="preserve">Such groups or families must be evaluated for independence and credibility.</w:t>
      </w:r>
    </w:p>
    <w:p>
      <w:pPr>
        <w:numPr>
          <w:ilvl w:val="0"/>
          <w:numId w:val="1007"/>
        </w:numPr>
        <w:pStyle w:val="Compact"/>
      </w:pPr>
      <w:r>
        <w:t xml:space="preserve">The largest clearly defined group is Family 35.</w:t>
      </w:r>
    </w:p>
    <w:p>
      <w:pPr>
        <w:numPr>
          <w:ilvl w:val="0"/>
          <w:numId w:val="1007"/>
        </w:numPr>
        <w:pStyle w:val="Compact"/>
      </w:pPr>
      <w:r>
        <w:t xml:space="preserve">Family 35 is demonstrably independent of all other lines of transmission throughout the NT.</w:t>
      </w:r>
    </w:p>
    <w:p>
      <w:pPr>
        <w:numPr>
          <w:ilvl w:val="0"/>
          <w:numId w:val="1007"/>
        </w:numPr>
        <w:pStyle w:val="Compact"/>
      </w:pPr>
      <w:r>
        <w:t xml:space="preserve">Family 35 is demonstrably ancient, dating to the 3rd century, at least.</w:t>
      </w:r>
    </w:p>
    <w:p>
      <w:pPr>
        <w:numPr>
          <w:ilvl w:val="0"/>
          <w:numId w:val="1007"/>
        </w:numPr>
        <w:pStyle w:val="Compact"/>
      </w:pPr>
      <w:r>
        <w:t xml:space="preserve">Family 35 representatives come from all over the Mediterranean area, the geographical distribution is all but total.</w:t>
      </w:r>
    </w:p>
    <w:p>
      <w:pPr>
        <w:numPr>
          <w:ilvl w:val="0"/>
          <w:numId w:val="1007"/>
        </w:numPr>
        <w:pStyle w:val="Compact"/>
      </w:pPr>
      <w:r>
        <w:t xml:space="preserve">Family 35 is not a recension, was not created at some point subsequent to the Autographs.</w:t>
      </w:r>
    </w:p>
    <w:p>
      <w:pPr>
        <w:numPr>
          <w:ilvl w:val="0"/>
          <w:numId w:val="1007"/>
        </w:numPr>
        <w:pStyle w:val="Compact"/>
      </w:pPr>
      <w:r>
        <w:t xml:space="preserve">Family 35 is an objectively/empirically defined entity throughout the NT, it has a demonstrable, diagnostic profile from Matthew 1,1 to Revelation 22,21. (That profile is given in Part II.)</w:t>
      </w:r>
    </w:p>
    <w:p>
      <w:pPr>
        <w:numPr>
          <w:ilvl w:val="0"/>
          <w:numId w:val="1007"/>
        </w:numPr>
        <w:pStyle w:val="Compact"/>
      </w:pPr>
      <w:r>
        <w:t xml:space="preserve">The archetypal form of Family 35 is demonstrable—it has been demonstrated.</w:t>
      </w:r>
    </w:p>
    <w:p>
      <w:pPr>
        <w:numPr>
          <w:ilvl w:val="0"/>
          <w:numId w:val="1007"/>
        </w:numPr>
        <w:pStyle w:val="Compact"/>
      </w:pPr>
      <w:r>
        <w:t xml:space="preserve">The Original Text is the ultimate archetype, any candidate must also be an archetype—a real, honest to goodness, objectively verifiable archetype, there is only one—Family 35.</w:t>
      </w:r>
    </w:p>
    <w:p>
      <w:pPr>
        <w:numPr>
          <w:ilvl w:val="0"/>
          <w:numId w:val="1007"/>
        </w:numPr>
        <w:pStyle w:val="Compact"/>
      </w:pPr>
      <w:r>
        <w:t xml:space="preserve">God’s concern for the preservation of the Biblical Text is evident: I take it that passages such as 1 Chronicles 16,15, Psalm 119,89, Isaiah 40,8, Matthew 5,18, Luke 16,17 and 21,33, John 10,35 and 16,12-13, 1 Peter 1,23-25 and Luke 4,4 may reasonably be taken to imply a promise that the Scriptures (to the tittle) will be preserved for man’s use (we are to live</w:t>
      </w:r>
      <w:r>
        <w:t xml:space="preserve"> </w:t>
      </w:r>
      <w:r>
        <w:t xml:space="preserve">“</w:t>
      </w:r>
      <w:r>
        <w:t xml:space="preserve">by</w:t>
      </w:r>
      <w:r>
        <w:t xml:space="preserve"> </w:t>
      </w:r>
      <w:r>
        <w:rPr>
          <w:iCs/>
          <w:i/>
        </w:rPr>
        <w:t xml:space="preserve">every</w:t>
      </w:r>
      <w:r>
        <w:t xml:space="preserve"> </w:t>
      </w:r>
      <w:r>
        <w:t xml:space="preserve">word of God</w:t>
      </w:r>
      <w:r>
        <w:t xml:space="preserve">”</w:t>
      </w:r>
      <w:r>
        <w:t xml:space="preserve">), and to the end of the world (</w:t>
      </w:r>
      <w:r>
        <w:t xml:space="preserve">“</w:t>
      </w:r>
      <w:r>
        <w:t xml:space="preserve">for a thousand generations</w:t>
      </w:r>
      <w:r>
        <w:t xml:space="preserve">”</w:t>
      </w:r>
      <w:r>
        <w:t xml:space="preserve">), but no intimation is given as to just how God proposed to do it. We must deduce the answer from what He has indeed done—we discover that He</w:t>
      </w:r>
      <w:r>
        <w:t xml:space="preserve"> </w:t>
      </w:r>
      <w:r>
        <w:rPr>
          <w:bCs/>
          <w:b/>
        </w:rPr>
        <w:t xml:space="preserve">did</w:t>
      </w:r>
      <w:r>
        <w:t xml:space="preserve">!</w:t>
      </w:r>
    </w:p>
    <w:p>
      <w:pPr>
        <w:numPr>
          <w:ilvl w:val="0"/>
          <w:numId w:val="1007"/>
        </w:numPr>
        <w:pStyle w:val="Compact"/>
      </w:pPr>
      <w:r>
        <w:t xml:space="preserve">This concern is reflected in Family 35, it is characterized by incredibly careful transmission (in contrast to other lines). (I have a perfect copy of the Family 35 archetypal text for most NT books (22), I have copies made from a perfect exemplar (presumed) for another four (4), as I continue to collate MSS I hope to add the last one (Acts), but even for it the archetypal form is demonstrable.)</w:t>
      </w:r>
    </w:p>
    <w:p>
      <w:pPr>
        <w:numPr>
          <w:ilvl w:val="0"/>
          <w:numId w:val="1007"/>
        </w:numPr>
        <w:pStyle w:val="Compact"/>
      </w:pPr>
      <w:r>
        <w:t xml:space="preserve">If God was preserving the original wording in some line of transmission other than Family 35, would that line be any less careful? I think not. So any line of transmission characterized by internal confusion is disqualified—this includes</w:t>
      </w:r>
      <w:r>
        <w:t xml:space="preserve"> </w:t>
      </w:r>
      <w:r>
        <w:rPr>
          <w:bCs/>
          <w:b/>
        </w:rPr>
        <w:t xml:space="preserve">all</w:t>
      </w:r>
      <w:r>
        <w:t xml:space="preserve"> </w:t>
      </w:r>
      <w:r>
        <w:t xml:space="preserve">the other lines of transmission that I have seen so far.</w:t>
      </w:r>
    </w:p>
    <w:p>
      <w:pPr>
        <w:numPr>
          <w:ilvl w:val="0"/>
          <w:numId w:val="1007"/>
        </w:numPr>
        <w:pStyle w:val="Compact"/>
      </w:pPr>
      <w:r>
        <w:t xml:space="preserve">I affirm that God used Family 35 to preserve the precise original wording of the New Testament Text, it is reproduced in my edition of the Greek Text.</w:t>
      </w:r>
      <w:r>
        <w:rPr>
          <w:rStyle w:val="FootnoteReference"/>
        </w:rPr>
        <w:footnoteReference w:id="188"/>
      </w:r>
    </w:p>
    <w:p>
      <w:pPr>
        <w:pStyle w:val="FirstParagraph"/>
      </w:pPr>
      <w:r>
        <w:rPr>
          <w:bCs/>
          <w:b/>
        </w:rPr>
        <w:t xml:space="preserve">I claim to have demonstrated the superiority of Family 35 based on</w:t>
      </w:r>
      <w:r>
        <w:rPr>
          <w:bCs/>
          <w:b/>
        </w:rPr>
        <w:t xml:space="preserve"> </w:t>
      </w:r>
      <w:r>
        <w:rPr>
          <w:iCs/>
          <w:i/>
          <w:bCs/>
          <w:b/>
        </w:rPr>
        <w:t xml:space="preserve">size</w:t>
      </w:r>
      <w:r>
        <w:t xml:space="preserve"> </w:t>
      </w:r>
      <w:r>
        <w:t xml:space="preserve">(number of representatives),</w:t>
      </w:r>
      <w:r>
        <w:t xml:space="preserve"> </w:t>
      </w:r>
      <w:r>
        <w:rPr>
          <w:iCs/>
          <w:i/>
          <w:bCs/>
          <w:b/>
        </w:rPr>
        <w:t xml:space="preserve">independence</w:t>
      </w:r>
      <w:r>
        <w:t xml:space="preserve"> </w:t>
      </w:r>
      <w:r>
        <w:t xml:space="preserve">(it is demonstrably independent of all other lines of transmission),</w:t>
      </w:r>
      <w:r>
        <w:t xml:space="preserve"> </w:t>
      </w:r>
      <w:r>
        <w:rPr>
          <w:iCs/>
          <w:i/>
          <w:bCs/>
          <w:b/>
        </w:rPr>
        <w:t xml:space="preserve">age</w:t>
      </w:r>
      <w:r>
        <w:t xml:space="preserve"> </w:t>
      </w:r>
      <w:r>
        <w:t xml:space="preserve">(it dates to the 3rd century, at least),</w:t>
      </w:r>
      <w:r>
        <w:t xml:space="preserve"> </w:t>
      </w:r>
      <w:r>
        <w:rPr>
          <w:iCs/>
          <w:i/>
          <w:bCs/>
          <w:b/>
        </w:rPr>
        <w:t xml:space="preserve">geographical distribution</w:t>
      </w:r>
      <w:r>
        <w:t xml:space="preserve"> </w:t>
      </w:r>
      <w:r>
        <w:t xml:space="preserve">(all over the Mediterranean area),</w:t>
      </w:r>
      <w:r>
        <w:t xml:space="preserve"> </w:t>
      </w:r>
      <w:r>
        <w:rPr>
          <w:iCs/>
          <w:i/>
          <w:bCs/>
          <w:b/>
        </w:rPr>
        <w:t xml:space="preserve">profile</w:t>
      </w:r>
      <w:r>
        <w:t xml:space="preserve"> </w:t>
      </w:r>
      <w:r>
        <w:t xml:space="preserve">(empirically determined),</w:t>
      </w:r>
      <w:r>
        <w:t xml:space="preserve"> </w:t>
      </w:r>
      <w:r>
        <w:rPr>
          <w:iCs/>
          <w:i/>
          <w:bCs/>
          <w:b/>
        </w:rPr>
        <w:t xml:space="preserve">care</w:t>
      </w:r>
      <w:r>
        <w:t xml:space="preserve"> </w:t>
      </w:r>
      <w:r>
        <w:t xml:space="preserve">(by the copyists) and</w:t>
      </w:r>
      <w:r>
        <w:t xml:space="preserve"> </w:t>
      </w:r>
      <w:r>
        <w:rPr>
          <w:iCs/>
          <w:i/>
          <w:bCs/>
          <w:b/>
        </w:rPr>
        <w:t xml:space="preserve">range</w:t>
      </w:r>
      <w:r>
        <w:t xml:space="preserve"> </w:t>
      </w:r>
      <w:r>
        <w:t xml:space="preserve">(all 27 books).</w:t>
      </w:r>
      <w:r>
        <w:t xml:space="preserve"> </w:t>
      </w:r>
      <w:r>
        <w:rPr>
          <w:bCs/>
          <w:b/>
        </w:rPr>
        <w:t xml:space="preserve">I challenge any and all to do the same for any other line of transmission!</w:t>
      </w:r>
    </w:p>
    <w:p>
      <w:pPr>
        <w:pStyle w:val="BodyText"/>
      </w:pPr>
      <w:r>
        <w:t xml:space="preserve">The Original Text is the ultimate archetype, any candidate must also be an archetype—a real, honest to goodness, objectively verifiable archetype, there is only one that has been identified so far—Family 35. I now move on to Part II, where I provide further evidence, the evidence that gives rise to my conclusions.</w:t>
      </w:r>
    </w:p>
    <w:bookmarkEnd w:id="189"/>
    <w:bookmarkEnd w:id="1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4">
    <w:p>
      <w:pPr>
        <w:pStyle w:val="FootnoteText"/>
      </w:pPr>
      <w:r>
        <w:rPr>
          <w:rStyle w:val="FootnoteReference"/>
        </w:rPr>
        <w:footnoteRef/>
      </w:r>
      <w:r>
        <w:t xml:space="preserve"> </w:t>
      </w:r>
      <w:r>
        <w:t xml:space="preserve">Do tej pory opublikowałem osiem, plus Tekst Grecki.</w:t>
      </w:r>
    </w:p>
  </w:footnote>
  <w:footnote w:id="65">
    <w:p>
      <w:pPr>
        <w:pStyle w:val="FootnoteText"/>
      </w:pPr>
      <w:r>
        <w:rPr>
          <w:rStyle w:val="FootnoteReference"/>
        </w:rPr>
        <w:footnoteRef/>
      </w:r>
      <w:r>
        <w:t xml:space="preserve"> </w:t>
      </w:r>
      <w:r>
        <w:t xml:space="preserve">Odniosłem się już do 1 Kronik 16,15.</w:t>
      </w:r>
    </w:p>
  </w:footnote>
  <w:footnote w:id="6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7">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69">
    <w:p>
      <w:pPr>
        <w:pStyle w:val="FootnoteText"/>
      </w:pPr>
      <w:r>
        <w:rPr>
          <w:rStyle w:val="FootnoteReference"/>
        </w:rPr>
        <w:footnoteRef/>
      </w:r>
      <w:r>
        <w:t xml:space="preserve"> </w:t>
      </w:r>
      <w:r>
        <w:t xml:space="preserve">Dostęp do Pisma jest niezbędny do duchowego wzrostu i pracy.</w:t>
      </w:r>
    </w:p>
  </w:footnote>
  <w:footnote w:id="7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4">
    <w:p>
      <w:pPr>
        <w:pStyle w:val="FootnoteText"/>
      </w:pPr>
      <w:r>
        <w:rPr>
          <w:rStyle w:val="FootnoteReference"/>
        </w:rPr>
        <w:footnoteRef/>
      </w:r>
      <w:r>
        <w:t xml:space="preserve"> </w:t>
      </w:r>
      <w:r>
        <w:t xml:space="preserve">Bardzo niewiele rozdziałów zostało napisanych w języku aramejskim.</w:t>
      </w:r>
    </w:p>
  </w:footnote>
  <w:footnote w:id="75">
    <w:p>
      <w:pPr>
        <w:pStyle w:val="FootnoteText"/>
      </w:pPr>
      <w:r>
        <w:rPr>
          <w:rStyle w:val="FootnoteReference"/>
        </w:rPr>
        <w:footnoteRef/>
      </w:r>
      <w:r>
        <w:t xml:space="preserve"> </w:t>
      </w:r>
      <w:r>
        <w:t xml:space="preserve">Więc nie mamy tu do czynienia z nauką w sensie obiektywnym.</w:t>
      </w:r>
    </w:p>
  </w:footnote>
  <w:footnote w:id="7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7">
    <w:p>
      <w:pPr>
        <w:pStyle w:val="FootnoteText"/>
      </w:pPr>
      <w:r>
        <w:rPr>
          <w:rStyle w:val="FootnoteReference"/>
        </w:rPr>
        <w:footnoteRef/>
      </w:r>
      <w:r>
        <w:t xml:space="preserve"> </w:t>
      </w:r>
      <w:r>
        <w:t xml:space="preserve">Mowa o informacjach historycznych w Biblii, w porównaniu do proroctw. [przyp. tłum.]</w:t>
      </w:r>
    </w:p>
  </w:footnote>
  <w:footnote w:id="7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8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0">
    <w:p>
      <w:pPr>
        <w:pStyle w:val="FootnoteText"/>
      </w:pPr>
      <w:r>
        <w:rPr>
          <w:rStyle w:val="FootnoteReference"/>
        </w:rPr>
        <w:footnoteRef/>
      </w:r>
      <w:r>
        <w:t xml:space="preserve"> </w:t>
      </w:r>
      <w:r>
        <w:t xml:space="preserve">NKJV - Biblia, przekład New King James Version. [przyp. tłum.]</w:t>
      </w:r>
    </w:p>
  </w:footnote>
  <w:footnote w:id="9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9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5">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6">
    <w:p>
      <w:pPr>
        <w:pStyle w:val="FootnoteText"/>
      </w:pPr>
      <w:r>
        <w:rPr>
          <w:rStyle w:val="FootnoteReference"/>
        </w:rPr>
        <w:footnoteRef/>
      </w:r>
      <w:r>
        <w:t xml:space="preserve"> </w:t>
      </w:r>
      <w:r>
        <w:t xml:space="preserve">Francis Glimm, ponownie.</w:t>
      </w:r>
    </w:p>
  </w:footnote>
  <w:footnote w:id="107">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0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2">
    <w:p>
      <w:pPr>
        <w:pStyle w:val="FootnoteText"/>
      </w:pPr>
      <w:r>
        <w:rPr>
          <w:rStyle w:val="FootnoteReference"/>
        </w:rPr>
        <w:footnoteRef/>
      </w:r>
      <w:r>
        <w:t xml:space="preserve"> </w:t>
      </w:r>
      <w:r>
        <w:t xml:space="preserve">Roberts i Donaldson, ponownie.</w:t>
      </w:r>
    </w:p>
  </w:footnote>
  <w:footnote w:id="11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str. 23, 53), stanowiąc wymowne świadectwo skali ruchu między wczesnymi kościołami.</w:t>
      </w:r>
    </w:p>
  </w:footnote>
  <w:footnote w:id="114">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5">
    <w:p>
      <w:pPr>
        <w:pStyle w:val="FootnoteText"/>
      </w:pPr>
      <w:r>
        <w:rPr>
          <w:rStyle w:val="FootnoteReference"/>
        </w:rPr>
        <w:footnoteRef/>
      </w:r>
      <w:r>
        <w:t xml:space="preserve"> </w:t>
      </w:r>
      <w:r>
        <w:t xml:space="preserve">Skorzystałem z tłumaczenia autorstwa C.C. Richardsona z książki Early Christian Fathers.</w:t>
      </w:r>
    </w:p>
  </w:footnote>
  <w:footnote w:id="11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19">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0">
    <w:p>
      <w:pPr>
        <w:pStyle w:val="FootnoteText"/>
      </w:pPr>
      <w:r>
        <w:rPr>
          <w:rStyle w:val="FootnoteReference"/>
        </w:rPr>
        <w:footnoteRef/>
      </w:r>
      <w:r>
        <w:t xml:space="preserve"> </w:t>
      </w:r>
      <w:r>
        <w:rPr>
          <w:iCs/>
          <w:i/>
        </w:rPr>
        <w:t xml:space="preserve">Ibid.</w:t>
      </w:r>
      <w:r>
        <w:t xml:space="preserve">, strona 53.</w:t>
      </w:r>
    </w:p>
  </w:footnote>
  <w:footnote w:id="12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2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0">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1">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2">
    <w:p>
      <w:pPr>
        <w:pStyle w:val="FootnoteText"/>
      </w:pPr>
      <w:r>
        <w:rPr>
          <w:rStyle w:val="FootnoteReference"/>
        </w:rPr>
        <w:footnoteRef/>
      </w:r>
      <w:r>
        <w:t xml:space="preserve"> </w:t>
      </w:r>
      <w:r>
        <w:t xml:space="preserve">Określenia</w:t>
      </w:r>
      <w:r>
        <w:t xml:space="preserve"> </w:t>
      </w:r>
      <w:r>
        <w:rPr>
          <w:iCs/>
          <w:i/>
        </w:rPr>
        <w:t xml:space="preserve">odczyt</w:t>
      </w:r>
      <w:r>
        <w:t xml:space="preserve"> </w:t>
      </w:r>
      <w:r>
        <w:t xml:space="preserve">oraz</w:t>
      </w:r>
      <w:r>
        <w:t xml:space="preserve"> </w:t>
      </w:r>
      <w:r>
        <w:rPr>
          <w:iCs/>
          <w:i/>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Cs/>
          <w:i/>
        </w:rPr>
        <w:t xml:space="preserve">O naukowej polszczyźnie humanistycznej</w:t>
      </w:r>
      <w:r>
        <w:t xml:space="preserve">, Katowice 2025, s. 29.</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37">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Cs/>
          <w:b/>
        </w:rPr>
        <w:t xml:space="preserve">nie można było ufać</w:t>
      </w:r>
      <w:r>
        <w:t xml:space="preserve">. (K. i B. Aland, str. 59 oraz K. Aland, „The Text of the Church?”,</w:t>
      </w:r>
      <w:r>
        <w:t xml:space="preserve"> </w:t>
      </w:r>
      <w:r>
        <w:rPr>
          <w:iCs/>
          <w:i/>
        </w:rPr>
        <w:t xml:space="preserve">Trinity Journal</w:t>
      </w:r>
      <w:r>
        <w:t xml:space="preserve">, 1987, 8NS:138).</w:t>
      </w:r>
    </w:p>
  </w:footnote>
  <w:footnote w:id="138">
    <w:p>
      <w:pPr>
        <w:pStyle w:val="FootnoteText"/>
      </w:pPr>
      <w:r>
        <w:rPr>
          <w:rStyle w:val="FootnoteReference"/>
        </w:rPr>
        <w:footnoteRef/>
      </w:r>
      <w:r>
        <w:t xml:space="preserve"> </w:t>
      </w:r>
      <w:r>
        <w:t xml:space="preserve">B.M. Metzger, The Early Versions of the New Testament (Oksford: Clarendon Press, 1977), s. 104.</w:t>
      </w:r>
    </w:p>
  </w:footnote>
  <w:footnote w:id="139">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40">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41">
    <w:p>
      <w:pPr>
        <w:pStyle w:val="FootnoteText"/>
      </w:pPr>
      <w:r>
        <w:rPr>
          <w:rStyle w:val="FootnoteReference"/>
        </w:rPr>
        <w:footnoteRef/>
      </w:r>
      <w:r>
        <w:t xml:space="preserve"> </w:t>
      </w:r>
      <w:r>
        <w:t xml:space="preserve">K. i B. Aland, Tekst Nowego Testamentu (Grand Rapids: Eerdmans, 1981), s. 52–53.</w:t>
      </w:r>
    </w:p>
  </w:footnote>
  <w:footnote w:id="142">
    <w:p>
      <w:pPr>
        <w:pStyle w:val="FootnoteText"/>
      </w:pPr>
      <w:r>
        <w:rPr>
          <w:rStyle w:val="FootnoteReference"/>
        </w:rPr>
        <w:footnoteRef/>
      </w:r>
      <w:r>
        <w:t xml:space="preserve"> </w:t>
      </w:r>
      <w:r>
        <w:rPr>
          <w:iCs/>
          <w:i/>
        </w:rPr>
        <w:t xml:space="preserve">Ibid.</w:t>
      </w:r>
      <w:r>
        <w:t xml:space="preserve">, strona 53.</w:t>
      </w:r>
    </w:p>
  </w:footnote>
  <w:footnote w:id="143">
    <w:p>
      <w:pPr>
        <w:pStyle w:val="FootnoteText"/>
      </w:pPr>
      <w:r>
        <w:rPr>
          <w:rStyle w:val="FootnoteReference"/>
        </w:rPr>
        <w:footnoteRef/>
      </w:r>
      <w:r>
        <w:t xml:space="preserve"> </w:t>
      </w:r>
      <w:r>
        <w:t xml:space="preserve">C.H. Roberts,</w:t>
      </w:r>
      <w:r>
        <w:t xml:space="preserve"> </w:t>
      </w:r>
      <w:r>
        <w:rPr>
          <w:iCs/>
          <w:i/>
        </w:rPr>
        <w:t xml:space="preserve">Manuscript, Society and Belief in Early Christian Egypt</w:t>
      </w:r>
      <w:r>
        <w:t xml:space="preserve"> </w:t>
      </w:r>
      <w:r>
        <w:t xml:space="preserve">(Londyn: Oxford University Press, 1979), s. 42–43, 54–58.</w:t>
      </w:r>
    </w:p>
  </w:footnote>
  <w:footnote w:id="144">
    <w:p>
      <w:pPr>
        <w:pStyle w:val="FootnoteText"/>
      </w:pPr>
      <w:r>
        <w:rPr>
          <w:rStyle w:val="FootnoteReference"/>
        </w:rPr>
        <w:footnoteRef/>
      </w:r>
      <w:r>
        <w:t xml:space="preserve"> </w:t>
      </w:r>
      <w:r>
        <w:t xml:space="preserve">K. i B. Aland, s. 59.</w:t>
      </w:r>
    </w:p>
  </w:footnote>
  <w:footnote w:id="145">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8NS:138.</w:t>
      </w:r>
    </w:p>
  </w:footnote>
  <w:footnote w:id="146">
    <w:p>
      <w:pPr>
        <w:pStyle w:val="FootnoteText"/>
      </w:pPr>
      <w:r>
        <w:rPr>
          <w:rStyle w:val="FootnoteReference"/>
        </w:rPr>
        <w:footnoteRef/>
      </w:r>
      <w:r>
        <w:t xml:space="preserve"> </w:t>
      </w:r>
      <w:r>
        <w:t xml:space="preserve">Metzger,</w:t>
      </w:r>
      <w:r>
        <w:t xml:space="preserve"> </w:t>
      </w:r>
      <w:r>
        <w:rPr>
          <w:iCs/>
          <w:i/>
        </w:rPr>
        <w:t xml:space="preserve">Early Versions</w:t>
      </w:r>
      <w:r>
        <w:t xml:space="preserve">, s. 101.</w:t>
      </w:r>
    </w:p>
  </w:footnote>
  <w:footnote w:id="147">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48">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50">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51">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Cs/>
          <w:i/>
        </w:rPr>
        <w:t xml:space="preserve">The Identity of the New Testament Text IV</w:t>
      </w:r>
      <w:r>
        <w:t xml:space="preserve">, dostępnej na Amazon.com jak również na mojej stronie internetowej www.prunch.org.</w:t>
      </w:r>
    </w:p>
  </w:footnote>
  <w:footnote w:id="152">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53">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54">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Cs/>
          <w:b/>
        </w:rPr>
        <w:t xml:space="preserve">natchnionego Tekstu</w:t>
      </w:r>
      <w:r>
        <w:t xml:space="preserve">, czemu Westcott i Hort zaprzeczali. Odnoszę się do wierzących kopiujących tekst, który</w:t>
      </w:r>
      <w:r>
        <w:t xml:space="preserve"> </w:t>
      </w:r>
      <w:r>
        <w:rPr>
          <w:bCs/>
          <w:b/>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Cs/>
          <w:i/>
        </w:rPr>
        <w:t xml:space="preserve">The Identity of the New Testament Text</w:t>
      </w:r>
      <w:r>
        <w:t xml:space="preserve">: A Review Article”,</w:t>
      </w:r>
      <w:r>
        <w:t xml:space="preserve"> </w:t>
      </w:r>
      <w:r>
        <w:rPr>
          <w:iCs/>
          <w:i/>
        </w:rPr>
        <w:t xml:space="preserve">The Westminster Theological Journal</w:t>
      </w:r>
      <w:r>
        <w:t xml:space="preserve">, XLI [wiosna 1979], str. 404-408) oraz błędnie przedstawiając mój pogląd na temat normalnego przebiegu przekazywania (</w:t>
      </w:r>
      <w:r>
        <w:rPr>
          <w:iCs/>
          <w:i/>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55">
    <w:p>
      <w:pPr>
        <w:pStyle w:val="FootnoteText"/>
      </w:pPr>
      <w:r>
        <w:rPr>
          <w:rStyle w:val="FootnoteReference"/>
        </w:rPr>
        <w:footnoteRef/>
      </w:r>
      <w:r>
        <w:t xml:space="preserve"> </w:t>
      </w:r>
      <w:r>
        <w:t xml:space="preserve">3 J.W. Burgon,</w:t>
      </w:r>
      <w:r>
        <w:t xml:space="preserve"> </w:t>
      </w:r>
      <w:r>
        <w:rPr>
          <w:iCs/>
          <w:i/>
        </w:rPr>
        <w:t xml:space="preserve">The Revision Revised</w:t>
      </w:r>
      <w:r>
        <w:t xml:space="preserve"> </w:t>
      </w:r>
      <w:r>
        <w:t xml:space="preserve">(Londyn: John Murray, 1883), s. 323–324.</w:t>
      </w:r>
    </w:p>
  </w:footnote>
  <w:footnote w:id="156">
    <w:p>
      <w:pPr>
        <w:pStyle w:val="FootnoteText"/>
      </w:pPr>
      <w:r>
        <w:rPr>
          <w:rStyle w:val="FootnoteReference"/>
        </w:rPr>
        <w:footnoteRef/>
      </w:r>
      <w:r>
        <w:t xml:space="preserve"> </w:t>
      </w:r>
      <w:r>
        <w:t xml:space="preserve">E.C. Colwell, „The Origin of Text-types of New Testament Manuscripts”,</w:t>
      </w:r>
      <w:r>
        <w:t xml:space="preserve"> </w:t>
      </w:r>
      <w:r>
        <w:rPr>
          <w:iCs/>
          <w:i/>
        </w:rPr>
        <w:t xml:space="preserve">Early Christian Origins</w:t>
      </w:r>
      <w:r>
        <w:t xml:space="preserve">, red. Allen Wikgren (Chicago: Quadrangle Books, 1961), s. 138.</w:t>
      </w:r>
    </w:p>
  </w:footnote>
  <w:footnote w:id="157">
    <w:p>
      <w:pPr>
        <w:pStyle w:val="FootnoteText"/>
      </w:pPr>
      <w:r>
        <w:rPr>
          <w:rStyle w:val="FootnoteReference"/>
        </w:rPr>
        <w:footnoteRef/>
      </w:r>
      <w:r>
        <w:t xml:space="preserve"> </w:t>
      </w:r>
      <w:r>
        <w:t xml:space="preserve">F.H.A. Scrivener,</w:t>
      </w:r>
      <w:r>
        <w:t xml:space="preserve"> </w:t>
      </w:r>
      <w:r>
        <w:rPr>
          <w:iCs/>
          <w:i/>
        </w:rPr>
        <w:t xml:space="preserve">A Plain Introduction to the Criticism of the New Testament</w:t>
      </w:r>
      <w:r>
        <w:t xml:space="preserve">, wydanie czwarte pod redakcją E. Millera (2 tomy; Londyn: George Bell and Sons, 1894), II, 264.</w:t>
      </w:r>
    </w:p>
  </w:footnote>
  <w:footnote w:id="158">
    <w:p>
      <w:pPr>
        <w:pStyle w:val="FootnoteText"/>
      </w:pPr>
      <w:r>
        <w:rPr>
          <w:rStyle w:val="FootnoteReference"/>
        </w:rPr>
        <w:footnoteRef/>
      </w:r>
      <w:r>
        <w:t xml:space="preserve"> </w:t>
      </w:r>
      <w:r>
        <w:t xml:space="preserve">G.D. Kilpatrick, „The Transmission of the New Testament and its Reliability”,</w:t>
      </w:r>
      <w:r>
        <w:t xml:space="preserve"> </w:t>
      </w:r>
      <w:r>
        <w:rPr>
          <w:iCs/>
          <w:i/>
        </w:rPr>
        <w:t xml:space="preserve">The Bible Translator</w:t>
      </w:r>
      <w:r>
        <w:t xml:space="preserve">, IX (lipiec 1958), 128-29.</w:t>
      </w:r>
    </w:p>
  </w:footnote>
  <w:footnote w:id="159">
    <w:p>
      <w:pPr>
        <w:pStyle w:val="FootnoteText"/>
      </w:pPr>
      <w:r>
        <w:rPr>
          <w:rStyle w:val="FootnoteReference"/>
        </w:rPr>
        <w:footnoteRef/>
      </w:r>
      <w:r>
        <w:t xml:space="preserve"> </w:t>
      </w:r>
      <w:r>
        <w:t xml:space="preserve">G. Zuntz,</w:t>
      </w:r>
      <w:r>
        <w:t xml:space="preserve"> </w:t>
      </w:r>
      <w:r>
        <w:rPr>
          <w:iCs/>
          <w:i/>
        </w:rPr>
        <w:t xml:space="preserve">The Text of the Epistles</w:t>
      </w:r>
      <w:r>
        <w:t xml:space="preserve"> </w:t>
      </w:r>
      <w:r>
        <w:t xml:space="preserve">(Londyn: Oxford University Press, 1953), s. 11.</w:t>
      </w:r>
    </w:p>
  </w:footnote>
  <w:footnote w:id="160">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61">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62">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63">
    <w:p>
      <w:pPr>
        <w:pStyle w:val="FootnoteText"/>
      </w:pPr>
      <w:r>
        <w:rPr>
          <w:rStyle w:val="FootnoteReference"/>
        </w:rPr>
        <w:footnoteRef/>
      </w:r>
      <w:r>
        <w:t xml:space="preserve"> </w:t>
      </w:r>
      <w:r>
        <w:t xml:space="preserve">Zob. Burgon,</w:t>
      </w:r>
      <w:r>
        <w:t xml:space="preserve"> </w:t>
      </w:r>
      <w:r>
        <w:rPr>
          <w:iCs/>
          <w:i/>
        </w:rPr>
        <w:t xml:space="preserve">The Revision Revised</w:t>
      </w:r>
      <w:r>
        <w:t xml:space="preserve">, s. 323.</w:t>
      </w:r>
    </w:p>
  </w:footnote>
  <w:footnote w:id="168">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69">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Cs/>
          <w:i/>
        </w:rPr>
        <w:t xml:space="preserve">The Identity of the New Testament Text IV</w:t>
      </w:r>
      <w:r>
        <w:t xml:space="preserve">, dostępnej na Amazon.com oraz na mojej stronie internetowej www.prunch.org.</w:t>
      </w:r>
    </w:p>
  </w:footnote>
  <w:footnote w:id="170">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Cs/>
          <w:i/>
        </w:rPr>
        <w:t xml:space="preserve">W</w:t>
      </w:r>
      <w:r>
        <w:t xml:space="preserve">, czyli Waszyngtońskiego, przyp. tłum.] albo wirze P</w:t>
      </w:r>
      <w:r>
        <w:rPr>
          <w:vertAlign w:val="superscript"/>
        </w:rPr>
        <w:t xml:space="preserve">75</w:t>
      </w:r>
      <w:r>
        <w:t xml:space="preserve">/B [papirus 75 z kodeksu</w:t>
      </w:r>
      <w:r>
        <w:t xml:space="preserve"> </w:t>
      </w:r>
      <w:r>
        <w:rPr>
          <w:iCs/>
          <w:i/>
        </w:rPr>
        <w:t xml:space="preserve">B</w:t>
      </w:r>
      <w:r>
        <w:t xml:space="preserve">, czyli Watykańskiego, przyp. tłum.].</w:t>
      </w:r>
    </w:p>
  </w:footnote>
  <w:footnote w:id="171">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Cs/>
          <w:b/>
        </w:rPr>
        <w:t xml:space="preserve">będą</w:t>
      </w:r>
      <w:r>
        <w:t xml:space="preserve"> </w:t>
      </w:r>
      <w:r>
        <w:t xml:space="preserve">błędami).</w:t>
      </w:r>
    </w:p>
  </w:footnote>
  <w:footnote w:id="172">
    <w:p>
      <w:pPr>
        <w:pStyle w:val="FootnoteText"/>
      </w:pPr>
      <w:r>
        <w:rPr>
          <w:rStyle w:val="FootnoteReference"/>
        </w:rPr>
        <w:footnoteRef/>
      </w:r>
      <w:r>
        <w:t xml:space="preserve"> </w:t>
      </w:r>
      <w:r>
        <w:t xml:space="preserve">Nie jestem przygotowany do obrony podanych konkretnych liczb – są to</w:t>
      </w:r>
      <w:r>
        <w:t xml:space="preserve"> </w:t>
      </w:r>
      <w:r>
        <w:rPr>
          <w:bCs/>
          <w:b/>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Cs/>
          <w:i/>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73">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Cs/>
          <w:i/>
        </w:rPr>
        <w:t xml:space="preserve">Identity IV</w:t>
      </w:r>
      <w:r>
        <w:t xml:space="preserve">, w sekcji zatytułowanej „Czy świadków nie należy raczej ważyć, a nie liczyć?”.</w:t>
      </w:r>
    </w:p>
  </w:footnote>
  <w:footnote w:id="174">
    <w:p>
      <w:pPr>
        <w:pStyle w:val="FootnoteText"/>
      </w:pPr>
      <w:r>
        <w:rPr>
          <w:rStyle w:val="FootnoteReference"/>
        </w:rPr>
        <w:footnoteRef/>
      </w:r>
      <w:r>
        <w:t xml:space="preserve"> </w:t>
      </w:r>
      <w:r>
        <w:t xml:space="preserve">Sturz,</w:t>
      </w:r>
      <w:r>
        <w:t xml:space="preserve"> </w:t>
      </w:r>
      <w:r>
        <w:rPr>
          <w:iCs/>
          <w:i/>
        </w:rPr>
        <w:t xml:space="preserve">Op. Cit.</w:t>
      </w:r>
      <w:r>
        <w:t xml:space="preserve"> </w:t>
      </w:r>
      <w:r>
        <w:t xml:space="preserve">[łac.</w:t>
      </w:r>
      <w:r>
        <w:t xml:space="preserve"> </w:t>
      </w:r>
      <w:r>
        <w:rPr>
          <w:iCs/>
          <w:i/>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75">
    <w:p>
      <w:pPr>
        <w:pStyle w:val="FootnoteText"/>
      </w:pPr>
      <w:r>
        <w:rPr>
          <w:rStyle w:val="FootnoteReference"/>
        </w:rPr>
        <w:footnoteRef/>
      </w:r>
      <w:r>
        <w:t xml:space="preserve"> </w:t>
      </w:r>
      <w:r>
        <w:t xml:space="preserve">Odczyty wraz z popierającymi je manuskryptami są jak następuje [w formie:</w:t>
      </w:r>
      <w:r>
        <w:t xml:space="preserve"> </w:t>
      </w:r>
      <w:r>
        <w:rPr>
          <w:iCs/>
          <w:i/>
        </w:rPr>
        <w:t xml:space="preserve">grecka fraza</w:t>
      </w:r>
      <w:r>
        <w:t xml:space="preserve"> </w:t>
      </w:r>
      <w:r>
        <w:t xml:space="preserve">- identyfikatory manuskryptów, przyp. tłum.]:</w:t>
      </w:r>
    </w:p>
    <w:p>
      <w:pPr>
        <w:pStyle w:val="FootnoteText"/>
      </w:pPr>
      <w:r>
        <w:rPr>
          <w:iCs/>
          <w:i/>
        </w:rPr>
        <w:t xml:space="preserve">ο</w:t>
      </w:r>
      <w:r>
        <w:t xml:space="preserve"> </w:t>
      </w:r>
      <w:r>
        <w:t xml:space="preserve">– D</w:t>
      </w:r>
    </w:p>
    <w:p>
      <w:pPr>
        <w:pStyle w:val="FootnoteText"/>
      </w:pPr>
      <w:r>
        <w:rPr>
          <w:iCs/>
          <w:i/>
        </w:rPr>
        <w:t xml:space="preserve">ω</w:t>
      </w:r>
      <w:r>
        <w:t xml:space="preserve"> </w:t>
      </w:r>
      <w:r>
        <w:t xml:space="preserve">– 061</w:t>
      </w:r>
    </w:p>
    <w:p>
      <w:pPr>
        <w:pStyle w:val="FootnoteText"/>
      </w:pPr>
      <w:r>
        <w:rPr>
          <w:iCs/>
          <w:i/>
        </w:rPr>
        <w:t xml:space="preserve">ος Θεος</w:t>
      </w:r>
      <w:r>
        <w:t xml:space="preserve"> </w:t>
      </w:r>
      <w:r>
        <w:t xml:space="preserve">– jeden minuskuł [minuskuł/cursive - manuskrypt w którym litery są połączone ze sobą i często lekko pochylone w prawo, aby pisać szybciej i płynniej, przyp. tłum.], 256 (oraz jeden Lekcjonarz [lekcjonarz - księga liturgiczna zawierająca czytania biblijne do nabożeństw, przyp. tłum.])</w:t>
      </w:r>
    </w:p>
    <w:p>
      <w:pPr>
        <w:pStyle w:val="FootnoteText"/>
      </w:pPr>
      <w:r>
        <w:rPr>
          <w:iCs/>
          <w:i/>
        </w:rPr>
        <w:t xml:space="preserve">ος</w:t>
      </w:r>
      <w:r>
        <w:t xml:space="preserve"> </w:t>
      </w:r>
      <w:r>
        <w:t xml:space="preserve">– ℵ, 33, 365, 442, 1175, 2127 (plus trzy Lekcjonarze)</w:t>
      </w:r>
    </w:p>
    <w:p>
      <w:pPr>
        <w:pStyle w:val="FootnoteText"/>
      </w:pPr>
      <w:r>
        <w:rPr>
          <w:iCs/>
          <w:i/>
        </w:rPr>
        <w:t xml:space="preserve">Θεος</w:t>
      </w:r>
      <w:r>
        <w:t xml:space="preserve"> </w:t>
      </w:r>
      <w:r>
        <w:t xml:space="preserve">– A, C</w:t>
      </w:r>
      <w:r>
        <w:rPr>
          <w:vertAlign w:val="superscript"/>
        </w:rPr>
        <w:t xml:space="preserve">vid</w:t>
      </w:r>
      <w:r>
        <w:t xml:space="preserve">[vid - wydaje się, że ma taki odczyt, przyp. tłum.], F/G</w:t>
      </w:r>
      <w:r>
        <w:rPr>
          <w:vertAlign w:val="superscript"/>
        </w:rPr>
        <w:t xml:space="preserve">vid</w:t>
      </w:r>
      <w:r>
        <w:t xml:space="preserve">, K, L, P, Ψ, około 600 minuskułów (oprócz Lekcjonarzy) (w tym cztery minuskuły mające odczyt</w:t>
      </w:r>
      <w:r>
        <w:t xml:space="preserve"> </w:t>
      </w:r>
      <w:r>
        <w:rPr>
          <w:iCs/>
          <w:i/>
        </w:rPr>
        <w:t xml:space="preserve">ο Θεος</w:t>
      </w:r>
      <w:r>
        <w:t xml:space="preserve"> </w:t>
      </w:r>
      <w:r>
        <w:t xml:space="preserve">oraz jeden lekcjonarz mający odczyt</w:t>
      </w:r>
      <w:r>
        <w:t xml:space="preserve"> </w:t>
      </w:r>
      <w:r>
        <w:rPr>
          <w:iCs/>
          <w:i/>
        </w:rPr>
        <w:t xml:space="preserve">Θεου</w:t>
      </w:r>
      <w:r>
        <w:t xml:space="preserve">).</w:t>
      </w:r>
    </w:p>
    <w:p>
      <w:pPr>
        <w:pStyle w:val="FootnoteText"/>
      </w:pPr>
      <w:r>
        <w:t xml:space="preserve">Będzie zauważone, że moje sformułowanie różni się na przykład od tego zawartego w tekście UBS. Proponuję następujące wyjaśnienie.</w:t>
      </w:r>
    </w:p>
    <w:p>
      <w:pPr>
        <w:pStyle w:val="FootnoteText"/>
      </w:pPr>
      <w:r>
        <w:t xml:space="preserve">Young, Huish, Pearson, Fell i Mill w XVII wieku, Creyk, Bentley, Wotton, Wetstein, Bengel, Berriman i Woide w XVIII wieku, a także Scrivener jeszcze w 1881 roku – wszyscy oni potwierdzili po dokładnej analizie, że w Kodeksie A widnieje słowo „Bóg”. Aby zapoznać się z dogłębną dyskusją na ten temat, proszę zajrzeć do Burgona, który mówi w odniesieniu do Woide’a: „Ten uczony i skrupulatny redaktor Kodeksu oświadcza, że jeszcze w 1765 roku dostrzegał ślady litery</w:t>
      </w:r>
      <w:r>
        <w:t xml:space="preserve"> </w:t>
      </w:r>
      <w:r>
        <w:rPr>
          <w:iCs/>
          <w:i/>
        </w:rPr>
        <w:t xml:space="preserve">Θ</w:t>
      </w:r>
      <w:r>
        <w:t xml:space="preserve">, które dwadzieścia lat później (tj. w 1785 roku) przestały być dla niego widoczne” (</w:t>
      </w:r>
      <w:r>
        <w:rPr>
          <w:iCs/>
          <w:i/>
        </w:rPr>
        <w:t xml:space="preserve">The Revision Revised</w:t>
      </w:r>
      <w:r>
        <w:t xml:space="preserve">, s. 434. Por. s. 431-436). Dopiero po 1765 r. uczeni zaczęli kwestionować odczyt A (z powodu wyblaknięcia i zużycia środkowa linia litery theta nie jest już zauważalna).</w:t>
      </w:r>
    </w:p>
    <w:p>
      <w:pPr>
        <w:pStyle w:val="FootnoteText"/>
      </w:pPr>
      <w:r>
        <w:t xml:space="preserve">H.C. Hoskier poświęcił dodatek J do pracy</w:t>
      </w:r>
      <w:r>
        <w:t xml:space="preserve"> </w:t>
      </w:r>
      <w:r>
        <w:rPr>
          <w:iCs/>
          <w:i/>
        </w:rPr>
        <w:t xml:space="preserve">A Full Account and Collation of the Greek Codex Evangelium 604</w:t>
      </w:r>
      <w:r>
        <w:t xml:space="preserve"> </w:t>
      </w:r>
      <w:r>
        <w:t xml:space="preserve">(Londyn: David Nutt, 1890) (załącznik ten jest przedrukiem części artykułu, który ukazał się w</w:t>
      </w:r>
      <w:r>
        <w:t xml:space="preserve"> </w:t>
      </w:r>
      <w:r>
        <w:rPr>
          <w:iCs/>
          <w:i/>
        </w:rPr>
        <w:t xml:space="preserve">Clergyman’s Magazine</w:t>
      </w:r>
      <w:r>
        <w:t xml:space="preserve"> </w:t>
      </w:r>
      <w:r>
        <w:t xml:space="preserve">z lutego 1887 r.) na szczegółową dyskusję dotyczącą odczytu Kodeksu C. Spędził trzy godziny na badaniu omawianego fragmentu w tym manuskrypcie (sam manuskrypt) i przytacza dowody, które moim zdaniem jasno wskazują, że pierwotnym odczytem C jest „Bóg”. Przeanalizował otaczający kontekst i zauważa: „</w:t>
      </w:r>
      <w:r>
        <w:rPr>
          <w:bCs/>
          <w:b/>
        </w:rPr>
        <w:t xml:space="preserve">Kreska skrótu</w:t>
      </w:r>
      <w:r>
        <w:t xml:space="preserve"> </w:t>
      </w:r>
      <w:r>
        <w:t xml:space="preserve">[ang.</w:t>
      </w:r>
      <w:r>
        <w:t xml:space="preserve"> </w:t>
      </w:r>
      <w:r>
        <w:rPr>
          <w:iCs/>
          <w:i/>
        </w:rPr>
        <w:t xml:space="preserve">contracting bar</w:t>
      </w:r>
      <w:r>
        <w:t xml:space="preserve">, pozioma kreska nad wyrazem używana w greckich rękopisach przy nomina sacra (skróty imion świętych) w greckich i łacińskich rękopisach biblijnych, np. ΘΣ̅ jako skrót od Θεός („Bóg”) - pl.wikipedia.org/wiki/Nomina_sacra, przyp. tłum.] często zanikała całkowicie (jak sądzę, na podstawie pobieżnej analizy, częściej niż rzadziej), ale w innych przypadkach jest wyraźna i umieszczona w taki sam sposób, jak w 1 Liście do Tymoteusza 3,16” (Dodatek J, s. 2). Zob. również Burgon,</w:t>
      </w:r>
      <w:r>
        <w:t xml:space="preserve"> </w:t>
      </w:r>
      <w:r>
        <w:rPr>
          <w:iCs/>
          <w:i/>
        </w:rPr>
        <w:t xml:space="preserve">Ibid.</w:t>
      </w:r>
      <w:r>
        <w:t xml:space="preserve">, s. 437-438.</w:t>
      </w:r>
    </w:p>
    <w:p>
      <w:pPr>
        <w:pStyle w:val="FootnoteText"/>
      </w:pPr>
      <w:r>
        <w:t xml:space="preserve">W kodeksach F/G występuje odczyt</w:t>
      </w:r>
      <w:r>
        <w:t xml:space="preserve"> </w:t>
      </w:r>
      <w:r>
        <w:rPr>
          <w:iCs/>
          <w:i/>
        </w:rPr>
        <w:t xml:space="preserve">OC</w:t>
      </w:r>
      <w:r>
        <w:t xml:space="preserve">, gdzie kreska skrótu ma postać ukośnej kreski. Argumentowano, że kreska ta oznacza aspiratę [</w:t>
      </w:r>
      <w:r>
        <w:rPr>
          <w:iCs/>
          <w:i/>
        </w:rPr>
        <w:t xml:space="preserve">aspirata</w:t>
      </w:r>
      <w:r>
        <w:t xml:space="preserve"> </w:t>
      </w:r>
      <w:r>
        <w:t xml:space="preserve">- spółgłoska wymawiana z przydechem, czyli następującym po niej dźwiękiem przypominającym krótkie</w:t>
      </w:r>
      <w:r>
        <w:t xml:space="preserve"> </w:t>
      </w:r>
      <w:r>
        <w:t xml:space="preserve">‘</w:t>
      </w:r>
      <w:r>
        <w:t xml:space="preserve">h</w:t>
      </w:r>
      <w:r>
        <w:t xml:space="preserve">’</w:t>
      </w:r>
      <w:r>
        <w:t xml:space="preserve"> </w:t>
      </w:r>
      <w:r>
        <w:t xml:space="preserve">- https://sjp.pl/aspirata, przyp. tłum.]</w:t>
      </w:r>
      <w:r>
        <w:t xml:space="preserve"> </w:t>
      </w:r>
      <w:r>
        <w:rPr>
          <w:iCs/>
          <w:i/>
        </w:rPr>
        <w:t xml:space="preserve">ος</w:t>
      </w:r>
      <w:r>
        <w:t xml:space="preserve">, ale Burgon dowodzi, że omawiana kreska nigdy nie oznacza oddechu, lecz jest niezmiennie znakiem skrótu i potwierdza, że „</w:t>
      </w:r>
      <w:r>
        <w:rPr>
          <w:iCs/>
          <w:i/>
        </w:rPr>
        <w:t xml:space="preserve">ος</w:t>
      </w:r>
      <w:r>
        <w:t xml:space="preserve"> </w:t>
      </w:r>
      <w:r>
        <w:t xml:space="preserve">nie jest</w:t>
      </w:r>
      <w:r>
        <w:t xml:space="preserve"> </w:t>
      </w:r>
      <w:r>
        <w:rPr>
          <w:bCs/>
          <w:b/>
        </w:rPr>
        <w:t xml:space="preserve">nigdzie</w:t>
      </w:r>
      <w:r>
        <w:t xml:space="preserve"> </w:t>
      </w:r>
      <w:r>
        <w:t xml:space="preserve">indziej zapisane jako</w:t>
      </w:r>
      <w:r>
        <w:t xml:space="preserve"> </w:t>
      </w:r>
      <w:r>
        <w:rPr>
          <w:iCs/>
          <w:i/>
        </w:rPr>
        <w:t xml:space="preserve">OC</w:t>
      </w:r>
      <w:r>
        <w:t xml:space="preserve"> </w:t>
      </w:r>
      <w:r>
        <w:t xml:space="preserve">(z kreską) w żadnym z kodeksów” (</w:t>
      </w:r>
      <w:r>
        <w:rPr>
          <w:iCs/>
          <w:i/>
        </w:rPr>
        <w:t xml:space="preserve">Ibid.</w:t>
      </w:r>
      <w:r>
        <w:t xml:space="preserve">, s. 442. Por. s. 438-442). Prawdopodobnie kreska we wspólnym pierwowzorze stała się zbyt blada, by ją dostrzec. Jeśli chodzi o kursywę 365, Burgon przeprowadził wyczerpujące poszukiwania. Nie tylko nie udało mu się jej znaleźć, ale nie znalazł też żadnych dowodów na to, że kiedykolwiek istniała (</w:t>
      </w:r>
      <w:r>
        <w:rPr>
          <w:iCs/>
          <w:i/>
        </w:rPr>
        <w:t xml:space="preserve">Ibid.</w:t>
      </w:r>
      <w:r>
        <w:t xml:space="preserve">, s. 444-445) (niedawno poinformowano mnie, że została ona później ponownie odkryta przez Gregory’ego).</w:t>
      </w:r>
    </w:p>
    <w:p>
      <w:pPr>
        <w:pStyle w:val="FootnoteText"/>
      </w:pPr>
      <w:r>
        <w:t xml:space="preserve">(W pierwszym wydaniu mojej książki</w:t>
      </w:r>
      <w:r>
        <w:t xml:space="preserve"> </w:t>
      </w:r>
      <w:r>
        <w:rPr>
          <w:iCs/>
          <w:i/>
        </w:rPr>
        <w:t xml:space="preserve">Identity</w:t>
      </w:r>
      <w:r>
        <w:t xml:space="preserve"> </w:t>
      </w:r>
      <w:r>
        <w:t xml:space="preserve">odniosłem się do fragmentu z 1 Listu do Tymoteusza 3,16 wyłącznie po to, by zilustrować argument oparty na prawdopodobieństwie, a nie jako przykład „jak uprawiać krytykę tekstu” (por. Fee, „A Critique”, s. 423). Skoro jednak pojawiło się to pytanie, dodam kilka słów na ten temat.)</w:t>
      </w:r>
    </w:p>
    <w:p>
      <w:pPr>
        <w:pStyle w:val="FootnoteText"/>
      </w:pPr>
      <w:r>
        <w:t xml:space="preserve">Trzy istotne warianty, o które tutaj chodzi, są reprezentowane w starożytnych manuskryptach uncjalnych następująco: O, OC oraz</w:t>
      </w:r>
      <w:r>
        <w:t xml:space="preserve"> </w:t>
      </w:r>
      <w:r>
        <w:rPr>
          <w:iCs/>
          <w:i/>
        </w:rPr>
        <w:t xml:space="preserve">Θ</w:t>
      </w:r>
      <w:r>
        <w:t xml:space="preserve">C (z kreską skrótu nad dwiema literami), co oznacza odpowiednio „który”, „kto” i „Bóg”. Podczas pisania słowa „Bóg” pominięcie przez skrybę tych dwóch linii (z powodu pośpiechu lub chwilowego roztargnienia) skutkowałoby powstaniem słowa „kto”. W kodeksach A, C, F i G występuje wiele przypadków, w których ani linia krzyżowa, ani kreska skrótu nie są już zauważalne (albo oryginalna linia wyblakła do tego stopnia, że stała się niewidoczna, albo skryba mógł jej po prostu nie napisać). Zniknięcie obu linii, jak w przypadku Kodeksu A, jest prawdopodobnie rzadkim zjawiskiem. Nieumyślne pominięcie obu linii przez skrybę również byłoby prawdopodobnie rzadkim zjawiskiem, ale musiało się to zdarzyć przynajmniej raz, prawdopodobnie na początku II wieku i w okolicznościach, które wywołały szeroki efekt.</w:t>
      </w:r>
    </w:p>
    <w:p>
      <w:pPr>
        <w:pStyle w:val="FootnoteText"/>
      </w:pPr>
      <w:r>
        <w:t xml:space="preserve">Wyrażenie „ta tajemnica… kto” jest w języku greckim jeszcze bardziej niepoprawne niż w angielskim [oraz polskim, przyp. tłum.]. Gdy więc taki odczyt pojawił się i stał się znany, nieuniknione było podjęcie działań naprawczych. W związku z tym, pierwszy z powyższych odczytów, „ta tajemnica… która”, jest powszechnie uznawany za próbę uczynienia tego trudnego odczytu zrozumiałym. Musiało to jednak być wczesna zmiana, ponieważ całkowicie dominuje ona w tradycji łacińskiej, zarówno w wersjach, jak i u Ojców, a także jest prawdopodobnym odczytem wersji Syr</w:t>
      </w:r>
      <w:r>
        <w:rPr>
          <w:vertAlign w:val="superscript"/>
        </w:rPr>
        <w:t xml:space="preserve">p</w:t>
      </w:r>
      <w:r>
        <w:t xml:space="preserve"> </w:t>
      </w:r>
      <w:r>
        <w:t xml:space="preserve">i koptyjskiej. Występuje on tylko w jednym greckim manuskrypcie, Kodeksie D, i u żadnego greckiego Ojca przed V wiekiem.</w:t>
      </w:r>
    </w:p>
    <w:p>
      <w:pPr>
        <w:pStyle w:val="FootnoteText"/>
      </w:pPr>
      <w:r>
        <w:t xml:space="preserve">Większość współczesnych badaczy uznaje słowo „Bóg” za odrębną terapeutyczną reakcję na trudny odczyt. Chociaż dominuje ono w greckich manuskryptach (ponad 98 procent), to z pewnością potwierdzają je tylko dwie wersje: gruzińska i słowiańska (obie późne). Dominuje ono jednak również wśród Greckich Ojców. Około 100 r. n.e. możliwe aluzje pojawiają się u Barnaby: „</w:t>
      </w:r>
      <w:r>
        <w:rPr>
          <w:iCs/>
          <w:i/>
        </w:rPr>
        <w:t xml:space="preserve">Ιησους … ο υιος του Θεου τυπω και εν σαρκι φανερωθεις</w:t>
      </w:r>
      <w:r>
        <w:t xml:space="preserve">” (rozdz. XII) oraz u Ignacego: „</w:t>
      </w:r>
      <w:r>
        <w:rPr>
          <w:iCs/>
          <w:i/>
        </w:rPr>
        <w:t xml:space="preserve">Θεου ανθρωπινως φανερουμενου</w:t>
      </w:r>
      <w:r>
        <w:t xml:space="preserve">” (</w:t>
      </w:r>
      <w:r>
        <w:rPr>
          <w:iCs/>
          <w:i/>
        </w:rPr>
        <w:t xml:space="preserve">Ad Ephes.</w:t>
      </w:r>
      <w:r>
        <w:t xml:space="preserve"> </w:t>
      </w:r>
      <w:r>
        <w:t xml:space="preserve">rozdz. 19) oraz „</w:t>
      </w:r>
      <w:r>
        <w:rPr>
          <w:iCs/>
          <w:i/>
        </w:rPr>
        <w:t xml:space="preserve">εν σαρκι γενομενος Θεος</w:t>
      </w:r>
      <w:r>
        <w:t xml:space="preserve">” (</w:t>
      </w:r>
      <w:r>
        <w:rPr>
          <w:iCs/>
          <w:i/>
        </w:rPr>
        <w:t xml:space="preserve">Ibid.</w:t>
      </w:r>
      <w:r>
        <w:t xml:space="preserve">, rozdz. 7). W III wieku wydają się istnieć wyraźne odniesienia u Hipolita: „</w:t>
      </w:r>
      <w:r>
        <w:rPr>
          <w:iCs/>
          <w:i/>
        </w:rPr>
        <w:t xml:space="preserve">Θεος εν σωματι εφανερωθη</w:t>
      </w:r>
      <w:r>
        <w:t xml:space="preserve">” (</w:t>
      </w:r>
      <w:r>
        <w:rPr>
          <w:iCs/>
          <w:i/>
        </w:rPr>
        <w:t xml:space="preserve">Contra Haeresim Noeti</w:t>
      </w:r>
      <w:r>
        <w:t xml:space="preserve">, rozdz. XVII), u Dionizego: „</w:t>
      </w:r>
      <w:r>
        <w:rPr>
          <w:iCs/>
          <w:i/>
        </w:rPr>
        <w:t xml:space="preserve">Θεος γαρ εφανερωθη εν σαρκι</w:t>
      </w:r>
      <w:r>
        <w:t xml:space="preserve">” (</w:t>
      </w:r>
      <w:r>
        <w:rPr>
          <w:iCs/>
          <w:i/>
        </w:rPr>
        <w:t xml:space="preserve">Concilia</w:t>
      </w:r>
      <w:r>
        <w:t xml:space="preserve">, tom I 853a) oraz u Grzegorza Cudotwórcy: „</w:t>
      </w:r>
      <w:r>
        <w:rPr>
          <w:iCs/>
          <w:i/>
        </w:rPr>
        <w:t xml:space="preserve">και εστιν Θεος αληθινος ο ασαρκος εν σαρκι φανερωθεις</w:t>
      </w:r>
      <w:r>
        <w:t xml:space="preserve">” (cytowane przez Focjusza). W IV wieku pojawiają się wyraźne cytaty lub odniesienia u Grzegorza z Nyssy (22 razy), Grzegorza z Nazjanzu, Didymusa z Aleksandrii, Diodora, w Konstytucjach Apostolskich i u Chryzostoma, a następnie u Cyryla z Aleksandrii, Teodoretusa i Eutaliusza w V wieku i tak dalej (Burgon,</w:t>
      </w:r>
      <w:r>
        <w:t xml:space="preserve"> </w:t>
      </w:r>
      <w:r>
        <w:rPr>
          <w:iCs/>
          <w:i/>
        </w:rPr>
        <w:t xml:space="preserve">Ibid.</w:t>
      </w:r>
      <w:r>
        <w:t xml:space="preserve">, s. 456–476, 486–490).</w:t>
      </w:r>
    </w:p>
    <w:p>
      <w:pPr>
        <w:pStyle w:val="FootnoteText"/>
      </w:pPr>
      <w:r>
        <w:t xml:space="preserve">Jeśli chodzi o gramatycznie nieprawidłowy odczyt, „kto”, oprócz już przytoczonych manuskryptów, najwcześniejszą wersją, która wyraźnie go potwierdza, jest manuskrypt gotycki (IV wiek). Aby uzyskać jasne greckie świadectwo patrystyczne [Ojców Kościoła, przyp. tłum.] na poparcie tego odczytu, konieczna jest sekwencja</w:t>
      </w:r>
      <w:r>
        <w:t xml:space="preserve"> </w:t>
      </w:r>
      <w:r>
        <w:rPr>
          <w:iCs/>
          <w:i/>
        </w:rPr>
        <w:t xml:space="preserve">μυστηριον ος εφανερωθη</w:t>
      </w:r>
      <w:r>
        <w:t xml:space="preserve">, ponieważ po każdym odniesieniu do Chrystusa, Zbawiciela, Syna Bożego itp. w poprzednim kontekście można przewidzieć użycie zdania względnego. Burgon potwierdził, że nie znał żadnego takiego świadectwa (a jego wiedza na ten temat prawdopodobnie nigdy nie została dorównana) (</w:t>
      </w:r>
      <w:r>
        <w:rPr>
          <w:iCs/>
          <w:i/>
        </w:rPr>
        <w:t xml:space="preserve">Ibid.</w:t>
      </w:r>
      <w:r>
        <w:t xml:space="preserve">, s. 483).</w:t>
      </w:r>
    </w:p>
    <w:p>
      <w:pPr>
        <w:pStyle w:val="FootnoteText"/>
      </w:pPr>
      <w:r>
        <w:t xml:space="preserve">Wydaje się zatem, że odczyty „zachodnie” i „bizantyjskie” mają wcześniejsze zaświadczenie niż „aleksandryjskie”. Jeśli jednak</w:t>
      </w:r>
      <w:r>
        <w:t xml:space="preserve"> </w:t>
      </w:r>
      <w:r>
        <w:t xml:space="preserve">“</w:t>
      </w:r>
      <w:r>
        <w:t xml:space="preserve">która</w:t>
      </w:r>
      <w:r>
        <w:t xml:space="preserve">”</w:t>
      </w:r>
      <w:r>
        <w:t xml:space="preserve"> </w:t>
      </w:r>
      <w:r>
        <w:t xml:space="preserve">powstała z</w:t>
      </w:r>
      <w:r>
        <w:t xml:space="preserve"> </w:t>
      </w:r>
      <w:r>
        <w:t xml:space="preserve">“</w:t>
      </w:r>
      <w:r>
        <w:t xml:space="preserve">kto</w:t>
      </w:r>
      <w:r>
        <w:t xml:space="preserve">”</w:t>
      </w:r>
      <w:r>
        <w:t xml:space="preserve">, wówczas to drugie musi być starsze. Odczyt</w:t>
      </w:r>
      <w:r>
        <w:t xml:space="preserve"> </w:t>
      </w:r>
      <w:r>
        <w:t xml:space="preserve">“</w:t>
      </w:r>
      <w:r>
        <w:t xml:space="preserve">kto</w:t>
      </w:r>
      <w:r>
        <w:t xml:space="preserve">”</w:t>
      </w:r>
      <w:r>
        <w:t xml:space="preserve"> </w:t>
      </w:r>
      <w:r>
        <w:t xml:space="preserve">jest co prawda najtrudniejszy, do tego stopnia, że stosowanie zasady</w:t>
      </w:r>
      <w:r>
        <w:t xml:space="preserve"> </w:t>
      </w:r>
      <w:r>
        <w:t xml:space="preserve">“</w:t>
      </w:r>
      <w:r>
        <w:t xml:space="preserve">trudniejszego odczytu</w:t>
      </w:r>
      <w:r>
        <w:t xml:space="preserve">”</w:t>
      </w:r>
      <w:r>
        <w:t xml:space="preserve"> </w:t>
      </w:r>
      <w:r>
        <w:t xml:space="preserve">w obliczu łatwego wyjaśnienia transkrypcyjnego (przypadkowego pominięcia dwóch pociągnięć pióra) dla trudnego odczytu wydaje się nierozsądne. Jak trafnie ujął to Burgon:</w:t>
      </w:r>
    </w:p>
    <w:p>
      <w:pPr>
        <w:pStyle w:val="BlockText"/>
      </w:pPr>
      <w:r>
        <w:t xml:space="preserve">Wierzę, że przynajmniej co do tego się zgadzamy, iż maksyma „</w:t>
      </w:r>
      <w:r>
        <w:rPr>
          <w:iCs/>
          <w:i/>
        </w:rPr>
        <w:t xml:space="preserve">proclivi lectioni praestat ardua</w:t>
      </w:r>
      <w:r>
        <w:t xml:space="preserve">” nie głosi tak nierozsądnej tezy, jakoby przy wyborze między dwoma lub więcej sprzecznymi odczytami należało preferować</w:t>
      </w:r>
      <w:r>
        <w:t xml:space="preserve"> </w:t>
      </w:r>
      <w:r>
        <w:rPr>
          <w:bCs/>
          <w:b/>
        </w:rPr>
        <w:t xml:space="preserve">ten</w:t>
      </w:r>
      <w:r>
        <w:t xml:space="preserve">, który ma najsłabsze zewnętrzne potwierdzenie – pod warunkiem, że sam w sobie jest niemal niezrozumiały? (</w:t>
      </w:r>
      <w:r>
        <w:rPr>
          <w:iCs/>
          <w:i/>
        </w:rPr>
        <w:t xml:space="preserve">Ibid.</w:t>
      </w:r>
      <w:r>
        <w:t xml:space="preserve">, s. 497).</w:t>
      </w:r>
    </w:p>
    <w:p>
      <w:pPr>
        <w:pStyle w:val="FootnoteText"/>
      </w:pPr>
      <w:r>
        <w:t xml:space="preserve">Niezależnie od intencji redaktorów, którzy zdecydowali się na użycie „kto”, ich tekst osłabia to mocne stwierdzenie o boskości Jezusa Chrystusa, oprócz tego, że jest głupotą – co jest „tajemnicą” dotyczącą jakiegokolwiek mężczyzny, który objawił się w ciele? Wszyscy ludzie mają ciała. W Tekście Greckim zaimek względny nie ma poprzednika, więc jest to „gramatyczna niemożliwość”.</w:t>
      </w:r>
    </w:p>
  </w:footnote>
  <w:footnote w:id="176">
    <w:p>
      <w:pPr>
        <w:pStyle w:val="FootnoteText"/>
      </w:pPr>
      <w:r>
        <w:rPr>
          <w:rStyle w:val="FootnoteReference"/>
        </w:rPr>
        <w:footnoteRef/>
      </w:r>
      <w:r>
        <w:t xml:space="preserve"> </w:t>
      </w:r>
      <w:r>
        <w:t xml:space="preserve">Dalsze omówienie znajduje się na ostatnich stronach załącznika C w mojej książce „Identity IV”.</w:t>
      </w:r>
    </w:p>
  </w:footnote>
  <w:footnote w:id="178">
    <w:p>
      <w:pPr>
        <w:pStyle w:val="FootnoteText"/>
      </w:pPr>
      <w:r>
        <w:rPr>
          <w:rStyle w:val="FootnoteReference"/>
        </w:rPr>
        <w:footnoteRef/>
      </w:r>
      <w:r>
        <w:t xml:space="preserve"> </w:t>
      </w:r>
      <w:r>
        <w:t xml:space="preserve">Kurt Aland (red.),</w:t>
      </w:r>
      <w:r>
        <w:t xml:space="preserve"> </w:t>
      </w:r>
      <w:r>
        <w:rPr>
          <w:iCs/>
          <w:i/>
        </w:rPr>
        <w:t xml:space="preserve">Kurzgefasste Liste der Grieshischen Handschriften des Neuen Testaments</w:t>
      </w:r>
      <w:r>
        <w:t xml:space="preserve"> </w:t>
      </w:r>
      <w:r>
        <w:t xml:space="preserve">[</w:t>
      </w:r>
      <w:r>
        <w:rPr>
          <w:iCs/>
          <w:i/>
        </w:rPr>
        <w:t xml:space="preserve">Skrócona lista rękopisów Nowego Testamentu w języku griesh</w:t>
      </w:r>
      <w:r>
        <w:t xml:space="preserve">, przyp. tłum.] (Berlin: Walter de Gruyter, 1994).</w:t>
      </w:r>
    </w:p>
  </w:footnote>
  <w:footnote w:id="179">
    <w:p>
      <w:pPr>
        <w:pStyle w:val="FootnoteText"/>
      </w:pPr>
      <w:r>
        <w:rPr>
          <w:rStyle w:val="FootnoteReference"/>
        </w:rPr>
        <w:footnoteRef/>
      </w:r>
      <w:r>
        <w:t xml:space="preserve"> </w:t>
      </w:r>
      <w:r>
        <w:t xml:space="preserve">Ten akapit, jak i następny, opierają się po prostu na</w:t>
      </w:r>
      <w:r>
        <w:t xml:space="preserve"> </w:t>
      </w:r>
      <w:r>
        <w:rPr>
          <w:iCs/>
          <w:i/>
        </w:rPr>
        <w:t xml:space="preserve">Liste</w:t>
      </w:r>
      <w:r>
        <w:t xml:space="preserve"> </w:t>
      </w:r>
      <w:r>
        <w:t xml:space="preserve">(niezależnie od tego, czy się zgadzam, czy nie).</w:t>
      </w:r>
    </w:p>
  </w:footnote>
  <w:footnote w:id="180">
    <w:p>
      <w:pPr>
        <w:pStyle w:val="FootnoteText"/>
      </w:pPr>
      <w:r>
        <w:rPr>
          <w:rStyle w:val="FootnoteReference"/>
        </w:rPr>
        <w:footnoteRef/>
      </w:r>
      <w:r>
        <w:t xml:space="preserve"> </w:t>
      </w:r>
      <w:r>
        <w:t xml:space="preserve">Moim zdaniem jedynym wkładem fragmentu jest potwierdzenie, że zawarte w nim warianty istniały, gdy został on spisany, o ile nie zostały one stworzone przez kopistę. Fragment pochodzący sprzed 100 r. n.e. potwierdza, że księga ta istniała w tamtym czasie.</w:t>
      </w:r>
    </w:p>
  </w:footnote>
  <w:footnote w:id="181">
    <w:p>
      <w:pPr>
        <w:pStyle w:val="FootnoteText"/>
      </w:pPr>
      <w:r>
        <w:rPr>
          <w:rStyle w:val="FootnoteReference"/>
        </w:rPr>
        <w:footnoteRef/>
      </w:r>
      <w:r>
        <w:t xml:space="preserve"> </w:t>
      </w:r>
      <w:r>
        <w:t xml:space="preserve">Frederik Wisse zebrał i porównał 1 386 manuskryptów z 1, 10 i 20 rozdziału Ewangelii Łukasza (trzy rozdziały), a następnie zredukował te manuskrypty do 37 grup (rodzin) (plus 89 „indywidualistów”).</w:t>
      </w:r>
      <w:r>
        <w:t xml:space="preserve"> </w:t>
      </w:r>
      <w:r>
        <w:rPr>
          <w:iCs/>
          <w:i/>
        </w:rPr>
        <w:t xml:space="preserve">The Profile Method for the Classification and Evaluation of Manuscript Evidence</w:t>
      </w:r>
      <w:r>
        <w:t xml:space="preserve"> </w:t>
      </w:r>
      <w:r>
        <w:t xml:space="preserve">(Grand Rapids: Eerdmans, 1982). Okazuje się, że 36 z 37 należy do szerokiego byzantyjskiego nurtu przekazu. Znalazł 70 podgrup w obrębie tych 36, więc uznał, że jest w stanie zdefiniować te relacje na podstawie profili. Przyznaję, że jest to krok we właściwym kierunku.</w:t>
      </w:r>
    </w:p>
  </w:footnote>
  <w:footnote w:id="182">
    <w:p>
      <w:pPr>
        <w:pStyle w:val="FootnoteText"/>
      </w:pPr>
      <w:r>
        <w:rPr>
          <w:rStyle w:val="FootnoteReference"/>
        </w:rPr>
        <w:footnoteRef/>
      </w:r>
      <w:r>
        <w:t xml:space="preserve"> </w:t>
      </w:r>
      <w:r>
        <w:t xml:space="preserve">Rozważ wnioski, do jakich doszedł Maurice Robinson w wyniku przeprowadzenia kompletnego zestawienia 1 389 manuskryptów zawierających perykopę z Ewangelii Jana 7,53–8,11:</w:t>
      </w:r>
    </w:p>
    <w:p>
      <w:pPr>
        <w:pStyle w:val="BlockText"/>
      </w:pPr>
      <w:r>
        <w:t xml:space="preserve">Jednak wbrew wcześniejszym przypuszczeniom tego autora, szeroko zakrojona analiza manuskryptów PA [Pericope Adulterae, czyli fragment z Jan 7,53–8,11 - o kobiecie pochwyconej na cudzołóstwie, będący tematem licznych debat, przyp. tłum.] jednoznacznie wykazała, że międzytekstowe porównania i korekty manuskryptów miały miejsce jedynie</w:t>
      </w:r>
      <w:r>
        <w:t xml:space="preserve"> </w:t>
      </w:r>
      <w:r>
        <w:rPr>
          <w:iCs/>
          <w:i/>
        </w:rPr>
        <w:t xml:space="preserve">rzadko</w:t>
      </w:r>
      <w:r>
        <w:t xml:space="preserve"> </w:t>
      </w:r>
      <w:r>
        <w:t xml:space="preserve">i</w:t>
      </w:r>
      <w:r>
        <w:t xml:space="preserve"> </w:t>
      </w:r>
      <w:r>
        <w:rPr>
          <w:iCs/>
          <w:i/>
        </w:rPr>
        <w:t xml:space="preserve">sporadycznie</w:t>
      </w:r>
      <w:r>
        <w:t xml:space="preserve">, a wprowadzone poprawki w niewielkim stopniu lub wcale nie były przenoszone na różnorodne przedstawione typy (kursywa autora, podobnie poniżej).</w:t>
      </w:r>
    </w:p>
    <w:p>
      <w:pPr>
        <w:pStyle w:val="BlockText"/>
      </w:pPr>
      <w:r>
        <w:t xml:space="preserve">Jeśli międzytekstowe korekty nie występowały często ani na szeroką skalę w tej części tekstu, która zawiera więcej odmian niż jakikolwiek inny fragment Nowego Testamentu, a dokonane korekty nie miały tendencji do utrwalania się, jest mało prawdopodobne, aby proces taki miał miejsce w tych częściach Nowego Testamentu, które zawierały mniej odmian tekstowych… Brak systematycznych i gruntownych korekt w PA, a także brak utrwalania się wzorców korekcyjnych wydaje się to jasno potwierdzać. Międzytekstowe porównania i korekty</w:t>
      </w:r>
      <w:r>
        <w:t xml:space="preserve"> </w:t>
      </w:r>
      <w:r>
        <w:rPr>
          <w:iCs/>
          <w:i/>
        </w:rPr>
        <w:t xml:space="preserve">powinny</w:t>
      </w:r>
      <w:r>
        <w:t xml:space="preserve"> </w:t>
      </w:r>
      <w:r>
        <w:t xml:space="preserve">być powszechne i rozległe w tej części tekstu ze względu na dużą różnorodność wzorców tekstowych i odczytów w niej występujących, zamiast tego korekty pojawiały się sporadycznie i rzadko miały charakter gruntowny.</w:t>
      </w:r>
    </w:p>
    <w:p>
      <w:pPr>
        <w:pStyle w:val="BlockText"/>
      </w:pPr>
      <w:r>
        <w:t xml:space="preserve">Skoro tak jest, fenomenu stosunkowo jednolitej bizantyjskiej formy tekstowej</w:t>
      </w:r>
      <w:r>
        <w:t xml:space="preserve"> </w:t>
      </w:r>
      <w:r>
        <w:rPr>
          <w:iCs/>
          <w:i/>
        </w:rPr>
        <w:t xml:space="preserve">nie da się</w:t>
      </w:r>
      <w:r>
        <w:t xml:space="preserve"> </w:t>
      </w:r>
      <w:r>
        <w:t xml:space="preserve">wyjaśnić metodologią „procesową”, niezależnie od tego, czy jest ona „zmodyfikowana”, czy nie…</w:t>
      </w:r>
    </w:p>
    <w:p>
      <w:pPr>
        <w:pStyle w:val="BlockText"/>
      </w:pPr>
      <w:r>
        <w:t xml:space="preserve">Na podstawie zebranych danych autor niniejszego artykułu zmuszony jest zmienić swoje wcześniejsze założenia dotyczące rozwoju oraz odtworzenia/zachowania bizantyjskiej formy tekstowej, w tym sensie: chociaż sama transmisja tekstowa jest procesem, wydaje się, iż w większości przypadków linie transmisji pozostawały odrębne, a mieszanie się tekstów występowało i utrwalało się w stosunkowo niewielkim stopniu…</w:t>
      </w:r>
    </w:p>
    <w:p>
      <w:pPr>
        <w:pStyle w:val="BlockText"/>
      </w:pPr>
      <w:r>
        <w:t xml:space="preserve">Oczywiście, wszystkie rodzaje tekstów PA są odrębne i odzwierciedlają długą linię przekazu oraz zachowania w swojej odrębnej integralności… Wydaje się zatem, że bizantyjskie manuskrypty minuskułowe zachowują linie przekazu, które są nie tylko niezależne, ale które z konieczności miały swój początek w czasie znacznie wcześniejszym niż IX wiek. Zachowane manuskrypty uncjałowe nie wyjaśniają i nie są w stanie wyjaśnić różnorodności i stabilności form tekstowych PA występujących nawet wśród najwcześniejszych manuskryptów minuskulowych z IX wieku, nie mówiąc już o różnorodności i stabilności form pojawiających się na przestrzeni wszystkich stuleci epoki minuskulowej. Brak szeroko zakrojonych międzytekstowych porównań i korekt wykazanych w zachowanych manuskryptach zawierających PA uniemożliwia łatwe wywiedzenie jakiejkolwiek istniejącej formy tekstu PA z jakiejkolwiek innej formy tego tekstu, przynajmniej w epoce pergaminu. Wczesne uncjały, które zawierają PA, wykazują znacznie różniące się linie przekazu, ale nie obejmują one wszystkich znanych linii. Również uncjały ani minuskuły nie wykazują żadnych oznak, by jakakolwiek znana linia wywodziła się z równoległej, znanej linii. Około 10 linii przekazu „typu tekstowego” pozostaje niezależnych i z konieczności musi sięgać punktu znacznie wcześniejszego niż nastąpiła ich odrębna stabilizacja – punktu, który wydaje się być zakopany (jak sugerowali Colwell i Scrivener) głęboko w II wieku. („Wstępne obserwacje dotyczące</w:t>
      </w:r>
      <w:r>
        <w:t xml:space="preserve"> </w:t>
      </w:r>
      <w:r>
        <w:rPr>
          <w:iCs/>
          <w:i/>
        </w:rPr>
        <w:t xml:space="preserve">Pericope Adulterae</w:t>
      </w:r>
      <w:r>
        <w:t xml:space="preserve"> </w:t>
      </w:r>
      <w:r>
        <w:t xml:space="preserve">oparte na nowych porównaniach niemal wszystkich manuskryptów tekstu ciągłego i ponad stu lekcjonarzy”, przedstawione przed Ewangelickim Towarzystwem Teologicznym [ang. Evangelical Theological Society] listopad 1998 r., s. 11–13.)</w:t>
      </w:r>
    </w:p>
  </w:footnote>
  <w:footnote w:id="183">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8NS:131–144 (w rzeczywistości opublikowane w 1989 r.), s. 142–143.</w:t>
      </w:r>
    </w:p>
  </w:footnote>
  <w:footnote w:id="184">
    <w:p>
      <w:pPr>
        <w:pStyle w:val="FootnoteText"/>
      </w:pPr>
      <w:r>
        <w:rPr>
          <w:rStyle w:val="FootnoteReference"/>
        </w:rPr>
        <w:footnoteRef/>
      </w:r>
      <w:r>
        <w:t xml:space="preserve"> </w:t>
      </w:r>
      <w:r>
        <w:rPr>
          <w:iCs/>
          <w:i/>
        </w:rPr>
        <w:t xml:space="preserve">The Text of the New Testament</w:t>
      </w:r>
      <w:r>
        <w:t xml:space="preserve">, s. 53.</w:t>
      </w:r>
    </w:p>
  </w:footnote>
  <w:footnote w:id="187">
    <w:p>
      <w:pPr>
        <w:pStyle w:val="FootnoteText"/>
      </w:pPr>
      <w:r>
        <w:rPr>
          <w:rStyle w:val="FootnoteReference"/>
        </w:rPr>
        <w:footnoteRef/>
      </w:r>
      <w:r>
        <w:t xml:space="preserve"> </w:t>
      </w:r>
      <w:r>
        <w:t xml:space="preserve">This Part I is basically a reproduction (with a few embellishments) of Chapter 5 in my book,</w:t>
      </w:r>
      <w:r>
        <w:t xml:space="preserve"> </w:t>
      </w:r>
      <w:r>
        <w:rPr>
          <w:iCs/>
          <w:i/>
        </w:rPr>
        <w:t xml:space="preserve">The Identity of the New Testament Text IV</w:t>
      </w:r>
      <w:r>
        <w:t xml:space="preserve">, available from Amazon.com, as well as from my site, www.prunch.org. My refutation of eclecticism, whether</w:t>
      </w:r>
      <w:r>
        <w:t xml:space="preserve"> </w:t>
      </w:r>
      <w:r>
        <w:t xml:space="preserve">‘</w:t>
      </w:r>
      <w:r>
        <w:t xml:space="preserve">reasoned</w:t>
      </w:r>
      <w:r>
        <w:t xml:space="preserve">’</w:t>
      </w:r>
      <w:r>
        <w:t xml:space="preserve"> </w:t>
      </w:r>
      <w:r>
        <w:t xml:space="preserve">or</w:t>
      </w:r>
      <w:r>
        <w:t xml:space="preserve"> </w:t>
      </w:r>
      <w:r>
        <w:t xml:space="preserve">‘</w:t>
      </w:r>
      <w:r>
        <w:t xml:space="preserve">rigorous</w:t>
      </w:r>
      <w:r>
        <w:t xml:space="preserve">’</w:t>
      </w:r>
      <w:r>
        <w:t xml:space="preserve">, occupies Chapter 2 of that book. My refutation of the Westcott-Hort critical theory occupies Chapters 3 &amp; 4. Chapter 6 takes up four</w:t>
      </w:r>
      <w:r>
        <w:t xml:space="preserve"> </w:t>
      </w:r>
      <w:r>
        <w:t xml:space="preserve">“</w:t>
      </w:r>
      <w:r>
        <w:t xml:space="preserve">possible objections</w:t>
      </w:r>
      <w:r>
        <w:t xml:space="preserve">”</w:t>
      </w:r>
      <w:r>
        <w:t xml:space="preserve">: 1. Are not the oldest MSS the best? 2. Why are there no early</w:t>
      </w:r>
      <w:r>
        <w:t xml:space="preserve"> </w:t>
      </w:r>
      <w:r>
        <w:t xml:space="preserve">“</w:t>
      </w:r>
      <w:r>
        <w:t xml:space="preserve">Byzantine</w:t>
      </w:r>
      <w:r>
        <w:t xml:space="preserve">”</w:t>
      </w:r>
      <w:r>
        <w:t xml:space="preserve"> </w:t>
      </w:r>
      <w:r>
        <w:t xml:space="preserve">MSS? 3.</w:t>
      </w:r>
      <w:r>
        <w:t xml:space="preserve"> </w:t>
      </w:r>
      <w:r>
        <w:t xml:space="preserve">“</w:t>
      </w:r>
      <w:r>
        <w:t xml:space="preserve">But there is no evidence of the Byzantine</w:t>
      </w:r>
      <w:r>
        <w:t xml:space="preserve"> </w:t>
      </w:r>
      <w:r>
        <w:rPr>
          <w:bCs/>
          <w:b/>
        </w:rPr>
        <w:t xml:space="preserve">Text</w:t>
      </w:r>
      <w:r>
        <w:t xml:space="preserve"> </w:t>
      </w:r>
      <w:r>
        <w:t xml:space="preserve">in the early centuries</w:t>
      </w:r>
      <w:r>
        <w:t xml:space="preserve">”</w:t>
      </w:r>
      <w:r>
        <w:t xml:space="preserve"> </w:t>
      </w:r>
      <w:r>
        <w:t xml:space="preserve">4. Should not witnesses be weighed rather than counted? I direct the interested reader to those discussions.</w:t>
      </w:r>
    </w:p>
  </w:footnote>
  <w:footnote w:id="188">
    <w:p>
      <w:pPr>
        <w:pStyle w:val="FootnoteText"/>
      </w:pPr>
      <w:r>
        <w:rPr>
          <w:rStyle w:val="FootnoteReference"/>
        </w:rPr>
        <w:footnoteRef/>
      </w:r>
      <w:r>
        <w:t xml:space="preserve"> </w:t>
      </w:r>
      <w:r>
        <w:t xml:space="preserve">And God used mainly the Eastern Orthodox Churches to preserve the NT Text down through the centuries—they have always used a Text that was an adequate representation of the Original, for all practical purposes. Also, among the families of Lectionary MSS, in terms of the number of representatives, Family 35 is the second largest, and it was used in the very first printed edition, the da Sabbio edition of 1539.</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image" Id="rId165" Target="media/rId165.jp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2026-07-12T23:08:51Z</dcterms:created>
  <dcterms:modified xsi:type="dcterms:W3CDTF">2026-07-12T23:08:51Z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