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terapętyczną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It thus appears that the “Western” and “Byzantine” readings have earlier attestation than does the “Alexandrian”. Yet if “which” was caused by “who”, then the latter must be older. The reading “who” is admittedly the most difficult, so much so that to apply the “harder reading” canon in the face of an easy transcriptional explanation (the accidental omission of the two strokes of the pen) for the difficult reading seems unreasonable. As Burgon so well put it:</w:t>
      </w:r>
    </w:p>
    <w:p>
      <w:pPr>
        <w:pStyle w:val="FootnoteBlockText"/>
      </w:pPr>
      <w:r>
        <w:t xml:space="preserve">I trust we are at least agreed that the maxim “</w:t>
      </w:r>
      <w:r>
        <w:rPr>
          <w:i/>
          <w:iCs/>
        </w:rPr>
        <w:t xml:space="preserve">proclivi lectioni praestat ardua,</w:t>
      </w:r>
      <w:r>
        <w:t xml:space="preserve">” does not enunciate so foolish a proposition as that in choosing between two or more conflicting readings, we are to prefer</w:t>
      </w:r>
      <w:r>
        <w:t xml:space="preserve"> </w:t>
      </w:r>
      <w:r>
        <w:rPr>
          <w:b/>
          <w:bCs/>
        </w:rPr>
        <w:t xml:space="preserve">that</w:t>
      </w:r>
      <w:r>
        <w:t xml:space="preserve"> </w:t>
      </w:r>
      <w:r>
        <w:t xml:space="preserve">one which has the feeblest external attestation, — provided it be but in itself almost unintelligible? (</w:t>
      </w:r>
      <w:r>
        <w:rPr>
          <w:i/>
          <w:iCs/>
        </w:rPr>
        <w:t xml:space="preserve">Ibid.</w:t>
      </w:r>
      <w:r>
        <w:t xml:space="preserve">, p. 497).</w:t>
      </w:r>
    </w:p>
    <w:p>
      <w:pPr>
        <w:pStyle w:val="FootnoteText"/>
      </w:pPr>
      <w:r>
        <w:t xml:space="preserve">Whatever the intention of those editors who choose ‘who’, their text emasculates this strong statement of the deity of Jesus Christ, besides being a stupidity—what is a ‘mystery’ about any human male being manifested in flesh? All human beings have bodies. In the Greek Text the relative pronoun has no antecedent, so it is a grammatical ‘impossibility’.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2026-06-11T19:39:47Z</dcterms:created>
  <dcterms:modified xsi:type="dcterms:W3CDTF">2026-06-11T19:39:47Z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