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4"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pamiętnikach,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mówi dalej: „Tak jak nasz Pan również powiedział”</w:t>
      </w:r>
    </w:p>
    <w:p>
      <w:pPr>
        <w:pStyle w:val="BodyText"/>
      </w:pPr>
      <w:r>
        <w:t xml:space="preserve">Justin goes right on to say,</w:t>
      </w:r>
      <w:r>
        <w:t xml:space="preserve"> </w:t>
      </w:r>
      <w:r>
        <w:t xml:space="preserve">“</w:t>
      </w:r>
      <w:r>
        <w:t xml:space="preserve">Just as our Lord also said</w:t>
      </w:r>
      <w:r>
        <w:t xml:space="preserve">”</w:t>
      </w:r>
      <w:r>
        <w:t xml:space="preserve">, and quotes Luke 20,35, so evidently he considered Revelation to be authoritative. (While on the subject of Revelation, in 165 Melito, Bishop of Sardis, wrote a commentary on the book.)</w:t>
      </w:r>
    </w:p>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 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2026-01-06T11:00:09Z</dcterms:created>
  <dcterms:modified xsi:type="dcterms:W3CDTF">2026-01-06T11:00:09Z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