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8"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rękopisów, niezależnie od siebie. Skryba w rzeczywistości zastępuje jeden wariant czytania innym w około siedemdziesięciu miejscach, co pozwala wnioskować, że już w jego czasach w tych miejscach występowały odmiany.</w:t>
      </w:r>
      <w:r>
        <w:rPr>
          <w:rStyle w:val="FootnoteReference"/>
        </w:rPr>
        <w:footnoteReference w:id="146"/>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Papirus Bodmera to P</w:t>
      </w:r>
      <w:r>
        <w:rPr>
          <w:vertAlign w:val="superscript"/>
        </w:rPr>
        <w:t xml:space="preserve">66</w:t>
      </w:r>
      <w:r>
        <w:t xml:space="preserve">, a to, czego Kilpatrick nie wspomina, to fakt, że w tych 75 miejscach skryba na przemian stosował odczyty bizantyjskie i aleksandryjskie: czasami zaczynał od odczytu bizantyjskiego, a następnie zmieniał go na aleksandryjski, a czasami robił odwrotnie. Najwyraźniej miał przed sobą takie wzorce, co oznacza, że tekst bizantyjski istniał już w roku 200!</w:t>
      </w:r>
    </w:p>
    <w:p>
      <w:pPr>
        <w:pStyle w:val="BodyText"/>
      </w:pPr>
      <w:r>
        <w:t xml:space="preserve">The Bodmer papyrus is P66, and what Kilpatrick does not tell you is that in those 75 places the scribe was alternating between Byzantine and Alexandrian readings: sometimes he started with a Byzantine reading and then changed it to an Alexandrian and sometimes he did the opposite. He obviously had such exemplars before him, which means that the Byzantine Text was already in existence in the year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G. Zuntz also recognized all of this. “Modern criticism stops before the barrier of the second century, the age, so it seems, of unbounded liberties with the text”.1</w:t>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dodaje:</w:t>
      </w:r>
    </w:p>
    <w:p>
      <w:pPr>
        <w:pStyle w:val="BodyText"/>
      </w:pPr>
      <w:r>
        <w:t xml:space="preserve">Kilpatrick goes on to argue that the creation of new variants ceased by about 200 AD because it became impossible to ‘sell’ them. He discusses some of Origen’s attempts at introducing a change into the text, and proceeds:</w:t>
      </w:r>
    </w:p>
    <w:bookmarkEnd w:id="148"/>
    <w:bookmarkEnd w:id="149"/>
    <w:bookmarkEnd w:id="1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2026-05-01T10:00:36Z</dcterms:created>
  <dcterms:modified xsi:type="dcterms:W3CDTF">2026-05-01T10:00:36Z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