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Override PartName="/word/media/rId15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64"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63"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21"/>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53"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40"/>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1"/>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2"/>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3"/>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4"/>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5"/>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6"/>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7"/>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8"/>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9"/>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50"/>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51"/>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52"/>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
          <w:bCs/>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53"/>
    <w:bookmarkStart w:id="162"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
          <w:iCs/>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55" name="Picture"/>
            <a:graphic>
              <a:graphicData uri="http://schemas.openxmlformats.org/drawingml/2006/picture">
                <pic:pic>
                  <pic:nvPicPr>
                    <pic:cNvPr descr="images/Rysunek_A.jpg" id="156" name="Picture"/>
                    <pic:cNvPicPr>
                      <a:picLocks noChangeArrowheads="1" noChangeAspect="1"/>
                    </pic:cNvPicPr>
                  </pic:nvPicPr>
                  <pic:blipFill>
                    <a:blip r:embed="rId154"/>
                    <a:stretch>
                      <a:fillRect/>
                    </a:stretch>
                  </pic:blipFill>
                  <pic:spPr bwMode="auto">
                    <a:xfrm>
                      <a:off x="0" y="0"/>
                      <a:ext cx="5334000" cy="3390972"/>
                    </a:xfrm>
                    <a:prstGeom prst="rect">
                      <a:avLst/>
                    </a:prstGeom>
                    <a:noFill/>
                    <a:ln w="9525">
                      <a:noFill/>
                      <a:headEnd/>
                      <a:tailEnd/>
                    </a:ln>
                  </pic:spPr>
                </pic:pic>
              </a:graphicData>
            </a:graphic>
          </wp:inline>
        </w:drawing>
      </w:r>
      <w:r>
        <w:br/>
      </w:r>
      <w:r>
        <w:rPr>
          <w:b/>
          <w:bCs/>
        </w:rPr>
        <w:t xml:space="preserve">Rysunek A</w:t>
      </w:r>
      <w:r>
        <w:rPr>
          <w:rStyle w:val="FootnoteReference"/>
        </w:rPr>
        <w:footnoteReference w:id="157"/>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58"/>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
          <w:iCs/>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59"/>
      </w:r>
      <w:r>
        <w:t xml:space="preserve"> </w:t>
      </w:r>
      <w:r>
        <w:t xml:space="preserve">Kiedy mówię, że Tekst Większościowy dominuje strumień, mam na myśli to, że jest on reprezentowany w około 95% manuskryptów.</w:t>
      </w:r>
      <w:r>
        <w:rPr>
          <w:rStyle w:val="FootnoteReference"/>
        </w:rPr>
        <w:footnoteReference w:id="160"/>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61"/>
      </w:r>
    </w:p>
    <w:bookmarkEnd w:id="162"/>
    <w:bookmarkEnd w:id="163"/>
    <w:bookmarkEnd w:id="1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t xml:space="preserve">Określenia</w:t>
      </w:r>
      <w:r>
        <w:t xml:space="preserve"> </w:t>
      </w:r>
      <w:r>
        <w:rPr>
          <w:i/>
          <w:iCs/>
        </w:rPr>
        <w:t xml:space="preserve">odczyt</w:t>
      </w:r>
      <w:r>
        <w:t xml:space="preserve"> </w:t>
      </w:r>
      <w:r>
        <w:t xml:space="preserve">oraz</w:t>
      </w:r>
      <w:r>
        <w:t xml:space="preserve"> </w:t>
      </w:r>
      <w:r>
        <w:rPr>
          <w:i/>
          <w:iCs/>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
          <w:iCs/>
        </w:rPr>
        <w:t xml:space="preserve">O naukowej polszczyźnie humanistycznej</w:t>
      </w:r>
      <w:r>
        <w:t xml:space="preserve">, Katowice 2025, s. 29.</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40">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1">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2">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3">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4">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5">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6">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7">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8">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9">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50">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51">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52">
    <w:p>
      <w:pPr>
        <w:pStyle w:val="FootnoteText"/>
      </w:pPr>
      <w:r>
        <w:rPr>
          <w:rStyle w:val="FootnoteReference"/>
        </w:rPr>
        <w:footnoteRef/>
      </w:r>
      <w:r>
        <w:t xml:space="preserve"> </w:t>
      </w:r>
      <w:r>
        <w:t xml:space="preserve">Zob. Burgon,</w:t>
      </w:r>
      <w:r>
        <w:t xml:space="preserve"> </w:t>
      </w:r>
      <w:r>
        <w:rPr>
          <w:i/>
          <w:iCs/>
        </w:rPr>
        <w:t xml:space="preserve">The Revision Revised</w:t>
      </w:r>
      <w:r>
        <w:t xml:space="preserve">, s. 323.</w:t>
      </w:r>
    </w:p>
  </w:footnote>
  <w:footnote w:id="157">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58">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
          <w:iCs/>
        </w:rPr>
        <w:t xml:space="preserve">The Identity of the New Testament Text IV</w:t>
      </w:r>
      <w:r>
        <w:t xml:space="preserve">, dostępnej na Amazon.com oraz na mojej stronie internetowej www.prunch.org.</w:t>
      </w:r>
    </w:p>
  </w:footnote>
  <w:footnote w:id="159">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
          <w:iCs/>
        </w:rPr>
        <w:t xml:space="preserve">W</w:t>
      </w:r>
      <w:r>
        <w:t xml:space="preserve">, czyli Waszyngtońskiego, przyp. tłum.] albo wirze P</w:t>
      </w:r>
      <w:r>
        <w:rPr>
          <w:vertAlign w:val="superscript"/>
        </w:rPr>
        <w:t xml:space="preserve">75</w:t>
      </w:r>
      <w:r>
        <w:t xml:space="preserve">/B [papirus 75 z kodeksu</w:t>
      </w:r>
      <w:r>
        <w:t xml:space="preserve"> </w:t>
      </w:r>
      <w:r>
        <w:rPr>
          <w:i/>
          <w:iCs/>
        </w:rPr>
        <w:t xml:space="preserve">B</w:t>
      </w:r>
      <w:r>
        <w:t xml:space="preserve">, czyli Watykańskiego, przyp. tłum.].</w:t>
      </w:r>
    </w:p>
  </w:footnote>
  <w:footnote w:id="160">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
          <w:bCs/>
        </w:rPr>
        <w:t xml:space="preserve">będą</w:t>
      </w:r>
      <w:r>
        <w:t xml:space="preserve"> </w:t>
      </w:r>
      <w:r>
        <w:t xml:space="preserve">błędami).</w:t>
      </w:r>
    </w:p>
  </w:footnote>
  <w:footnote w:id="161">
    <w:p>
      <w:pPr>
        <w:pStyle w:val="FootnoteText"/>
      </w:pPr>
      <w:r>
        <w:rPr>
          <w:rStyle w:val="FootnoteReference"/>
        </w:rPr>
        <w:footnoteRef/>
      </w:r>
      <w:r>
        <w:t xml:space="preserve"> </w:t>
      </w:r>
      <w:r>
        <w:t xml:space="preserve">I am not prepared to defend the precise figures used, they are</w:t>
      </w:r>
      <w:r>
        <w:t xml:space="preserve"> </w:t>
      </w:r>
      <w:r>
        <w:rPr>
          <w:b/>
          <w:bCs/>
        </w:rPr>
        <w:t xml:space="preserve">guesses</w:t>
      </w:r>
      <w:r>
        <w:t xml:space="preserve">, but I believe they represent a reasonable approximation to reality. I heartily agree with Colwell when he insists that we must “rigorously eliminate the singular reading” (“External Evidence and New Testament Criticism”,</w:t>
      </w:r>
      <w:r>
        <w:t xml:space="preserve"> </w:t>
      </w:r>
      <w:r>
        <w:rPr>
          <w:i/>
          <w:iCs/>
        </w:rPr>
        <w:t xml:space="preserve">Studies in the History of the Text of the New Testament</w:t>
      </w:r>
      <w:r>
        <w:t xml:space="preserve">, ed. B.L. Daniels and M.J. Suggs [Salt Lake City: University of Utah Press, 1967], p. 8) on the altogether reasonable assumption (it seems to me) that a solitary witness against the world cannot possibly be right.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image" Id="rId154" Target="media/rId154.jp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2026-05-23T17:18:40Z</dcterms:created>
  <dcterms:modified xsi:type="dcterms:W3CDTF">2026-05-23T17:18:40Z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