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6"/>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jego główne dzieło</w:t>
      </w:r>
      <w:r>
        <w:t xml:space="preserve"> </w:t>
      </w:r>
      <w:r>
        <w:rPr>
          <w:iCs/>
          <w:i/>
        </w:rPr>
        <w:t xml:space="preserve">Przeciw heretykom</w:t>
      </w:r>
      <w:r>
        <w:rPr>
          <w:rStyle w:val="FootnoteReference"/>
        </w:rPr>
        <w:footnoteReference w:id="11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0"/>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58"/>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naturalny proces doprowadził do powstania linii przekazywania.</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opracowaniem krytycznym, nie powstała później niż Autografy wskutek recenzji.</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Ksiega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dla kolejnych czterech (4), w miarę kontynuowania porównywania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iCs/>
          <w:i/>
          <w:bCs/>
          <w:b/>
        </w:rPr>
        <w:t xml:space="preserve">wielkość</w:t>
      </w:r>
      <w:r>
        <w:t xml:space="preserve"> </w:t>
      </w:r>
      <w:r>
        <w:t xml:space="preserve">(liczbę przedstawicieli),</w:t>
      </w:r>
      <w:r>
        <w:t xml:space="preserve"> </w:t>
      </w:r>
      <w:r>
        <w:rPr>
          <w:iCs/>
          <w:i/>
          <w:bCs/>
          <w:b/>
        </w:rPr>
        <w:t xml:space="preserve">niezależność</w:t>
      </w:r>
      <w:r>
        <w:t xml:space="preserve"> </w:t>
      </w:r>
      <w:r>
        <w:t xml:space="preserve">(można wykazać, że jest ona niezależna od wszystkich innych linii przekazu),</w:t>
      </w:r>
      <w:r>
        <w:t xml:space="preserve"> </w:t>
      </w:r>
      <w:r>
        <w:rPr>
          <w:iCs/>
          <w:i/>
          <w:bCs/>
          <w:b/>
        </w:rPr>
        <w:t xml:space="preserve">wiek</w:t>
      </w:r>
      <w:r>
        <w:t xml:space="preserve"> </w:t>
      </w:r>
      <w:r>
        <w:t xml:space="preserve">(sięga co najmniej III wieku),</w:t>
      </w:r>
      <w:r>
        <w:t xml:space="preserve"> </w:t>
      </w:r>
      <w:r>
        <w:rPr>
          <w:iCs/>
          <w:i/>
          <w:bCs/>
          <w:b/>
        </w:rPr>
        <w:t xml:space="preserve">rozmieszczenie geograficzne</w:t>
      </w:r>
      <w:r>
        <w:t xml:space="preserve"> </w:t>
      </w:r>
      <w:r>
        <w:t xml:space="preserve">(na całym obszarze basenu Morza Śródziemnego),</w:t>
      </w:r>
      <w:r>
        <w:t xml:space="preserve"> </w:t>
      </w:r>
      <w:r>
        <w:rPr>
          <w:iCs/>
          <w:i/>
          <w:bCs/>
          <w:b/>
        </w:rPr>
        <w:t xml:space="preserve">profil</w:t>
      </w:r>
      <w:r>
        <w:t xml:space="preserve"> </w:t>
      </w:r>
      <w:r>
        <w:t xml:space="preserve">(ustalony empirycznie),</w:t>
      </w:r>
      <w:r>
        <w:t xml:space="preserve"> </w:t>
      </w:r>
      <w:r>
        <w:rPr>
          <w:iCs/>
          <w:i/>
          <w:bCs/>
          <w:b/>
        </w:rPr>
        <w:t xml:space="preserve">staranność</w:t>
      </w:r>
      <w:r>
        <w:t xml:space="preserve"> </w:t>
      </w:r>
      <w:r>
        <w:t xml:space="preserve">(kopistów) oraz</w:t>
      </w:r>
      <w:r>
        <w:t xml:space="preserve"> </w:t>
      </w:r>
      <w:r>
        <w:rPr>
          <w:iCs/>
          <w:i/>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201" w:name="część-ii-najlepsza-linia-przekazywania"/>
    <w:p>
      <w:pPr>
        <w:pStyle w:val="Heading1"/>
      </w:pPr>
      <w:r>
        <w:t xml:space="preserve">CZĘŚĆ II: Najlepsza linia przekazywania</w:t>
      </w:r>
    </w:p>
    <w:bookmarkStart w:id="200" w:name="czym-właściwie-jest-rodzina-35"/>
    <w:p>
      <w:pPr>
        <w:pStyle w:val="Heading2"/>
      </w:pPr>
      <w:r>
        <w:t xml:space="preserve">Czym właściwie jest Rodzina 35?</w:t>
      </w:r>
    </w:p>
    <w:p>
      <w:pPr>
        <w:pStyle w:val="FirstParagraph"/>
      </w:pPr>
      <w:r>
        <w:t xml:space="preserve">Mogę sobie dobrze wyobrazić, że wielu z moich czytelników słyszy o „Rodzinie 35” po raz pierwszy. Termin ten odnosi się do linii przekazu w ramach szerokiego nurtu manuskryptów „bizantyjskich” i to ja nadałem mu tę nazwę. Jak narazie, o ile mi wiadomo, środowisko akademickie całkowicie ignoruje moją pracę, jak zresztą musi, aby być pewnym, ponieważ obnażam fałszywe informacje, które oni rozpowszechniają od pokoleń. Zacznę od odrobiny najnowszej historii.</w:t>
      </w:r>
    </w:p>
    <w:p>
      <w:pPr>
        <w:pStyle w:val="BodyText"/>
      </w:pPr>
      <w:r>
        <w:t xml:space="preserve">Kiedy w 1977 roku wydawnictwo Thomas Nelson Inc. opublikowało moją pierwszą książkę,</w:t>
      </w:r>
      <w:r>
        <w:t xml:space="preserve"> </w:t>
      </w:r>
      <w:r>
        <w:rPr>
          <w:iCs/>
          <w:i/>
        </w:rPr>
        <w:t xml:space="preserve">The Identity of the New Testament Text</w:t>
      </w:r>
      <w:r>
        <w:t xml:space="preserve">, najlepszym drukowanym greckim Nowym Testamentem, jaki był wówczas łatwo dostępny, był</w:t>
      </w:r>
      <w:r>
        <w:t xml:space="preserve"> </w:t>
      </w:r>
      <w:r>
        <w:rPr>
          <w:iCs/>
          <w:i/>
        </w:rPr>
        <w:t xml:space="preserve">Textus Receptus</w:t>
      </w:r>
      <w:r>
        <w:t xml:space="preserve">, czyli Tekst Przyjęty — był to grecki Tekst z czasów reformacji protestanckiej. John William Burgon, dziekan z Chichester, nazwał go „Tekstem Tradycyjnym”. Chociaż Zane C. Hodges i Arthur L. Farstad rozpoczęli prace nad</w:t>
      </w:r>
      <w:r>
        <w:t xml:space="preserve"> </w:t>
      </w:r>
      <w:r>
        <w:rPr>
          <w:iCs/>
          <w:i/>
        </w:rPr>
        <w:t xml:space="preserve">Tekstem Większościowym</w:t>
      </w:r>
      <w:r>
        <w:t xml:space="preserve"> </w:t>
      </w:r>
      <w:r>
        <w:t xml:space="preserve">(Majority Text), opierając się na dorobku Hermanna von Sodena</w:t>
      </w:r>
      <w:r>
        <w:rPr>
          <w:rStyle w:val="FootnoteReference"/>
        </w:rPr>
        <w:footnoteReference w:id="191"/>
      </w:r>
      <w:r>
        <w:t xml:space="preserve">, to został on opublikowany dopiero w 1982 roku. W 1977 roku wykazałem, że teoria krytyczna Westcotta i Horta była fałszywa w każdym punkcie, a dowód ten, na ile mi wiadomo, nie został od tamtej pory nigdy obalony. Jednak jeśli chodzi o zaproponowanie alternatywy, ograniczałem się do ogólników i siedmiu „Uwag o Prawdzie” Burgona</w:t>
      </w:r>
      <w:r>
        <w:rPr>
          <w:rStyle w:val="FootnoteReference"/>
        </w:rPr>
        <w:footnoteReference w:id="192"/>
      </w:r>
      <w:r>
        <w:t xml:space="preserve">. Wydawnictwo Thomas Nelson wydało moją książkę w co najmniej trzech kolejnych nakładach, w tym z pewnymi poprawkami, z których ostatni ukazał się w 1990 roku. Nawet wtedy nie miałem nic lepszego do zaoferowania.</w:t>
      </w:r>
    </w:p>
    <w:p>
      <w:pPr>
        <w:pStyle w:val="BodyText"/>
      </w:pPr>
      <w:r>
        <w:t xml:space="preserve">Jednakże w 1988 roku pomogłem założyć Towarzystwo Tekstu Większościowego (Majority Text Society) wraz z Zane’em Hodgesem, Artem Farstadem i Frankiem Carmichalem, i zostałem jego pierwszym prezesem. W tym czasie zacząłem poważnie zajmować się teorią Tekstu Większościowego, a w ciągu następnej dekady opracowałem coś, czemu miałem przyjemność nadać nazwę „teoria Tekstu Oryginalnego”. Wykorzystałem ją jako punkt wyjścia do mojego obecnego podejścia do krytyki tekstu Nowego Testamentu (które możemy nazwać Teorią priorytetu Rodziny 35). Oto ona:</w:t>
      </w:r>
    </w:p>
    <w:p>
      <w:pPr>
        <w:numPr>
          <w:ilvl w:val="0"/>
          <w:numId w:val="1008"/>
        </w:numPr>
      </w:pPr>
      <w:r>
        <w:t xml:space="preserve">Po pierwsze, teoria tekstu oryginalnego dotyczy identyfikacji dokładnych, oryginalnych sformułowań pism Nowego Testamentu.</w:t>
      </w:r>
      <w:r>
        <w:rPr>
          <w:rStyle w:val="FootnoteReference"/>
        </w:rPr>
        <w:footnoteReference w:id="193"/>
      </w:r>
    </w:p>
    <w:p>
      <w:pPr>
        <w:numPr>
          <w:ilvl w:val="0"/>
          <w:numId w:val="1008"/>
        </w:numPr>
      </w:pPr>
      <w:r>
        <w:t xml:space="preserve">Po drugie, kryteria muszą być biblijne, obiektywne i rozsądne.</w:t>
      </w:r>
      <w:r>
        <w:rPr>
          <w:rStyle w:val="FootnoteReference"/>
        </w:rPr>
        <w:footnoteReference w:id="194"/>
      </w:r>
    </w:p>
    <w:p>
      <w:pPr>
        <w:numPr>
          <w:ilvl w:val="0"/>
          <w:numId w:val="1008"/>
        </w:numPr>
      </w:pPr>
      <w:r>
        <w:t xml:space="preserve">Po trzecie, 90% poświadczenie będzie uznawane za niepodważalne, a 80% niemalże niepodważalne.</w:t>
      </w:r>
      <w:r>
        <w:rPr>
          <w:rStyle w:val="FootnoteReference"/>
        </w:rPr>
        <w:footnoteReference w:id="195"/>
      </w:r>
    </w:p>
    <w:p>
      <w:pPr>
        <w:numPr>
          <w:ilvl w:val="0"/>
          <w:numId w:val="1008"/>
        </w:numPr>
      </w:pPr>
      <w:r>
        <w:t xml:space="preserve">Po czwarte, do gry wejdą „notatki prawdy” Burgona, zwłaszcza tam, gdzie poświadczenie spada poniżej 80%.</w:t>
      </w:r>
      <w:r>
        <w:rPr>
          <w:rStyle w:val="FootnoteReference"/>
        </w:rPr>
        <w:footnoteReference w:id="196"/>
      </w:r>
    </w:p>
    <w:p>
      <w:pPr>
        <w:numPr>
          <w:ilvl w:val="0"/>
          <w:numId w:val="1008"/>
        </w:numPr>
      </w:pPr>
      <w:r>
        <w:t xml:space="preserve">Po piąte, w przypadkach, gdy istnieją zestawienia umożliwiające empiryczne pogrupowanie manuskryptów na podstawie wspólnych mozaik odczytów, trzeba to zrobić. Grupy takie muszą być ocenione pod kątem ich wyników i mieć przypisane współczynniki wiarygodności. Przypuszczalną historię przekazywania Tekstu należy opracować w oparciu o wzajemne powiązania między takimi grupami.</w:t>
      </w:r>
      <w:r>
        <w:t xml:space="preserve"> </w:t>
      </w:r>
      <w:r>
        <w:rPr>
          <w:bCs/>
          <w:b/>
        </w:rPr>
        <w:t xml:space="preserve">Wykazane pogrupowania i relacje zastępują liczenie manuskryptów.</w:t>
      </w:r>
      <w:r>
        <w:rPr>
          <w:rStyle w:val="FootnoteReference"/>
        </w:rPr>
        <w:footnoteReference w:id="197"/>
      </w:r>
    </w:p>
    <w:p>
      <w:pPr>
        <w:numPr>
          <w:ilvl w:val="0"/>
          <w:numId w:val="1008"/>
        </w:numPr>
      </w:pPr>
      <w:r>
        <w:t xml:space="preserve">Po szóste, zakłada ona, że Stwórca istnieje i że przemówił do naszej rasy. Przyjmuje dorozumiany boski zamysł, by zachować Jego objawienie dla użytku kolejnych pokoleń, w tym naszego. Rozumie, że zarówno Bóg, jak i Szatan wykazują nieustanne, aktywne zainteresowanie losami Tekstu Nowego Testamentu – podchodzenie do krytyki tekstowej Nowego Testamentu bez należytego uwzględnienia tego zainteresowania jest działaniem nieodpowiedzialnym.</w:t>
      </w:r>
      <w:r>
        <w:rPr>
          <w:rStyle w:val="FootnoteReference"/>
        </w:rPr>
        <w:footnoteReference w:id="198"/>
      </w:r>
    </w:p>
    <w:p>
      <w:pPr>
        <w:numPr>
          <w:ilvl w:val="0"/>
          <w:numId w:val="1008"/>
        </w:numPr>
      </w:pPr>
      <w:r>
        <w:t xml:space="preserve">Po siódme, kładzie nacisk na to, że należy zawsze uwzględniać i oceniać założenia i motywy.</w:t>
      </w:r>
      <w:r>
        <w:rPr>
          <w:rStyle w:val="FootnoteReference"/>
        </w:rPr>
        <w:footnoteReference w:id="199"/>
      </w:r>
    </w:p>
    <w:p>
      <w:pPr>
        <w:pStyle w:val="FirstParagraph"/>
      </w:pPr>
      <w:r>
        <w:t xml:space="preserve">Używam terminu „punkt pośredni” (ang. steppingstone), ponieważ wciąż myślałem w kategoriach znacznej większości, a wynikało to z tego, że Rodzina 35 nie zwróciła jeszcze mojej uwagi (nadal ograniczałem się do ogólnikow). Jednak piąty z powyższych punktów pokazuje kierunek, w którym zmierzałem. Zwróć szczególną uwagę na ostatnie zdanie, które od samego początku było zapisane pogrubioną czcionką, a zwłaszcza na termin „</w:t>
      </w:r>
      <w:r>
        <w:rPr>
          <w:bCs/>
          <w:b/>
        </w:rPr>
        <w:t xml:space="preserve">wykazane</w:t>
      </w:r>
      <w:r>
        <w:t xml:space="preserve">”.[^1] Na przykład mój aparat krytyczny do Objawienia Jana przedstawia dowody według dziewięciu grup Hoskiera, a nie w postaci procentowego udziału manuskryptów.</w:t>
      </w:r>
    </w:p>
    <w:p>
      <w:pPr>
        <w:pStyle w:val="BodyText"/>
      </w:pPr>
      <w:r>
        <w:t xml:space="preserve">Nonetheless, in 2003, Wipf and Stock Publishers published</w:t>
      </w:r>
      <w:r>
        <w:t xml:space="preserve"> </w:t>
      </w:r>
      <w:r>
        <w:rPr>
          <w:iCs/>
          <w:i/>
        </w:rPr>
        <w:t xml:space="preserve">The Identity of the New Testament Text II</w:t>
      </w:r>
      <w:r>
        <w:t xml:space="preserve">, as an academic reprint. It contained further revision, but it still used Burgon’s</w:t>
      </w:r>
      <w:r>
        <w:t xml:space="preserve"> </w:t>
      </w:r>
      <w:r>
        <w:t xml:space="preserve">‘</w:t>
      </w:r>
      <w:r>
        <w:t xml:space="preserve">Notes of Truth</w:t>
      </w:r>
      <w:r>
        <w:t xml:space="preserve">’</w:t>
      </w:r>
      <w:r>
        <w:t xml:space="preserve">, although I introduced a Family 18, that I soon changed to Family 35. By 2002 I had become aware of Family 35, but my development of a theory surrounding it was still tentative and incomplete. By the time Wipf and Stock published</w:t>
      </w:r>
      <w:r>
        <w:t xml:space="preserve"> </w:t>
      </w:r>
      <w:r>
        <w:rPr>
          <w:iCs/>
          <w:i/>
        </w:rPr>
        <w:t xml:space="preserve">The Identity of the New Testament Text III</w:t>
      </w:r>
      <w:r>
        <w:t xml:space="preserve"> </w:t>
      </w:r>
      <w:r>
        <w:t xml:space="preserve">in 2012, I had done sufficient work on that theory to replace Burgon’s</w:t>
      </w:r>
      <w:r>
        <w:t xml:space="preserve"> </w:t>
      </w:r>
      <w:r>
        <w:t xml:space="preserve">‘</w:t>
      </w:r>
      <w:r>
        <w:t xml:space="preserve">Notes of Truth</w:t>
      </w:r>
      <w:r>
        <w:t xml:space="preserve">’</w:t>
      </w:r>
      <w:r>
        <w:t xml:space="preserve"> </w:t>
      </w:r>
      <w:r>
        <w:t xml:space="preserve">with it.</w:t>
      </w:r>
    </w:p>
    <w:p>
      <w:pPr>
        <w:pStyle w:val="BodyText"/>
      </w:pPr>
      <w:r>
        <w:t xml:space="preserve">Niemniej jednak w 2003 roku wydawnictwo Wipf and Stock Publishers opublikowało The Identity of the New Testament Text II jako wznowienie akademickie. Wydanie to zawierało dalsze poprawki, lecz nadal wykorzystywało „Notatki prawdy” Burgona, chociaż wprowadziłem Rodzinę 18, którą wkrótce zmieniłem na Rodzinę 35. Do 2002 roku zdałem sobie sprawę z istnienia Rodziny 35, jednak rozwijana przeze mnie teoria jej dotycząca była wciąż niepewna i niepełna. Do czasu, gdy Wipf and Stock opublikowało The Identity of the New Testament Text III w 2012 roku, wykonałem już wystarczająco dużo pracy nad tą teorią, aby zastąpić nią „Notatki prawdy” Burgona.</w:t>
      </w:r>
    </w:p>
    <w:bookmarkEnd w:id="200"/>
    <w:bookmarkEnd w:id="2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 Early Christian Fathers.</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Cs/>
          <w:b/>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3 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Cs/>
          <w:i/>
        </w:rPr>
        <w:t xml:space="preserve">W</w:t>
      </w:r>
      <w:r>
        <w:t xml:space="preserve">, czyli Waszyngtońskiego, przyp. tłum.] albo wirze P</w:t>
      </w:r>
      <w:r>
        <w:rPr>
          <w:vertAlign w:val="superscript"/>
        </w:rPr>
        <w:t xml:space="preserve">75</w:t>
      </w:r>
      <w:r>
        <w:t xml:space="preserve">/B [papirus 75 z kodeksu</w:t>
      </w:r>
      <w:r>
        <w:t xml:space="preserve"> </w:t>
      </w:r>
      <w:r>
        <w:rPr>
          <w:iCs/>
          <w:i/>
        </w:rPr>
        <w:t xml:space="preserve">B</w:t>
      </w:r>
      <w:r>
        <w:t xml:space="preserve">, czyli Watykańskiego,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Cs/>
          <w:b/>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w:t>
      </w:r>
      <w:r>
        <w:t xml:space="preserve"> </w:t>
      </w:r>
      <w:r>
        <w:t xml:space="preserve">‘</w:t>
      </w:r>
      <w:r>
        <w:t xml:space="preserve">h</w:t>
      </w:r>
      <w:r>
        <w:t xml:space="preserve">’</w:t>
      </w:r>
      <w:r>
        <w:t xml:space="preserve"> </w:t>
      </w:r>
      <w:r>
        <w:t xml:space="preserve">-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Cs/>
          <w:i/>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w:t>
      </w:r>
      <w:r>
        <w:t xml:space="preserve"> </w:t>
      </w:r>
      <w:r>
        <w:t xml:space="preserve">“</w:t>
      </w:r>
      <w:r>
        <w:t xml:space="preserve">która</w:t>
      </w:r>
      <w:r>
        <w:t xml:space="preserve">”</w:t>
      </w:r>
      <w:r>
        <w:t xml:space="preserve"> </w:t>
      </w:r>
      <w:r>
        <w:t xml:space="preserve">powstała z</w:t>
      </w:r>
      <w:r>
        <w:t xml:space="preserve"> </w:t>
      </w:r>
      <w:r>
        <w:t xml:space="preserve">“</w:t>
      </w:r>
      <w:r>
        <w:t xml:space="preserve">kto</w:t>
      </w:r>
      <w:r>
        <w:t xml:space="preserve">”</w:t>
      </w:r>
      <w:r>
        <w:t xml:space="preserve">, wówczas to drugie musi być starsze. Odczyt</w:t>
      </w:r>
      <w:r>
        <w:t xml:space="preserve"> </w:t>
      </w:r>
      <w:r>
        <w:t xml:space="preserve">“</w:t>
      </w:r>
      <w:r>
        <w:t xml:space="preserve">kto</w:t>
      </w:r>
      <w:r>
        <w:t xml:space="preserve">”</w:t>
      </w:r>
      <w:r>
        <w:t xml:space="preserve"> </w:t>
      </w:r>
      <w:r>
        <w:t xml:space="preserve">jest co prawda najtrudniejszy, do tego stopnia, że stosowanie zasady</w:t>
      </w:r>
      <w:r>
        <w:t xml:space="preserve"> </w:t>
      </w:r>
      <w:r>
        <w:t xml:space="preserve">“</w:t>
      </w:r>
      <w:r>
        <w:t xml:space="preserve">trudniejszego odczytu</w:t>
      </w:r>
      <w:r>
        <w:t xml:space="preserve">”</w:t>
      </w:r>
      <w:r>
        <w:t xml:space="preserve"> </w:t>
      </w:r>
      <w:r>
        <w:t xml:space="preserve">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rękopisów Nowego Testamentu w języku griesh</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kompletnego zestawienia 1 389 manuskryptów zawierających perykopę z Ewangelii Jana 7,53–8,11:</w:t>
      </w:r>
    </w:p>
    <w:p>
      <w:pPr>
        <w:pStyle w:val="BlockText"/>
      </w:pPr>
      <w:r>
        <w:t xml:space="preserve">Jednak wbrew wcześniejszym przypuszczeniom tego autora, szeroko zakrojona analiza manuskryptów PA [Pericope Adulterae, czyli fragment z Jan 7,53–8,11 - o kobiecie pochwyconej na cudzołóstwie, będący tematem licznych debat, przyp. tłum.] jednoznacznie wykazała,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zebranych danych autor niniejszego artykułu zmuszony jest zmienić swoje wcześniejsze założenia dotyczące rozwoju oraz odtworzenia/zachowania bizantyjskiej formy tekstowej, w tym sensie: chociaż sama transmisja tekstowa jest procesem, wydaje się, iż w większości przypadków linie transmisji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porównaniach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części. Moje obalenie teorii krytycznej Wetcotta i Horta zajmuje rozdziały 3 i 4. Rozdział 6 porusza cztery „możliwe zastrzeżenia”: 1. Czy najstarsze manuskrypty nie są najlepsze? 2. Dlaczego nie ma wczesnych manuskryptów „bizantyjskich”? 3. „Ale nie ma dowodów na istnienie</w:t>
      </w:r>
      <w:r>
        <w:t xml:space="preserve"> </w:t>
      </w:r>
      <w:r>
        <w:rPr>
          <w:bCs/>
          <w:b/>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 w:id="191">
    <w:p>
      <w:pPr>
        <w:pStyle w:val="FootnoteText"/>
      </w:pPr>
      <w:r>
        <w:rPr>
          <w:rStyle w:val="FootnoteReference"/>
        </w:rPr>
        <w:footnoteRef/>
      </w:r>
      <w:r>
        <w:t xml:space="preserve"> </w:t>
      </w:r>
      <w:r>
        <w:rPr>
          <w:iCs/>
          <w:i/>
        </w:rPr>
        <w:t xml:space="preserve">Die Schriften des Neuen Testaments in ihrer ältesten erreichbaren Textgestalt</w:t>
      </w:r>
      <w:r>
        <w:t xml:space="preserve"> </w:t>
      </w:r>
      <w:r>
        <w:t xml:space="preserve">[niem.</w:t>
      </w:r>
      <w:r>
        <w:t xml:space="preserve"> </w:t>
      </w:r>
      <w:r>
        <w:rPr>
          <w:iCs/>
          <w:i/>
        </w:rPr>
        <w:t xml:space="preserve">Pisma Nowego Testamentu w najstarszej dostępnej wersji tekstowej</w:t>
      </w:r>
      <w:r>
        <w:t xml:space="preserve">, przyp. tłum.] (część 1, Berlin: Wydawnictwo Alexandra Dunckera, 1902–1910, część 2, Getynga: Vandenhoeck i Ruprecht, 1913).</w:t>
      </w:r>
    </w:p>
  </w:footnote>
  <w:footnote w:id="192">
    <w:p>
      <w:pPr>
        <w:pStyle w:val="FootnoteText"/>
      </w:pPr>
      <w:r>
        <w:rPr>
          <w:rStyle w:val="FootnoteReference"/>
        </w:rPr>
        <w:footnoteRef/>
      </w:r>
      <w:r>
        <w:t xml:space="preserve"> </w:t>
      </w:r>
      <w:r>
        <w:t xml:space="preserve">Są to: 1. Starożytność, lub pierwotność; 2. Zgodność świadków, lub liczba; 3. Różnorodność dowodów, lub powszechność; 4. Poważanie, jakim cieszą się świadkowie, lub waga; 5. Ciągłość, lub nieprzerwana tradycja; 6. Dowody całych fragmentów, lub kontekst; 7. Rozważania wewnętrzne, lub sensowność. Burgon,</w:t>
      </w:r>
      <w:r>
        <w:t xml:space="preserve"> </w:t>
      </w:r>
      <w:r>
        <w:rPr>
          <w:iCs/>
          <w:i/>
        </w:rPr>
        <w:t xml:space="preserve">The Traditional Text</w:t>
      </w:r>
      <w:r>
        <w:t xml:space="preserve">, str. 29.</w:t>
      </w:r>
    </w:p>
  </w:footnote>
  <w:footnote w:id="193">
    <w:p>
      <w:pPr>
        <w:pStyle w:val="FootnoteText"/>
      </w:pPr>
      <w:r>
        <w:rPr>
          <w:rStyle w:val="FootnoteReference"/>
        </w:rPr>
        <w:footnoteRef/>
      </w:r>
      <w:r>
        <w:t xml:space="preserve"> </w:t>
      </w:r>
      <w:r>
        <w:t xml:space="preserve">W tym miejscu odrzucam zarzut, że oryginalne sformułowania są zagubione i przepadły.</w:t>
      </w:r>
    </w:p>
  </w:footnote>
  <w:footnote w:id="194">
    <w:p>
      <w:pPr>
        <w:pStyle w:val="FootnoteText"/>
      </w:pPr>
      <w:r>
        <w:rPr>
          <w:rStyle w:val="FootnoteReference"/>
        </w:rPr>
        <w:footnoteRef/>
      </w:r>
      <w:r>
        <w:t xml:space="preserve"> </w:t>
      </w:r>
      <w:r>
        <w:t xml:space="preserve">W tym miejscu odrzucam opieranie się na kryteriach subiektywnych oraz podejście czysto racjonalistyczne.</w:t>
      </w:r>
    </w:p>
  </w:footnote>
  <w:footnote w:id="195">
    <w:p>
      <w:pPr>
        <w:pStyle w:val="FootnoteText"/>
      </w:pPr>
      <w:r>
        <w:rPr>
          <w:rStyle w:val="FootnoteReference"/>
        </w:rPr>
        <w:footnoteRef/>
      </w:r>
      <w:r>
        <w:t xml:space="preserve"> </w:t>
      </w:r>
      <w:r>
        <w:t xml:space="preserve">Jest to obecnie wyparte przez postępy z punktu 5, choć 90% poświadczenie nadal trudno podważyć.</w:t>
      </w:r>
    </w:p>
  </w:footnote>
  <w:footnote w:id="196">
    <w:p>
      <w:pPr>
        <w:pStyle w:val="FootnoteText"/>
      </w:pPr>
      <w:r>
        <w:rPr>
          <w:rStyle w:val="FootnoteReference"/>
        </w:rPr>
        <w:footnoteRef/>
      </w:r>
      <w:r>
        <w:t xml:space="preserve"> </w:t>
      </w:r>
      <w:r>
        <w:t xml:space="preserve">Jest to obecnie wyparte przez postępy z punktu 5, choć jego „notatki” pozostają zasadniczo aktualne.</w:t>
      </w:r>
    </w:p>
  </w:footnote>
  <w:footnote w:id="197">
    <w:p>
      <w:pPr>
        <w:pStyle w:val="FootnoteText"/>
      </w:pPr>
      <w:r>
        <w:rPr>
          <w:rStyle w:val="FootnoteReference"/>
        </w:rPr>
        <w:footnoteRef/>
      </w:r>
      <w:r>
        <w:t xml:space="preserve"> </w:t>
      </w:r>
      <w:r>
        <w:t xml:space="preserve">Proszę zwrócić uwagę, że nie odnoszę się tu do jakiejkolwiek próby odtworzenia genealogii manuskryptów – zgadzam się z tymi badaczami, którzy uznali takie przedsięwzięcie za praktycznie niemożliwe (brakuje po prostu zbyt wielu ogniw). W rzeczywistości odnoszę się do odtworzenia genealogii odczytów, a tym samym historii przekazywania Tekstu. To ostatnie zdanie zawsze było podkreślane. Gdy wszystkie manuskrypty zostaną zestawione i pogrupowane empirycznie, będziemy mogli zrezygnować z liczenia ich.</w:t>
      </w:r>
    </w:p>
  </w:footnote>
  <w:footnote w:id="198">
    <w:p>
      <w:pPr>
        <w:pStyle w:val="FootnoteText"/>
      </w:pPr>
      <w:r>
        <w:rPr>
          <w:rStyle w:val="FootnoteReference"/>
        </w:rPr>
        <w:footnoteRef/>
      </w:r>
      <w:r>
        <w:t xml:space="preserve"> </w:t>
      </w:r>
      <w:r>
        <w:t xml:space="preserve">Ci, którzy wykluczają ponadnaturalność ze swojego modelu, skazują się na to, że nigdy nie dotrą do Prawdy – Bóg i Szatan istnieją, i obaj byli zaangażowani w przekazywanie Tekstu Nowego Testamentu.</w:t>
      </w:r>
    </w:p>
  </w:footnote>
  <w:footnote w:id="199">
    <w:p>
      <w:pPr>
        <w:pStyle w:val="FootnoteText"/>
      </w:pPr>
      <w:r>
        <w:rPr>
          <w:rStyle w:val="FootnoteReference"/>
        </w:rPr>
        <w:footnoteRef/>
      </w:r>
      <w:r>
        <w:t xml:space="preserve"> </w:t>
      </w:r>
      <w:r>
        <w:t xml:space="preserve">W każdym dochodzeniu naukowym należy dokonać rygorystycznego rozróżnienia między dowodami, założeniami a interpretacją. Ponieważ założenia mają ogromny wpływ na interpretację dowodów, wręcz ją kontrolują (dowody powinny być takie same dla wszystkich), każdy uczciwy badacz musi otwarcie przedstawić swoje założenia. Bez wątpienia zbyt wielkim oczekiwaniem jest, by grzesznicy ujawnili swoje motywy na światło dzienne (Ewangelia Jana 3,20).</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2026-08-08T11:58:03Z</dcterms:created>
  <dcterms:modified xsi:type="dcterms:W3CDTF">2026-08-08T11:58:03Z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