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ocenić na podstawie zachowanej literatury, nie wzbudzała prawie żadnego zainteresowania. Nie ma dowodów na to, by generalnie zwracano uwagę na wybór do przepisywania egzemplarzy, które najbardziej pretendowały do miana autentycznych, jeśli rzeczywiście dysponowano niezbędną wiedzą i umiejętnościami.</w:t>
      </w:r>
    </w:p>
    <w:p>
      <w:pPr>
        <w:pStyle w:val="FirstParagraph"/>
      </w:pPr>
      <w:r>
        <w:t xml:space="preserve">Textual purity, as far as can be judged from the extant literature, attracted hardly any interest. There is no evidence to show that care was generally taken to choose out for transcription the exemplars having the highest claims to be regarded as authentic, if indeed the requisite knowledge and skill were forthcoming.</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2025-11-08T09:37:35Z</dcterms:created>
  <dcterms:modified xsi:type="dcterms:W3CDTF">2025-11-08T09:37:35Z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