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34" w:name="część-i-dowody-historyczne"/>
    <w:p>
      <w:pPr>
        <w:pStyle w:val="Heading1"/>
      </w:pPr>
      <w:r>
        <w:t xml:space="preserve">CZĘŚĆ I: Dowody Historyczne</w:t>
      </w:r>
    </w:p>
    <w:bookmarkStart w:id="5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49"/>
      </w:r>
      <w:r>
        <w:t xml:space="preserve">. Ewolucjoniści twierdzą, że granit krystalizował się przez 300 milionów lat, ale w granicie występują „pierścienie polonowe” [ang. Polonium haloes, przyp. tłum.]</w:t>
      </w:r>
      <w:r>
        <w:rPr>
          <w:rStyle w:val="FootnoteReference"/>
        </w:rPr>
        <w:footnoteReference w:id="5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3"/>
    <w:bookmarkStart w:id="75" w:name="wprowadzenie"/>
    <w:p>
      <w:pPr>
        <w:pStyle w:val="Heading2"/>
      </w:pPr>
      <w:r>
        <w:t xml:space="preserve">Wprowadzenie</w:t>
      </w:r>
    </w:p>
    <w:bookmarkStart w:id="69" w:name="natchnienie"/>
    <w:p>
      <w:pPr>
        <w:pStyle w:val="Heading3"/>
      </w:pPr>
      <w:r>
        <w:t xml:space="preserve">Natchnienie</w:t>
      </w:r>
    </w:p>
    <w:p>
      <w:pPr>
        <w:pStyle w:val="FirstParagraph"/>
      </w:pPr>
      <w:r>
        <w:t xml:space="preserve">Gdy piszę książkę</w:t>
      </w:r>
      <w:r>
        <w:rPr>
          <w:rStyle w:val="FootnoteReference"/>
        </w:rPr>
        <w:footnoteReference w:id="5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8"/>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6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1"/>
      </w:r>
      <w:r>
        <w:t xml:space="preserve"> </w:t>
      </w:r>
      <w:r>
        <w:t xml:space="preserve">Ewangelii Chrystusa</w:t>
      </w:r>
      <w:r>
        <w:rPr>
          <w:rStyle w:val="FootnoteReference"/>
        </w:rPr>
        <w:footnoteReference w:id="62"/>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9"/>
    <w:bookmarkStart w:id="7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7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1"/>
    <w:bookmarkStart w:id="7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4"/>
    <w:bookmarkEnd w:id="75"/>
    <w:bookmarkStart w:id="133"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8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3"/>
    <w:bookmarkStart w:id="111" w:name="X2567adac6f25933c916ef36242b5d7814bc2aed"/>
    <w:p>
      <w:pPr>
        <w:pStyle w:val="Heading3"/>
      </w:pPr>
      <w:r>
        <w:t xml:space="preserve">Wczesne Rozpoznanie</w:t>
      </w:r>
      <w:r>
        <w:t xml:space="preserve"> </w:t>
      </w:r>
      <w:r>
        <w:rPr>
          <w:rStyle w:val="FootnoteReference"/>
        </w:rPr>
        <w:footnoteReference w:id="8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6"/>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7"/>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8"/>
      </w:r>
      <w:r>
        <w:t xml:space="preserve"> </w:t>
      </w:r>
      <w:r>
        <w:t xml:space="preserve">tak jak ci, którzy stali się naocznymi świadkami, od początku, i słudzy Słowa dostarczyli nam je,</w:t>
      </w:r>
      <w:r>
        <w:rPr>
          <w:rStyle w:val="FootnoteReference"/>
        </w:rPr>
        <w:footnoteReference w:id="89"/>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90"/>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3"/>
      </w:r>
    </w:p>
    <w:p>
      <w:pPr>
        <w:pStyle w:val="BodyText"/>
      </w:pPr>
      <w:r>
        <w:t xml:space="preserve">Autor, kimkolwiek był, wyraźnie przypisuje boskie autorstwo temu cytatowi, który wydaje się pochodzić z 2 Listu Piotra 3,8.</w:t>
      </w:r>
      <w:r>
        <w:rPr>
          <w:rStyle w:val="FootnoteReference"/>
        </w:rPr>
        <w:footnoteReference w:id="9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9"/>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0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1"/>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5"/>
      </w:r>
      <w:r>
        <w:t xml:space="preserve">. Podobnie traktuje on Ewangelię Mateusza 19,9 lub Ewangelię Marka 10,11 w rozdziale 33.</w:t>
      </w:r>
    </w:p>
    <w:p>
      <w:pPr>
        <w:pStyle w:val="BodyText"/>
      </w:pPr>
      <w:r>
        <w:t xml:space="preserve">Teofil, biskup Antiochii</w:t>
      </w:r>
      <w:r>
        <w:rPr>
          <w:rStyle w:val="FootnoteReference"/>
        </w:rPr>
        <w:footnoteReference w:id="10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7"/>
      </w:r>
    </w:p>
    <w:p>
      <w:pPr>
        <w:pStyle w:val="BodyText"/>
      </w:pPr>
      <w:r>
        <w:t xml:space="preserve">Dzieła Ireneusza (zm. 202 r.)</w:t>
      </w:r>
      <w:r>
        <w:rPr>
          <w:rStyle w:val="FootnoteReference"/>
        </w:rPr>
        <w:footnoteReference w:id="108"/>
      </w:r>
      <w:r>
        <w:t xml:space="preserve">, które zachowały się do dziś, jego główne dzieło</w:t>
      </w:r>
      <w:r>
        <w:t xml:space="preserve"> </w:t>
      </w:r>
      <w:r>
        <w:rPr>
          <w:i/>
          <w:iCs/>
        </w:rPr>
        <w:t xml:space="preserve">Przeciw heretykom</w:t>
      </w:r>
      <w:r>
        <w:rPr>
          <w:rStyle w:val="FootnoteReference"/>
        </w:rPr>
        <w:footnoteReference w:id="10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10"/>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1"/>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4"/>
      </w:r>
      <w:r>
        <w:t xml:space="preserve"> </w:t>
      </w:r>
      <w:r>
        <w:t xml:space="preserve">którzy nie uznają Jezusa Chrystusa jako przychodzącego w ciele</w:t>
      </w:r>
      <w:r>
        <w:rPr>
          <w:rStyle w:val="FootnoteReference"/>
        </w:rPr>
        <w:footnoteReference w:id="11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8"/>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20"/>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2"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chrześcijańskim.[^ch-roberts-4243-5458] Aland stwierdza: „Egipt wyróżniał się spośród innych prowincji Kościoła, na ile możemy to ocenić, wczesną dominacją gnostycyzmu”.[^k-i-b-aland-s-59] Dalej informuje nas, że „pod koniec II wieku” Kościół egipski był „w przeważającej mierze gnostycki”, a następnie dodaje: „Kopie istniejące w społecznościach gnostyckich nie mogły być używane, ponieważ podejrzewano, że były zniekształcone”.[^k-aland-1987-8ns138] 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ortodoksi.[^metzger-early-version-101]</w:t>
      </w:r>
    </w:p>
    <w:p>
      <w:pPr>
        <w:pStyle w:val="FirstParagraph"/>
      </w:pPr>
      <w:r>
        <w:rPr>
          <w:b/>
          <w:bCs/>
        </w:rPr>
        <w:t xml:space="preserve">4tym wieku</w:t>
      </w:r>
    </w:p>
    <w:p>
      <w:pPr>
        <w:pStyle w:val="BodyText"/>
      </w:pPr>
      <w:r>
        <w:t xml:space="preserve">But we need to pause to reflect on the implications of Aland’s statements. He was a champion of the Egyptian (‘Alexandrian’) text-type, and yet he himself informs us that up to AD 200 the textual tradition in Egypt could not be trusted and that by 200 the use of Greek had virtually died out there. So on what basis can he argue that the Egyptian text subsequently became the best? Aland also states that in the 2nd century, 3rd century, and into the 4th century Asia Minor continued to be “the heartland of the Church”. This means that the superior qualifications of the Aegean area to protect, transmit and attest the N.T. Text carry over into the 4th century! It happens that Hort, Metzger and Aland (along with many others) have linked the “Byzantine” text-type to Lucian of Antioch, who died in 311. Now really, wouldn’t a text produced by a leader in “the heartland of the Church” be better than whatever evolved in Egypt? Of course I ask the above question only to point out their inconsistency. The ‘Byzantine’ text-type existed long before Lucian.</w:t>
      </w:r>
    </w:p>
    <w:p>
      <w:pPr>
        <w:pStyle w:val="BodyText"/>
      </w:pPr>
      <w:r>
        <w:rPr>
          <w:b/>
          <w:bCs/>
        </w:rPr>
        <w:t xml:space="preserve">Nastawienie wobec Tekstu</w:t>
      </w:r>
    </w:p>
    <w:p>
      <w:pPr>
        <w:pStyle w:val="BodyText"/>
      </w:pPr>
      <w:r>
        <w:t xml:space="preserve">[^ch-roberts-4243-5458] C.H. Roberts,</w:t>
      </w:r>
      <w:r>
        <w:t xml:space="preserve"> </w:t>
      </w:r>
      <w:r>
        <w:rPr>
          <w:i/>
          <w:iCs/>
        </w:rPr>
        <w:t xml:space="preserve">Manuscript, Society and Belief in Early Christian Egypt</w:t>
      </w:r>
      <w:r>
        <w:t xml:space="preserve"> </w:t>
      </w:r>
      <w:r>
        <w:t xml:space="preserve">(Londyn: Oxford University Press, 1979), s. 42–43, 54–58.</w:t>
      </w:r>
    </w:p>
    <w:p>
      <w:pPr>
        <w:pStyle w:val="BodyText"/>
      </w:pPr>
      <w:r>
        <w:t xml:space="preserve">[^k-i-b-aland-s-59] K. i B. Aland, s. 59.</w:t>
      </w:r>
    </w:p>
    <w:p>
      <w:pPr>
        <w:pStyle w:val="BodyText"/>
      </w:pPr>
      <w:r>
        <w:t xml:space="preserve">[^k-aland-1987-8ns138] K. Aland, „The Text of the Church?”,</w:t>
      </w:r>
      <w:r>
        <w:t xml:space="preserve"> </w:t>
      </w:r>
      <w:r>
        <w:rPr>
          <w:i/>
          <w:iCs/>
        </w:rPr>
        <w:t xml:space="preserve">Trinity Journal</w:t>
      </w:r>
      <w:r>
        <w:t xml:space="preserve">, 1987, 8NS:138.</w:t>
      </w:r>
    </w:p>
    <w:p>
      <w:pPr>
        <w:pStyle w:val="BodyText"/>
      </w:pPr>
      <w:r>
        <w:t xml:space="preserve">[^metzger-early-version-101] Metzger,</w:t>
      </w:r>
      <w:r>
        <w:t xml:space="preserve"> </w:t>
      </w:r>
      <w:r>
        <w:rPr>
          <w:i/>
          <w:iCs/>
        </w:rPr>
        <w:t xml:space="preserve">Early Versions</w:t>
      </w:r>
      <w:r>
        <w:t xml:space="preserve">, s. 101.</w:t>
      </w:r>
    </w:p>
    <w:bookmarkEnd w:id="132"/>
    <w:bookmarkEnd w:id="133"/>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5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4">
    <w:p>
      <w:pPr>
        <w:pStyle w:val="FootnoteText"/>
      </w:pPr>
      <w:r>
        <w:rPr>
          <w:rStyle w:val="FootnoteReference"/>
        </w:rPr>
        <w:footnoteRef/>
      </w:r>
      <w:r>
        <w:t xml:space="preserve"> </w:t>
      </w:r>
      <w:r>
        <w:t xml:space="preserve">Do tej pory opublikowałem osiem, plus Tekst Grecki.</w:t>
      </w:r>
    </w:p>
  </w:footnote>
  <w:footnote w:id="55">
    <w:p>
      <w:pPr>
        <w:pStyle w:val="FootnoteText"/>
      </w:pPr>
      <w:r>
        <w:rPr>
          <w:rStyle w:val="FootnoteReference"/>
        </w:rPr>
        <w:footnoteRef/>
      </w:r>
      <w:r>
        <w:t xml:space="preserve"> </w:t>
      </w:r>
      <w:r>
        <w:t xml:space="preserve">Odniosłem się już do 1 Kronik 16,15.</w:t>
      </w:r>
    </w:p>
  </w:footnote>
  <w:footnote w:id="5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7">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9">
    <w:p>
      <w:pPr>
        <w:pStyle w:val="FootnoteText"/>
      </w:pPr>
      <w:r>
        <w:rPr>
          <w:rStyle w:val="FootnoteReference"/>
        </w:rPr>
        <w:footnoteRef/>
      </w:r>
      <w:r>
        <w:t xml:space="preserve"> </w:t>
      </w:r>
      <w:r>
        <w:t xml:space="preserve">Dostęp do Pisma jest niezbędny do duchowego wzrostu i pracy.</w:t>
      </w:r>
    </w:p>
  </w:footnote>
  <w:footnote w:id="6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4">
    <w:p>
      <w:pPr>
        <w:pStyle w:val="FootnoteText"/>
      </w:pPr>
      <w:r>
        <w:rPr>
          <w:rStyle w:val="FootnoteReference"/>
        </w:rPr>
        <w:footnoteRef/>
      </w:r>
      <w:r>
        <w:t xml:space="preserve"> </w:t>
      </w:r>
      <w:r>
        <w:t xml:space="preserve">Bardzo niewiele rozdziałów zostało napisanych w języku aramejskim.</w:t>
      </w:r>
    </w:p>
  </w:footnote>
  <w:footnote w:id="65">
    <w:p>
      <w:pPr>
        <w:pStyle w:val="FootnoteText"/>
      </w:pPr>
      <w:r>
        <w:rPr>
          <w:rStyle w:val="FootnoteReference"/>
        </w:rPr>
        <w:footnoteRef/>
      </w:r>
      <w:r>
        <w:t xml:space="preserve"> </w:t>
      </w:r>
      <w:r>
        <w:t xml:space="preserve">Więc nie mamy tu do czynienia z nauką w sensie obiektywnym.</w:t>
      </w:r>
    </w:p>
  </w:footnote>
  <w:footnote w:id="6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7">
    <w:p>
      <w:pPr>
        <w:pStyle w:val="FootnoteText"/>
      </w:pPr>
      <w:r>
        <w:rPr>
          <w:rStyle w:val="FootnoteReference"/>
        </w:rPr>
        <w:footnoteRef/>
      </w:r>
      <w:r>
        <w:t xml:space="preserve"> </w:t>
      </w:r>
      <w:r>
        <w:t xml:space="preserve">Mowa o informacjach historycznych w Biblii, w porównaniu do proroctw. [przyp. tłum.]</w:t>
      </w:r>
    </w:p>
  </w:footnote>
  <w:footnote w:id="6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7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80">
    <w:p>
      <w:pPr>
        <w:pStyle w:val="FootnoteText"/>
      </w:pPr>
      <w:r>
        <w:rPr>
          <w:rStyle w:val="FootnoteReference"/>
        </w:rPr>
        <w:footnoteRef/>
      </w:r>
      <w:r>
        <w:t xml:space="preserve"> </w:t>
      </w:r>
      <w:r>
        <w:t xml:space="preserve">NKJV - Biblia, przekład New King James Version. [przyp. tłum.]</w:t>
      </w:r>
    </w:p>
  </w:footnote>
  <w:footnote w:id="8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9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5">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6">
    <w:p>
      <w:pPr>
        <w:pStyle w:val="FootnoteText"/>
      </w:pPr>
      <w:r>
        <w:rPr>
          <w:rStyle w:val="FootnoteReference"/>
        </w:rPr>
        <w:footnoteRef/>
      </w:r>
      <w:r>
        <w:t xml:space="preserve"> </w:t>
      </w:r>
      <w:r>
        <w:t xml:space="preserve">Francis Glimm, ponownie.</w:t>
      </w:r>
    </w:p>
  </w:footnote>
  <w:footnote w:id="97">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0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2">
    <w:p>
      <w:pPr>
        <w:pStyle w:val="FootnoteText"/>
      </w:pPr>
      <w:r>
        <w:rPr>
          <w:rStyle w:val="FootnoteReference"/>
        </w:rPr>
        <w:footnoteRef/>
      </w:r>
      <w:r>
        <w:t xml:space="preserve"> </w:t>
      </w:r>
      <w:r>
        <w:t xml:space="preserve">Roberts i Donaldson, ponownie.</w:t>
      </w:r>
    </w:p>
  </w:footnote>
  <w:footnote w:id="10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4">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5">
    <w:p>
      <w:pPr>
        <w:pStyle w:val="FootnoteText"/>
      </w:pPr>
      <w:r>
        <w:rPr>
          <w:rStyle w:val="FootnoteReference"/>
        </w:rPr>
        <w:footnoteRef/>
      </w:r>
      <w:r>
        <w:t xml:space="preserve"> </w:t>
      </w:r>
      <w:r>
        <w:t xml:space="preserve">Skorzystałem z tłumaczenia autorstwa C.C. Richardsona z książki Early Christian Fathers.</w:t>
      </w:r>
    </w:p>
  </w:footnote>
  <w:footnote w:id="10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9">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1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20">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1">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2026-03-27T04:47:01Z</dcterms:created>
  <dcterms:modified xsi:type="dcterms:W3CDTF">2026-03-27T04:47:01Z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