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Override PartName="/word/media/rId16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 wydawnictwa</w:t>
      </w:r>
      <w:r>
        <w:t xml:space="preserve"> </w:t>
      </w:r>
      <w:hyperlink r:id="rId21">
        <w:r>
          <w:rPr>
            <w:rStyle w:val="Hyperlink"/>
          </w:rPr>
          <w:t xml:space="preserve">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w:t>
      </w:r>
      <w:r>
        <w:t xml:space="preserve"> </w:t>
      </w:r>
      <w:r>
        <w:rPr>
          <w:iCs/>
          <w:i/>
        </w:rPr>
        <w:t xml:space="preserve">pro publico bono</w:t>
      </w:r>
      <w:r>
        <w:t xml:space="preserve">,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90" w:name="część-i-dowody-historyczne"/>
    <w:p>
      <w:pPr>
        <w:pStyle w:val="Heading1"/>
      </w:pPr>
      <w:r>
        <w:t xml:space="preserve">CZĘŚĆ I: Dowody historyczne</w:t>
      </w:r>
    </w:p>
    <w:bookmarkStart w:id="63"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 Ewolucjoniści twierdzą, że granit krystalizował się przez 300 milionów lat, ale w granicie występują „pierścienie polonowe” [ang. Polonium haloes, przyp. tłum.]</w:t>
      </w:r>
      <w:r>
        <w:rPr>
          <w:rStyle w:val="FootnoteReference"/>
        </w:rPr>
        <w:footnoteReference w:id="60"/>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1"/>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2"/>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3"/>
    <w:bookmarkStart w:id="85" w:name="wprowadzenie"/>
    <w:p>
      <w:pPr>
        <w:pStyle w:val="Heading2"/>
      </w:pPr>
      <w:r>
        <w:t xml:space="preserve">Wprowadzenie</w:t>
      </w:r>
    </w:p>
    <w:bookmarkStart w:id="79" w:name="natchnienie"/>
    <w:p>
      <w:pPr>
        <w:pStyle w:val="Heading3"/>
      </w:pPr>
      <w:r>
        <w:t xml:space="preserve">Natchnienie</w:t>
      </w:r>
    </w:p>
    <w:p>
      <w:pPr>
        <w:pStyle w:val="FirstParagraph"/>
      </w:pPr>
      <w:r>
        <w:t xml:space="preserve">Gdy piszę książkę</w:t>
      </w:r>
      <w:r>
        <w:rPr>
          <w:rStyle w:val="FootnoteReference"/>
        </w:rPr>
        <w:footnoteReference w:id="64"/>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5"/>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6"/>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7"/>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8"/>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69"/>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0"/>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1"/>
      </w:r>
      <w:r>
        <w:t xml:space="preserve"> </w:t>
      </w:r>
      <w:r>
        <w:t xml:space="preserve">Ewangelii Chrystusa</w:t>
      </w:r>
      <w:r>
        <w:rPr>
          <w:rStyle w:val="FootnoteReference"/>
        </w:rPr>
        <w:footnoteReference w:id="72"/>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3"/>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4"/>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5"/>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6"/>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7"/>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8"/>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79"/>
    <w:bookmarkStart w:id="81"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0"/>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1"/>
    <w:bookmarkStart w:id="84"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2"/>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3"/>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4"/>
    <w:bookmarkEnd w:id="85"/>
    <w:bookmarkStart w:id="186" w:name="historyczne-dowody-na-zachowanie-tekstu"/>
    <w:p>
      <w:pPr>
        <w:pStyle w:val="Heading2"/>
      </w:pPr>
      <w:r>
        <w:t xml:space="preserve">Historyczne dowody na zachowanie tekstu</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6"/>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3"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7"/>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8"/>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89"/>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0"/>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1"/>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2"/>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3"/>
    <w:bookmarkStart w:id="121" w:name="X2567adac6f25933c916ef36242b5d7814bc2aed"/>
    <w:p>
      <w:pPr>
        <w:pStyle w:val="Heading3"/>
      </w:pPr>
      <w:r>
        <w:t xml:space="preserve">Wczesne rozpoznanie</w:t>
      </w:r>
      <w:r>
        <w:t xml:space="preserve"> </w:t>
      </w:r>
      <w:r>
        <w:rPr>
          <w:rStyle w:val="FootnoteReference"/>
        </w:rPr>
        <w:footnoteReference w:id="94"/>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5"/>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6"/>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7"/>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8"/>
      </w:r>
      <w:r>
        <w:t xml:space="preserve"> </w:t>
      </w:r>
      <w:r>
        <w:t xml:space="preserve">tak jak ci, którzy stali się naocznymi świadkami, od początku, i słudzy Słowa dostarczyli nam je,</w:t>
      </w:r>
      <w:r>
        <w:rPr>
          <w:rStyle w:val="FootnoteReference"/>
        </w:rPr>
        <w:footnoteReference w:id="99"/>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0"/>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1"/>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2"/>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3"/>
      </w:r>
    </w:p>
    <w:p>
      <w:pPr>
        <w:pStyle w:val="BodyText"/>
      </w:pPr>
      <w:r>
        <w:t xml:space="preserve">Autor, kimkolwiek był, wyraźnie przypisuje boskie autorstwo temu cytatowi, który wydaje się pochodzić z 2 Listu Piotra 3,8.</w:t>
      </w:r>
      <w:r>
        <w:rPr>
          <w:rStyle w:val="FootnoteReference"/>
        </w:rPr>
        <w:footnoteReference w:id="104"/>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5"/>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6"/>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7"/>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8"/>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09"/>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0"/>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1"/>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2"/>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3"/>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4"/>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5"/>
      </w:r>
      <w:r>
        <w:t xml:space="preserve">. Podobnie traktuje on Ewangelię Mateusza 19,9 lub Ewangelię Marka 10,11 w rozdziale 33.</w:t>
      </w:r>
    </w:p>
    <w:p>
      <w:pPr>
        <w:pStyle w:val="BodyText"/>
      </w:pPr>
      <w:r>
        <w:t xml:space="preserve">Teofil, biskup Antiochii</w:t>
      </w:r>
      <w:r>
        <w:rPr>
          <w:rStyle w:val="FootnoteReference"/>
        </w:rPr>
        <w:footnoteReference w:id="116"/>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7"/>
      </w:r>
    </w:p>
    <w:p>
      <w:pPr>
        <w:pStyle w:val="BodyText"/>
      </w:pPr>
      <w:r>
        <w:t xml:space="preserve">Dzieła Ireneusza (zm. 202 r.)</w:t>
      </w:r>
      <w:r>
        <w:rPr>
          <w:rStyle w:val="FootnoteReference"/>
        </w:rPr>
        <w:footnoteReference w:id="118"/>
      </w:r>
      <w:r>
        <w:t xml:space="preserve">, które zachowały się do dziś, jego główne dzieło</w:t>
      </w:r>
      <w:r>
        <w:t xml:space="preserve"> </w:t>
      </w:r>
      <w:r>
        <w:rPr>
          <w:iCs/>
          <w:i/>
        </w:rPr>
        <w:t xml:space="preserve">Przeciw heretykom</w:t>
      </w:r>
      <w:r>
        <w:rPr>
          <w:rStyle w:val="FootnoteReference"/>
        </w:rPr>
        <w:footnoteReference w:id="119"/>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0"/>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1"/>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2"/>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3"/>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4"/>
      </w:r>
      <w:r>
        <w:t xml:space="preserve"> </w:t>
      </w:r>
      <w:r>
        <w:t xml:space="preserve">którzy nie uznają Jezusa Chrystusa jako przychodzącego w ciele</w:t>
      </w:r>
      <w:r>
        <w:rPr>
          <w:rStyle w:val="FootnoteReference"/>
        </w:rPr>
        <w:footnoteReference w:id="125"/>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6"/>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7"/>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8"/>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29"/>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0"/>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1"/>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rPr>
          <w:rStyle w:val="FootnoteReference"/>
        </w:rPr>
        <w:footnoteReference w:id="132"/>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49"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nastawienie do Tekstu.</w:t>
      </w:r>
    </w:p>
    <w:p>
      <w:pPr>
        <w:pStyle w:val="BodyText"/>
      </w:pPr>
      <w:r>
        <w:rPr>
          <w:iCs/>
          <w:i/>
        </w:rPr>
        <w:t xml:space="preserve">Dostęp do Autografów</w:t>
      </w:r>
    </w:p>
    <w:p>
      <w:pPr>
        <w:pStyle w:val="BodyText"/>
      </w:pPr>
      <w:r>
        <w:t xml:space="preserve">Kryterium to stosowano prawdopodobnie przez znacznie mniej niż sto lat (w tym czasie Autografy zostały prawdopodobnie zużyte do cna), ale ma ono ogromne znaczenie dla właściwego zrozumienia historii przekazywania Tekstu. Już w roku 100 musiało istnieć wiele kopii różnych ksiąg (niektórych więcej niż innych), a jednocześnie z pewnością nadal było możliwe, aby porównać kopię z oryginałem lub kopią gwarantowaną, gdyby pojawiły się jakieś wątpliwości.</w:t>
      </w:r>
      <w:r>
        <w:rPr>
          <w:rStyle w:val="FootnoteReference"/>
        </w:rPr>
        <w:footnoteReference w:id="136"/>
      </w:r>
      <w:r>
        <w:t xml:space="preserve"> </w:t>
      </w:r>
      <w:r>
        <w:t xml:space="preserve">Rzecz w tym, że istniał rosnący strumień wiernie wykonanych kopii, pochodzących od posiadaczy Autografów do reszty świata Chrześcijańskiego. W tych wczesnych latach twórcy kopii wiedzieli, że prawdziwe sformułowania mogą być zweryfikowane, co zniechęcało ich do swobodnego traktowania tekstu.</w:t>
      </w:r>
    </w:p>
    <w:p>
      <w:pPr>
        <w:pStyle w:val="BodyText"/>
      </w:pPr>
      <w:r>
        <w:t xml:space="preserve">Jednak odległość prawdopodobnie miałaby znaczenie – dla kogoś z północnej Afryki konsultowanie Autografu Listu do Efezjan byłoby kosztownym przedsięwzięciem, zarówno pod względem czasu, jak i pieniędzy. Uważam, że możemy rozsądnie wnioskować, iż ogólnie jakość kopii byłaby najwyższa w obszarze otaczającym Autograf i stopniowo pogarszałaby się wraz ze wzrostem odległości. Istotne bariery geograficzne nasilałyby tę tendencję.</w:t>
      </w:r>
    </w:p>
    <w:p>
      <w:pPr>
        <w:pStyle w:val="BodyText"/>
      </w:pPr>
      <w:r>
        <w:t xml:space="preserve">Kto więc trzymał Autografy? Jeśli chodzi o regiony, można bez wątpienia stwierdzić, że Azja Mniejsza miała ich dwanaście (Ewangelia Jana, List do Galacjan, List do Efezjan, List do Kolosan, 1 i 2 List do Tymoteusza, List do Filemona, 1 List Piotra, 1, 2 i 3 List Jana oraz Objawienie Jana), można bez wątpienia stwierdzić, że Grecja miała sześć (1 i 2 List do Koryntian, List do Filipian, 1 i 2 List do Tesaloniczan oraz List do Tytusa na Krecie), można bez wątpienia stwierdzić, że Rzym miał dwa (Ewangelia Marka i List do Rzymian) — co do pozostałych, Ewangelia Łukasza, Dzieje Apostolskie i 2 List Piotra były prawdopodobnie trzymane albo w Azji Mniejszej, albo w Rzymie. Ewangelia Mateusza i List Jakuba albo przez Azję Mniejszą, albo Palestynę. List do Hebrajczyków przez Rzym lub Palestynę, natomiast trudno jest stwierdzić nawet prawdopodobieństwo dla List Judy, całkiem możliwe, że był przechowywany w Azji Mniejszej. Biorąc Azję Mniejszą i Grecję łącznie, obszar Morza Egejskiego trzymał Autografy co najmniej osiemnastu (dwie trzecie całości) i być może aż dwadzieścia cztery z dwudziestu siedmiu ksiąg Nowego Testamentu. Rzym trzymał co najmniej dwie, a być może, że aż siedem. Palestyna mogła trzymać aż trzy (ale w 70 r. n.e. zostały one wysłane w celu bezpiecznego przechowania, całkiem możliwe, że do Antiochii). Aleksandria (Egipt) nie posiadała</w:t>
      </w:r>
      <w:r>
        <w:t xml:space="preserve"> </w:t>
      </w:r>
      <w:r>
        <w:rPr>
          <w:bCs/>
          <w:b/>
        </w:rPr>
        <w:t xml:space="preserve">żadnej</w:t>
      </w:r>
      <w:r>
        <w:t xml:space="preserve">.</w:t>
      </w:r>
    </w:p>
    <w:p>
      <w:pPr>
        <w:pStyle w:val="BodyText"/>
      </w:pPr>
      <w:r>
        <w:t xml:space="preserve">Region Morza Egejskiego zdecydowanie miał najlepszy start, a Aleksandria najgorszy – tekst w Egipcie mógł być co najwyżej z drugiej ręki. Na tej podstawie możemy rozsądnie założyć, iż w najwcześniejszym okresie przekazywania tekstu Nowego Testamentu najbardziej wiarygodne kopie krążyły w regionie, w którym znajdowały się autografy. Przywołując dyskusję Tertuliana powyżej, uważam, że możemy rozsądnie rozszerzyć ten wniosek na rok 200 n.e. i kolejne lata. Tak więc w roku 200 ktoś szukający najlepszego tekstu Nowego Testamentu, prawdopodobnie udałby się do regionu Morza Egejskiego, z pewnością nie do Egiptu.</w:t>
      </w:r>
      <w:r>
        <w:t xml:space="preserve"> </w:t>
      </w:r>
      <w:r>
        <w:rPr>
          <w:rStyle w:val="FootnoteReference"/>
        </w:rPr>
        <w:footnoteReference w:id="137"/>
      </w:r>
    </w:p>
    <w:p>
      <w:pPr>
        <w:pStyle w:val="BodyText"/>
      </w:pPr>
      <w:r>
        <w:rPr>
          <w:iCs/>
          <w:i/>
        </w:rPr>
        <w:t xml:space="preserve">Biegłość w języku źródłowym</w:t>
      </w:r>
    </w:p>
    <w:p>
      <w:pPr>
        <w:pStyle w:val="BodyText"/>
      </w:pPr>
      <w:r>
        <w:t xml:space="preserve">Jako lingwista (z tytułem doktora) i osoba, która od lat para się procesem tłumaczenia Biblii, potwierdzam, że „doskonałe” tłumaczenie jest niemożliwe. (W rzeczywistości osiągnięcie choćby w miarę rozsądnego przybliżenia jest często wystarczająco trudne do osiągnięcia – obszary semantyczne słów po prostu nie pokrywają się lub pokrywają się tylko częściowo). Wynika z tego, że wszelka boska troska o dokładną formę Tekstu Nowego Testamentu musiałaby być przekazana za pośrednictwem języka Autografów – greki koine. Oczywiście starożytne Wersje (Syryjska, Łacińska, Koptyjska) mogą dać jasną wskazówkę w odniesieniu do głównych wariantów, ale precyzja jest możliwa tylko w języku greckim (w przypadku Nowego Testamentu). To tyle jako wprowadzenie, ale naszą główną kwestią tutaj są kopiści.</w:t>
      </w:r>
    </w:p>
    <w:p>
      <w:pPr>
        <w:pStyle w:val="BodyText"/>
      </w:pPr>
      <w:r>
        <w:t xml:space="preserve">Ręczne przepisywanie tekstu w języku, którego się nie rozumie, jest żmudnym zajęciem – stworzenie idealnej kopii jest niemal niemożliwe (spróbuj i przekonaj się!). Musiałbyś dosłownie kopiować literę po literze i nieustannie sprawdzać, czy się nie zgubiłeś. (Jest to jeszcze trudniejsze, gdy między słowami nie ma odstępów ani znaków interpunkcyjnych, jak miało to miejsce w przypadku Tekstu Nowego Testamentu we wczesnych wiekach). Jeśli jednak nie rozumiesz tekstu, będzie Ci bardzo trudno zachować czujność. Rozważ przypadek P</w:t>
      </w:r>
      <w:r>
        <w:rPr>
          <w:vertAlign w:val="superscript"/>
        </w:rPr>
        <w:t xml:space="preserve">66</w:t>
      </w:r>
      <w:r>
        <w:t xml:space="preserve">. Ten papirusowy rękopis jest prawdopodobnie najstarszym (ok. 200 r.) zachowanym rękopisem Nowego Testamentu o dowolnej wielkości (zawiera większość Ewangelii Jana). Jest to jedna z najgorszych kopii, jakie posiadamy. Zawiera średnio około dwóch błędów na werset – wiele z nich to oczywiste błędy, głupie błędy, bezsensowne błędy. Ze schematu błędów jasno wynika, że skryba kopiował sylaba po sylabie. Nie mam oporów przed stwierdzeniem, że osoba, która stworzyła P</w:t>
      </w:r>
      <w:r>
        <w:rPr>
          <w:vertAlign w:val="superscript"/>
        </w:rPr>
        <w:t xml:space="preserve">66</w:t>
      </w:r>
      <w:r>
        <w:t xml:space="preserve">, nie znała greckiego. Gdyby rozumiał tekst, nie popełniłby takiej liczby i takiego rodzaju błędów, jakie popełnił.</w:t>
      </w:r>
    </w:p>
    <w:p>
      <w:pPr>
        <w:pStyle w:val="BodyText"/>
      </w:pPr>
      <w:r>
        <w:t xml:space="preserve">Rozważ teraz tę kwestię z Bożego punktu widzenia. Komu powinien powierzyć główną odpowiedzialność za wierne przekazanie Tekstu Nowego Testamentu (przypomnij sobie 1 Księgę Kronik 16,15)? Jeśli Duch Święty miał brać aktywny udział w tym procesie, na czym powinien skupić swoje wysiłki? Przypuszczalnie przewagę mieliby ci, którzy biegle posługiwali się językiem greckim, a preferowane byłyby obszary, gdzie język ten pozostawał w aktywnym użyciu. Aby wierne przekazanie mogło nastąpić, kopiści musieli biegle posługiwać się językiem greckim i to przez długi czas. Gdzie więc dominował język grecki? Oczywiście w Grecji i Azji Mniejszej. Grecki do dziś jest językiem ojczystym Grecji (zmieniwszy się znacząco w ciągu upływających stuleci, jak każdy żywy język musi). Dominacja greckiego w regionie Morza Egejskiego była gwarantowana przez Cesarstwo Bizantyjskie przez wiele stuleci, w rzeczywistości aż do wynalezienia druku. Konstantynopol upadł zdobyty przez Turków Osmańskich w 1453 roku, Biblia Gutenberga (łacińska) została wydrukowana zaledwie trzy lata później, podczas gdy pierwszy drukowany grecki Nowy Testament pojawił się w 1516 roku. (Tym, którzy wierzą w Opatrzność, sugerowałbym, że mamy tu do czynienia z mocnym przykładem).</w:t>
      </w:r>
    </w:p>
    <w:p>
      <w:pPr>
        <w:pStyle w:val="BodyText"/>
      </w:pPr>
      <w:r>
        <w:t xml:space="preserve">A co z Egiptem? Już na początku ery chrześcijańskiej popularność języka greckiego w Egipcie malała. Bruce Metzger zauważa, że zhellenizowana część społeczeństwa egipskiego „stanowiła jedynie ułamek w porównaniu z liczbą rdzennych mieszkańców, którzy posługiwali się wyłącznie językami egipskimi”.</w:t>
      </w:r>
      <w:r>
        <w:rPr>
          <w:rStyle w:val="FootnoteReference"/>
        </w:rPr>
        <w:footnoteReference w:id="138"/>
      </w:r>
      <w:r>
        <w:t xml:space="preserve"> </w:t>
      </w:r>
      <w:r>
        <w:t xml:space="preserve">W III wieku spadek ten był już wyraźnie zaawansowany. Wcześniej argumentowałem, że kopista, który sporządził P</w:t>
      </w:r>
      <w:r>
        <w:rPr>
          <w:vertAlign w:val="superscript"/>
        </w:rPr>
        <w:t xml:space="preserve">66</w:t>
      </w:r>
      <w:r>
        <w:t xml:space="preserve"> </w:t>
      </w:r>
      <w:r>
        <w:t xml:space="preserve">(ok. 200 r.), nie znał greckiego. Rozważ teraz przypadek P</w:t>
      </w:r>
      <w:r>
        <w:rPr>
          <w:vertAlign w:val="superscript"/>
        </w:rPr>
        <w:t xml:space="preserve">75</w:t>
      </w:r>
      <w:r>
        <w:t xml:space="preserve"> </w:t>
      </w:r>
      <w:r>
        <w:t xml:space="preserve">(ok. 220 r.). E.C. Colwell przeanalizował P</w:t>
      </w:r>
      <w:r>
        <w:rPr>
          <w:vertAlign w:val="superscript"/>
        </w:rPr>
        <w:t xml:space="preserve">75</w:t>
      </w:r>
      <w:r>
        <w:t xml:space="preserve"> </w:t>
      </w:r>
      <w:r>
        <w:t xml:space="preserve">i znalazł około 145 itacyzmów</w:t>
      </w:r>
      <w:r>
        <w:rPr>
          <w:rStyle w:val="FootnoteReference"/>
        </w:rPr>
        <w:footnoteReference w:id="139"/>
      </w:r>
      <w:r>
        <w:t xml:space="preserve"> </w:t>
      </w:r>
      <w:r>
        <w:t xml:space="preserve">oraz 257 innych odczytów pojedynczych, z których 25% jest bezsensownych. Ze wzorca błędów jasno wynika, że kopista, który sporządził P</w:t>
      </w:r>
      <w:r>
        <w:rPr>
          <w:vertAlign w:val="superscript"/>
        </w:rPr>
        <w:t xml:space="preserve">75</w:t>
      </w:r>
      <w:r>
        <w:t xml:space="preserve">, kopiował literę po literze!</w:t>
      </w:r>
      <w:r>
        <w:rPr>
          <w:rStyle w:val="FootnoteReference"/>
        </w:rPr>
        <w:footnoteReference w:id="140"/>
      </w:r>
      <w:r>
        <w:t xml:space="preserve"> </w:t>
      </w:r>
      <w:r>
        <w:t xml:space="preserve">Oznacza to, że nie znał greckiego – podczas transkrypcji w języku, który znasz, kopiujesz frazę po frazie, a przynajmniej słowo po słowie. K. Aland twierdzi, że przed rokiem 200 tendencja zaczęła się odwracać od używania greki na obszarach, gdzie mówiono po łacinie, syryjsku lub koptyjsku, a pięćdziesiąt lat później przejście na języki lokalne było już bardzo zaawansowane.</w:t>
      </w:r>
      <w:r>
        <w:rPr>
          <w:rStyle w:val="FootnoteReference"/>
        </w:rPr>
        <w:footnoteReference w:id="141"/>
      </w:r>
    </w:p>
    <w:p>
      <w:pPr>
        <w:pStyle w:val="BodyText"/>
      </w:pPr>
      <w:r>
        <w:t xml:space="preserve">Ponownie region Morza Egejskiego jest zdecydowanie najlepiej wykwalifikowany do przekazywania Tekstu z pewnością i integralnością. Zauważ, że nawet gdyby Egipt zaczynał z dobrym tekstem, już pod koniec II wieku jego zdolność do przekazywania tekstu stopniowo się pogarszała. W rzeczywistości wczesne papirusy (one pochodzą z Egiptu) są wyraźnie gorszej jakości, jeśli rozpatrywać je pojedynczo, jak również prezentują raczej odmienne rodzaje tekstu (nie są one ze sobą zgodne).</w:t>
      </w:r>
    </w:p>
    <w:p>
      <w:pPr>
        <w:pStyle w:val="BodyText"/>
      </w:pPr>
      <w:r>
        <w:rPr>
          <w:iCs/>
          <w:i/>
        </w:rPr>
        <w:t xml:space="preserve">Siła Kościoła</w:t>
      </w:r>
    </w:p>
    <w:p>
      <w:pPr>
        <w:pStyle w:val="BodyText"/>
      </w:pPr>
      <w:r>
        <w:t xml:space="preserve">To pytanie ma znaczenie dla naszej dyskusji z dwóch powodów. Po pierwsze, prawo podaży i popytu działa w Kościele tak samo jak gdzie indziej. Tam, gdzie jest wiele zborów i wiernych, wzrasta popyt na kopie Pism Świętych. Po drugie, silny, ugruntowany Kościół zazwyczaj ma pewnych, doświadczonych przywódców – właśnie takich, którzy zwracają uwagę na jakość ich Pism Świętych i są w stanie coś z tym zrobić. W jakich więc obszarach wczesny Kościół był najsilniejszy?</w:t>
      </w:r>
    </w:p>
    <w:p>
      <w:pPr>
        <w:pStyle w:val="BodyText"/>
      </w:pPr>
      <w:r>
        <w:t xml:space="preserve">Chociaż Kościół niewątpliwie zaczął się w Jerozolimie, wczesne prześladowania i działalność apostołów spowodowały jego rozprzestrzenienie się. Wydaje się, że główny kierunek ekspansji przebiegał na północ, do Azji Mniejszej, oraz na zachód, do Europy. Jeśli wybór kościołów, do których skierowane zostały „listy” uwielbionego Chrystusa (Objawienie 2 i 3), może służyć za wskazówkę, to wydaje się, że do końca I wieku środek ciężkości Kościoła przesunął się z Palestyny do Azji Mniejszej. (Zniszczenie Jerozolimy przez armie rzymskie w 70 r. n.e. było prawdopodobnie jednym z czynników, które się do tego przyczyniły). Kurt Aland zgadza się z Adolfem Harnackiem, że „około 180 r. największa koncentracja kościołów znajdowała się w Azji Mniejszej i wzdłuż wybrzeża Morza Egejskiego w Grecji”. Kontynuuje: „Ogólne wrażenie jest takie, że koncentracja Chrześcijaństwa znajdowała się na Wschodzie… Nawet około 325 r. n.e. sytuacja pozostawała w dużej mierze niezmieniona. Azja Mniejsza pozostawała sercem Kościoła.”</w:t>
      </w:r>
      <w:r>
        <w:rPr>
          <w:rStyle w:val="FootnoteReference"/>
        </w:rPr>
        <w:footnoteReference w:id="142"/>
      </w:r>
      <w:r>
        <w:t xml:space="preserve"> </w:t>
      </w:r>
      <w:r>
        <w:t xml:space="preserve">„Serce Kościoła” – kto więc byłby w lepszej pozycji, by poświadczyć poprawny tekst Nowego Testamentu?</w:t>
      </w:r>
    </w:p>
    <w:p>
      <w:pPr>
        <w:pStyle w:val="BodyText"/>
      </w:pPr>
      <w:r>
        <w:t xml:space="preserve">A co z Egiptem? C.H. Roberts, w swojej naukowej analizie chrześcijańskich papirusów literackich z pierwszych trzech stuleci, wydaje się faworyzować wniosek, że w II wieku Kościół aleksandryjski był słaby i nie odgrywał znaczącej roli w greckim świecie chrześcijańskim.</w:t>
      </w:r>
      <w:r>
        <w:rPr>
          <w:rStyle w:val="FootnoteReference"/>
        </w:rPr>
        <w:footnoteReference w:id="143"/>
      </w:r>
      <w:r>
        <w:t xml:space="preserve"> </w:t>
      </w:r>
      <w:r>
        <w:t xml:space="preserve">Aland stwierdza: „Egipt wyróżniał się spośród innych prowincji Kościoła, na ile możemy to ocenić, wczesną dominacją gnostycyzmu”.</w:t>
      </w:r>
      <w:r>
        <w:rPr>
          <w:rStyle w:val="FootnoteReference"/>
        </w:rPr>
        <w:footnoteReference w:id="144"/>
      </w:r>
      <w:r>
        <w:t xml:space="preserve"> </w:t>
      </w:r>
      <w:r>
        <w:t xml:space="preserve">Dalej informuje nas, że „pod koniec II wieku” Kościół egipski był „w przeważającej mierze gnostycki”, a następnie dodaje: „Kopie istniejące w społecznościach gnostyckich nie mogły być używane, ponieważ podejrzewano, że były zniekształcone”.</w:t>
      </w:r>
      <w:r>
        <w:rPr>
          <w:rStyle w:val="FootnoteReference"/>
        </w:rPr>
        <w:footnoteReference w:id="145"/>
      </w:r>
      <w:r>
        <w:t xml:space="preserve"> </w:t>
      </w:r>
      <w:r>
        <w:t xml:space="preserve">No, to wszystko jest bardzo pouczające – innymi słowy, Aland mówi nam, że do 200 roku n.e. tradycji tekstowej w Egipcie</w:t>
      </w:r>
      <w:r>
        <w:t xml:space="preserve"> </w:t>
      </w:r>
      <w:r>
        <w:rPr>
          <w:bCs/>
          <w:b/>
        </w:rPr>
        <w:t xml:space="preserve">nie można było ufać</w:t>
      </w:r>
      <w:r>
        <w:t xml:space="preserve">. Ocena Alanda w tym miejscu jest najprawdopodobniej słuszna. Zwróć uwagę na to, co Bruce Metzger mówi o wczesnym Kościele w Egipcie:</w:t>
      </w:r>
    </w:p>
    <w:p>
      <w:pPr>
        <w:pStyle w:val="BlockText"/>
      </w:pPr>
      <w:r>
        <w:t xml:space="preserve">Wśród dokumentów chrześcijańskich, które w II wieku powstały w Egipcie lub krążyły tam zarówno wśród ortodoksów, jak i gnostyków, znajduje się wiele apokryficznych ewangelii, dziejów, listów i objawień… Istnieją również fragmenty dzieł egzegetycznych i dogmatycznych napisanych przez chrześcijan aleksandryjskich, głównie gnostyków, w II wieku… W rzeczywistości, sądząc po komentarzach Klemensa Aleksandryjskiego, w II wieku w Egipcie reprezentowana była niemal każda odłamowa sekta chrześcijańska. Klemens wspomina o walentynianach, bazylidianach, marcionitach, peratach, enkratytach, doketystach, haimetytach, kainitach, ofitach, simonianach i eutychitach. Nie wiadomo, jaki odsetek chrześcijan w Egipcie w II wieku stanowili ortodoksi.</w:t>
      </w:r>
      <w:r>
        <w:rPr>
          <w:rStyle w:val="FootnoteReference"/>
        </w:rPr>
        <w:footnoteReference w:id="146"/>
      </w:r>
    </w:p>
    <w:p>
      <w:pPr>
        <w:pStyle w:val="FirstParagraph"/>
      </w:pPr>
      <w:r>
        <w:t xml:space="preserve">Musimy jednak zatrzymać się na chwilę, aby zastanowić się nad implikacjami wypowiedzi Alanda. Był on zagorzałym zwolennikiem typu tekstu egipskiego („aleksandryjskiego”), a jednak sam informuje nas, że aż do 200 r. n.e. tradycji tekstowej w Egipcie nie można było ufać oraz że do 200 r. użycie języka greckiego praktycznie tam wygasło. Na jakiej więc podstawie może on twierdzić, że tekst egipski stał się następnie najlepszy? Aland stwierdza również, że w II wieku, III wieku i na początku IV wieku Azja Mniejsza pozostawała „sercem Kościoła”. Oznacza to, że lepsze kwalifikacje obszaru Morza Egejskiego do ochrony, przekazywania i poświadczania Tekstu Nowego Testamentu przenoszą się do</w:t>
      </w:r>
      <w:r>
        <w:t xml:space="preserve"> </w:t>
      </w:r>
      <w:r>
        <w:rPr>
          <w:bCs/>
          <w:b/>
        </w:rPr>
        <w:t xml:space="preserve">IV wieku</w:t>
      </w:r>
      <w:r>
        <w:t xml:space="preserve">! Tak się składa, że Hort, Metzger i Aland (wraz z wieloma innymi) powiązali typ tekstu „bizantyjskiego” z Lucjanem z Antiochii, który zmarł w 311 roku. Naprawdę, czy tekst stworzony przez przywódcę w „sercu Kościoła” nie byłby lepszy niż cokolwiek, co wyewoluowało w Egipcie? Oczywiście zadaję powyższe pytanie tylko po to, by wskazać na ich niekonsekwencję. Typ tekstu „bizantyjski” istniał na długo przed Lucjanem.</w:t>
      </w:r>
    </w:p>
    <w:p>
      <w:pPr>
        <w:pStyle w:val="BodyText"/>
      </w:pPr>
      <w:r>
        <w:rPr>
          <w:iCs/>
          <w:i/>
        </w:rPr>
        <w:t xml:space="preserve">Nastawienie wobec Tekstu</w:t>
      </w:r>
    </w:p>
    <w:p>
      <w:pPr>
        <w:pStyle w:val="BodyText"/>
      </w:pPr>
      <w:r>
        <w:t xml:space="preserve">Tam, gdzie wymagana jest staranna praca, nastawienie osób, którym powierzono dane zadanie, ma zasadnicze znaczenie. Czy są świadomi? Czy się zgadzają? Jeśli nie rozumieją natury zadania, jakość prawdopodobnie ucierpi. Jeśli rozumieją, ale się nie zgadzają, mogą nawet uciec się do sabotażu – szkodliwa ewentualność. W przypadku ksiąg Nowego Testamentu możemy zacząć od pytania: Dlaczego miałyby powstawać kopie?</w:t>
      </w:r>
    </w:p>
    <w:p>
      <w:pPr>
        <w:pStyle w:val="BodyText"/>
      </w:pPr>
      <w:r>
        <w:t xml:space="preserve">Widzieliśmy, że wierni od początku uznawali autorytet pism Nowego Testamentu, więc sporządzanie kopii musiało rozpocząć się natychmiast. Autorzy wyraźnie zamierzali, by ich pisma krążyły, a jakość pism była tak oczywista, że wieść o nich szybko się rozchodziła i każdy zbór pragnął kopię. Fakt, że Klemens i Barnaba cytują i nawiązują do różnych ksiąg Nowego Testamentu już na przełomie I wieku, jasno wskazuje, że kopie były w obiegu. Korpus Pawłowy był znany Piotrowi przed 70 r. n.e. Polikarp (XIII) ok. 115 r., w odpowiedzi na prośbę kościoła w Filippi, wysłał do nich zbiór listów Ignacego, możliwe, że w ciągu pięciu lat od ich napisania przez Ignacego. Ewidentnie tworzenie kopii i zbiorów (wartościowych pism) było normalną procedurą, więc każdy zbór mógł mieć swój zestaw. Ignacy odnosił się do swobodnego podróżowania i wymiany między kościołami, a Justyn do cotygodniowej praktyki czytania Pism Świętych w zborach (musieli mieć kopie).</w:t>
      </w:r>
    </w:p>
    <w:p>
      <w:pPr>
        <w:pStyle w:val="BodyText"/>
      </w:pPr>
      <w:r>
        <w:t xml:space="preserve">Drugie pytanie brzmiałoby: Jakie było podejście kopistów do swojej pracy? Mamy już sedno odpowiedzi. Będąc naśladowcami Chrystusa i wierząc, że mają do czynienia z Pismem Świętym, do podstawowej uczciwości dodawali szacunek w obchodzeniu się z Tekstem już od początku. A do tego dochodziła czujność, ponieważ Apostołowie wielokrotnie i stanowczo ostrzegali ich przed fałszywymi nauczycielami. Z upływem lat, zakładając, że wierni byli osobami o co najmniej przeciętnej uczciwości i inteligencji, sporządzali oni staranne kopie rękopisów, które otrzymali od poprzedniego pokolenia, od osób, którym ufali, mając pewność, że przekazują prawdziwy tekst. W ich pracy zdarzały się przypadkowe błędy kopiowania, ale nie było celowych zmian.</w:t>
      </w:r>
    </w:p>
    <w:p>
      <w:pPr>
        <w:pStyle w:val="BodyText"/>
      </w:pPr>
      <w:r>
        <w:t xml:space="preserve">Należy zauważyć, że pierwsi chrześcijanie nie musieli być krytykami tekstu. Wychodząc od tekstu, o którym wiedzieli, że jest czysty, musieli jedynie być dość uczciwi i ostrożni. Twierdzę, że mamy dobre powody, by rozumieć, iż byli oni szczególnie czujni i ostrożni – zwłaszcza w pierwszych dziesięcioleciach. A w jednej linii przekazu było to kontynuowane. Sam zestawiłem co najmniej jedną księgę w ponad 120 manuskryptach należących do linii przekazu, którą nazywam Rodziną 35, posiadam doskonałe kopie co najmniej 22 z 27 ksiąg Nowego Testamentu, sporządzone w XI, XII, XIII, XIV i XV wieku. Aby kopia była doskonała w XIV wieku, wszyscy jej „przodkowie” musieli być doskonali, aż do archetypu rodziny. Uważam, że archetypem Rodziny 35 jest Autograf, ale jeśli nie, to musi on pochodzić przynajmniej z III wieku.</w:t>
      </w:r>
    </w:p>
    <w:p>
      <w:pPr>
        <w:pStyle w:val="BodyText"/>
      </w:pPr>
      <w:r>
        <w:t xml:space="preserve">Z biegiem czasu ukształtowały się regionalne postawy, nie wspominając już o regionalnej polityce. Istotnym czynnikiem jest powstanie tak zwanej „Szkoły Antiocheńskiej”. Począwszy od Teofila, biskupa Antiochii, który zmarł około 185 roku, mieszkańcy Antiochii zaczęli nalegać na dosłowną interpretację Pisma Świętego. Chodzi o to, że literalista jest zobowiązany do zwracania uwagi na dokładne sformułowania tekstu, ponieważ od tego zależy jego interpretacja lub egzegeza.</w:t>
      </w:r>
    </w:p>
    <w:p>
      <w:pPr>
        <w:pStyle w:val="BodyText"/>
      </w:pPr>
      <w:r>
        <w:t xml:space="preserve">Można rozsądnie założyć, że ta „literalistyczna” mentalność wywarła wpływ na kościoły Azji Mniejszej i Grecji oraz zachęciła je do starannego i wiernego przekazywania czystego tekstu, który otrzymały. Na przykład zachowane manuskrypty syryjskiej Peshitty nie mają sobie równych pod względem spójności. (Dla porównania, ponad 8 000 manuskryptów łacińskiej Wulgaty jest zdumiewających ze względu na swoje rozległe rozbieżności, a pod tym względem idą one za przykładem starołacińskich manuskryptów.) Nie jest nierozsądnie przypuszczać, że niechęć Antiochii wobec aleksandryjskiej alegorycznej interpretacji Pisma Świętego raczej zniechęcała ich do przychylnego patrzenia na jakiekolwiek konkurencyjne formy tekstu pochodzące z Egiptu. Podobnie kontrowersje Kwartodecyman z Rzymem</w:t>
      </w:r>
      <w:r>
        <w:rPr>
          <w:rStyle w:val="FootnoteReference"/>
        </w:rPr>
        <w:footnoteReference w:id="147"/>
      </w:r>
      <w:r>
        <w:t xml:space="preserve"> </w:t>
      </w:r>
      <w:r>
        <w:t xml:space="preserve">z pewnością nie zwiększały atrakcyjności jakichkolwiek innowacji pochodzących z Zachodu.</w:t>
      </w:r>
    </w:p>
    <w:p>
      <w:pPr>
        <w:pStyle w:val="BodyText"/>
      </w:pPr>
      <w:r>
        <w:t xml:space="preserve">Na tyle, na ile korzenie podejścia alegorycznego, które rozkwitło w Aleksandrii w III wieku, były już obecne, stanowiłyby one również czynnik negatywny. Ponieważ Filon z Aleksandrii był u szczytu swoich wpływów, gdy przybyli tam pierwsi chrześcijanie, możliwe jest, że jego alegoryczna interpretacja Starego Testamentu zaczęła wywierać wpływ na młody Kościół już w I wieku. Ponieważ alegorysta narzuca tekstowi swoje własne idee tak czy inaczej, prawdopodobnie miałby mniej oporów przed jego zmianą – precyzyjne sformułowania nie byłyby wysokim priorytetem.</w:t>
      </w:r>
    </w:p>
    <w:p>
      <w:pPr>
        <w:pStyle w:val="BodyText"/>
      </w:pPr>
      <w:r>
        <w:t xml:space="preserve">Szkoła krytyki literackiej, która istniała w Aleksandrii, również stanowiłaby czynnik negatywny, gdyby w ogóle wywarła wpływ na Kościół, a W.R. Farmer twierdzi, że tak właśnie było. „Istnieje jednak wiele dowodów na to, że już w czasach Euzebiusza aleksandryjskie praktyki krytyki tekstu były przestrzegane przynajmniej w niektórych skryptoriach, gdzie powstawały manuskrypty Nowego Testamentu. Kiedy dokładnie po raz pierwszy zastosowano aleksandryjskie zasady krytyki tekstu… nie wiadomo”.</w:t>
      </w:r>
      <w:r>
        <w:rPr>
          <w:rStyle w:val="FootnoteReference"/>
        </w:rPr>
        <w:footnoteReference w:id="148"/>
      </w:r>
      <w:r>
        <w:t xml:space="preserve"> </w:t>
      </w:r>
      <w:r>
        <w:t xml:space="preserve">Następnie sugeruje on, że szkoła chrześcijańska założona w Aleksandrii przez Pantaenusa około 180 roku musiała pozostawać pod wpływem uczonych z wielkiej biblioteki tego miasta. Chodzi o to, że zasady stosowane przy próbach „odtworzenia” dzieł Homera nie byłyby odpowiednie dla pism Nowego Testamentu, gdy nadal możliwe było odwołanie się do Autografów lub dokładnych kopii z nich sporządzonych.</w:t>
      </w:r>
    </w:p>
    <w:p>
      <w:pPr>
        <w:pStyle w:val="BodyText"/>
      </w:pPr>
      <w:r>
        <w:rPr>
          <w:iCs/>
          <w:i/>
        </w:rPr>
        <w:t xml:space="preserve">Wniosek</w:t>
      </w:r>
    </w:p>
    <w:p>
      <w:pPr>
        <w:pStyle w:val="BodyText"/>
      </w:pPr>
      <w:r>
        <w:t xml:space="preserve">Jaką odpowiedź na nasze pytanie dają „cztery czynniki decydujące”? Wszystkie cztery zgodnie głoszą: „Obszar Morza Egejskiego najlepiej kwalifikował się do ochrony, przekazywania i poświadczania prawdziwego tekstu pism Nowego Testamentu”. Było to prawdą w II wieku, było to prawdą w III wieku, pozostało prawdą w IV wieku. Gdzie więc w 350 r. n.e., w połowie IV wieku, powinniśmy się udać, aby znaleźć najbardziej poprawne kopie Nowego Testamentu? Do regionu Morza Egejskiego, a Egipt byłby ostatnim miejscem, do którego należałoby się udać. Jeżeli przekazywanie Tekstu Nowego Testamentu przebiegało w miarę normalnie, region Morza Egejskiego nadal posiadał najlepszy Tekst przez kolejne stulecia. Są jednak tacy, którzy twierdzą, że przekazywanie to nie przebiegało normalnie, więc teraz przejdę do tej kwestii.</w:t>
      </w:r>
    </w:p>
    <w:bookmarkEnd w:id="149"/>
    <w:bookmarkStart w:id="164" w:name="czy-przekazywanie-przebiegało-normalnie"/>
    <w:p>
      <w:pPr>
        <w:pStyle w:val="Heading3"/>
      </w:pPr>
      <w:r>
        <w:t xml:space="preserve">Czy przekazywanie przebiegało normalnie?</w:t>
      </w:r>
    </w:p>
    <w:p>
      <w:pPr>
        <w:pStyle w:val="FirstParagraph"/>
      </w:pPr>
      <w:r>
        <w:t xml:space="preserve">Począwszy od Saula z Tarsu, chrześcijanie byli prześladowani tu i ówdzie w całym Imperium Rzymskim, aż Konstantyn zaprowadził ulgę w 312 r. n.e. Prześladowania obejmowały sporadyczne niszczenie kopii Nowego Testamentu, w całości lub w części, tu i ówdzie. Jednak w 303 r. n.e. Dioklecjan zarządził najsurowsze prześladowania, jakich do tej pory doświadczyło chrześcijaństwo. Obejmowały one palenie świętych ksiąg, miały one zostać zniszczone, gdziekolwiek je znaleziono. Chociaż prześladowania miały zasięg całego imperium, były szczególnie surowe w Azji Mniejszej, gdzie chrześcijaństwo było najsilniejsze, i trwały przez co najmniej dziesięć lat.</w:t>
      </w:r>
    </w:p>
    <w:p>
      <w:pPr>
        <w:pStyle w:val="BodyText"/>
      </w:pPr>
      <w:r>
        <w:t xml:space="preserve">Wiele manuskryptów zostało odnalezionych lub wydanych, i spalonych, ale inne musiały się ocalić. O tym, że wielu chrześcijan nie szczędziło wysiłków, by ukryć i zachować swoje kopie Pism Świętych, dowodzi ich stosunek do tych, którzy wydali swoje manuskrypty – schizma donatystów, która nastąpiła bezpośrednio po kampanii Dioklecjana, częściowo opierała się na kwestii kary dla tych, którzy wydali manuskrypty. Chrześcijanie, którzy w ten sposób wykazali się całkowitym oddaniem Świętym Pismom, byli również tymi, którzy byli najbardziej ostrożni w kwestii pochodzenia swoich własnych manuskryptów. Tak jak zabiegali o ochronę swoich manuskryptów, tak prawdopodobnie zabiegali o to, by ich manuskrypty zachowały prawdziwe sformułowania.</w:t>
      </w:r>
    </w:p>
    <w:p>
      <w:pPr>
        <w:pStyle w:val="BodyText"/>
      </w:pPr>
      <w:r>
        <w:t xml:space="preserve">W rzeczywistości kampania Dioklecjana mogła nawet wywrzeć oczyszczający wpływ na przekazywanie tekstu. Jeśli pobłażliwość w podejściu do tekstu, przejawiająca się w gotowości niektórych do wydania swoich manuskryptów, rozciągała się również na jakość tekstu, z którego byli gotowi korzystać, to być może zniszczono głównie te bardziej zanieczyszczone manuskrypty, pozostawiając czystsze manuskrypty, aby na nowo zasiliły świat.</w:t>
      </w:r>
      <w:r>
        <w:rPr>
          <w:rStyle w:val="FootnoteReference"/>
        </w:rPr>
        <w:footnoteReference w:id="150"/>
      </w:r>
      <w:r>
        <w:t xml:space="preserve"> </w:t>
      </w:r>
      <w:r>
        <w:t xml:space="preserve">Jednak na te ocalałe, czyste manuskrypty, byłoby nadzwyczaj duże zapotrzebowanie do kopiowania (w celu zastąpienia tych, które zostały zniszczone) i zużywałyby się szybciej niż zwykle.</w:t>
      </w:r>
    </w:p>
    <w:p>
      <w:pPr>
        <w:pStyle w:val="BodyText"/>
      </w:pPr>
      <w:r>
        <w:t xml:space="preserve">Wracając jednak do naszego pytania: czy przekazywanie przebiegało normalnie? Tak i nie. Zakładając, że wierni byli ludźmi o co najmniej przeciętnej uczciwości i inteligencji, sporządzali oni sensowne kopie rękopisów, które otrzymali od poprzedniego pokolenia – od osób, którym ufali, mając pewność, że przekazują prawdziwy tekst. W ich pracy zdarzały się niezamierzone błędy przy kopiowaniu, ale nie celowe zmiany. Byli jednak też inni, którzy wykazywali zainteresowanie pismami Nowego Testamentu – osoby pozbawione uczciwości, które sporządzały własne kopie ze złymi intencjami. W ich pracy również zdarzały się niezamierzone błędy, ale także celowe modyfikacje tekstu. Najpierw prześledzę normalny przebieg przekazywania.</w:t>
      </w:r>
    </w:p>
    <w:p>
      <w:pPr>
        <w:pStyle w:val="BodyText"/>
      </w:pPr>
      <w:r>
        <w:rPr>
          <w:iCs/>
          <w:i/>
        </w:rPr>
        <w:t xml:space="preserve">Normalny przebieg przekazywania</w:t>
      </w:r>
    </w:p>
    <w:p>
      <w:pPr>
        <w:pStyle w:val="BodyText"/>
      </w:pPr>
      <w:r>
        <w:t xml:space="preserve">Widzieliśmy, że wierni od początku uznawali autorytet pism Nowego Testamentu – gdyby tak nie było, odrzuciliby autorytet Apostołów, a tym samym nie należeliby do grona wiernych. Do podstawowej uczciwości od początku dochodził szacunek w ich obchodzeniu się z tekstem. Do tego dochodziła czujność, ponieważ Apostołowie wielokrotnie i stanowczo ostrzegali ich przed fałszywymi nauczycielami.</w:t>
      </w:r>
    </w:p>
    <w:p>
      <w:pPr>
        <w:pStyle w:val="BodyText"/>
      </w:pPr>
      <w:r>
        <w:t xml:space="preserve">Wraz z nieustannie rosnącym popytem i wynikającym z tego rozprzestrzenianiem się kopii w całym świecie grecko-rzymskim, a także dzięki możliwości weryfikacji kopii poprzez odwołanie się do ośrodków, które wciąż posiadały Autografy, wczesna sytuacja tekstologiczna była prawdopodobnie bardzo sprzyjająca szerokiemu rozpowszechnianiu manuskryptów bardzo zbliżonych do tekstu oryginalnego. Można racjonalnie oczekiwać, że na początku II wieku rozpowszechnienie takich kopii było bardzo rozległe, z logiczną konsekwencją taką, że forma tekstu, którą zawierały, wkrótce zakorzeniła się na całym obszarze ich wpływów.</w:t>
      </w:r>
    </w:p>
    <w:p>
      <w:pPr>
        <w:pStyle w:val="BodyText"/>
      </w:pPr>
      <w:r>
        <w:t xml:space="preserve">Przytoczone powyżej rozważania mają kluczowe znaczenie dla odpowiedniego zrozumienia historii przekazywania tekstu, ponieważ wskazują one, że już na samym początku ukształtował się podstawowy trend – trend, który trwał nieubłaganie aż do pojawienia się drukowanego tekstu Nowego Testamentu. Mówię „nieubłaganie”, ponieważ, biorąc pod uwagę normalny proces przekazywania, nauka o prawdopodobieństwie statystycznym pokazuje, że forma tekstu w takich okolicznościach byłaby trudna do wyparcia z dominującej pozycji – prawdopodobieństwo, że konkurencyjna forma tekstu kiedykolwiek uzyska poświadczenie większości, byłoby znikome, bez względu na to, ile pokoleń manuskryptów mogłoby istnieć.</w:t>
      </w:r>
      <w:r>
        <w:rPr>
          <w:rStyle w:val="FootnoteReference"/>
        </w:rPr>
        <w:footnoteReference w:id="151"/>
      </w:r>
      <w:r>
        <w:t xml:space="preserve"> </w:t>
      </w:r>
      <w:r>
        <w:t xml:space="preserve">Potrzebny byłby niezwykły przewrót w historii przekazywania, aby nadać znaczenia odbiegającej od normy formie tekstu. Nie znamy żadnego miejsca w historii, mieszczącego taki przewrót.</w:t>
      </w:r>
    </w:p>
    <w:p>
      <w:pPr>
        <w:pStyle w:val="BodyText"/>
      </w:pPr>
      <w:r>
        <w:t xml:space="preserve">Argument oparty na prawdopodobieństwie miałby zastosowanie zarówno do pism świeckich, jak i do Nowego Testamentu, i nie uwzględnia on żadnej szczególnej troski o czystość tekstu. Twierdziłem jednak, że pierwsi chrześcijanie darzyli swoje Pisma szczególną troską i że troska ta towarzyszyła rozprzestrzenianiu się chrześcijaństwa. Tak więc Ireneusz wyraźnie przeniósł swoją troskę o czystość tekstu (która obejmowała nawet pojedynczą literę) do Galii i niewątpliwie wywarł wpływ na chrześcijan w tym regionie. Chodzi o to, że forma tekstowa Autografów Nowego Testamentu miała dużą przewagę nad jakąkolwiek literaturą świecką, tak że jej dominująca pozycja stałaby się jeszcze większa, niż sugerowałby to argument oparty na prawdopodobieństwie, a tym bardziej, gdyby Autografy zostały „opublikowane” jako wiele kopii. Gwałtowne pomnożenie i rozprzestrzenienie dobrych kopii podniosłoby do absolutnie zaporowych poziomów szanse wystąpienia okoliczności, w których odbiegające od normy formy tekstowe zyskałyby jakąkolwiek powszechną akceptację lub zastosowanie.</w:t>
      </w:r>
      <w:r>
        <w:rPr>
          <w:rStyle w:val="FootnoteReference"/>
        </w:rPr>
        <w:footnoteReference w:id="152"/>
      </w:r>
    </w:p>
    <w:p>
      <w:pPr>
        <w:pStyle w:val="BodyText"/>
      </w:pPr>
      <w:r>
        <w:t xml:space="preserve">Wynika z tego, że w stosunkowo niewielu latach po napisaniu ksiąg Nowego Testamentu szybko powstał tekst „większościowy”, którego forma była zasadniczo taka sama jak forma samych Autografów. Ta forma tekstu, zgodnie z naturalnym biegiem rzeczy, nadal się pomnażała i w każdym kolejnym pokoleniu kopistów nadal pojawiała się w masie zachowanych manuskryptów. Krótko mówiąc, podlegała ona „normalnemu” przekazywaniu. Prawo podaży i popytu działa w Kościele tak samo, jak gdzie indziej. Prawdziwi wierzący byli o wiele bardziej zainteresowani zdobyciem kopii pism Nowego Testamentu niż ludzie, którzy nimi nie byli. Przeciwnicy chrześcijaństwa, którzy mogliby próbować wprowadzić zamieszanie, tworząc przerobione kopie, mieliby znacznie mniejszy „rynek” dla swoich dzieł.</w:t>
      </w:r>
    </w:p>
    <w:p>
      <w:pPr>
        <w:pStyle w:val="BodyText"/>
      </w:pPr>
      <w:r>
        <w:t xml:space="preserve">Używanie takich określeń jak „syryjski”, „antiochijski” i „bizantyjski” dla Tekstu Większościowego odzwierciedla jego ogólny związek z tym regionem. Nie znam żadnego powodu, by wątpić, że tekst „bizantyjski” jest w rzeczywistości tą wersją tekstu, która od początku była znana i przekazywana w regionie Morza Egejskiego.</w:t>
      </w:r>
    </w:p>
    <w:p>
      <w:pPr>
        <w:pStyle w:val="BodyText"/>
      </w:pPr>
      <w:r>
        <w:t xml:space="preserve">Podsumowując, uważam, że dowody jasno przemawiają za taką interpretacją historii tekstu, która uznaje, że jego normalne przekazywanie skupiało się w regionie Morza Egejskiego – obszarze, który pod każdym względem najlepiej nadawał się do przekazywania tekstu od samego początku. Wynikiem tego normalnego przebiegu przekazywania jest typ tekstu „bizantyjski”. W każdej epoce, w tym w II i III wieku, był to tekst tradycyjny.</w:t>
      </w:r>
      <w:r>
        <w:rPr>
          <w:rStyle w:val="FootnoteReference"/>
        </w:rPr>
        <w:footnoteReference w:id="153"/>
      </w:r>
    </w:p>
    <w:p>
      <w:pPr>
        <w:pStyle w:val="BodyText"/>
      </w:pPr>
      <w:r>
        <w:t xml:space="preserve">Twierdzę zatem, że przekazywanie tekstu Nowego Testamentu przebiegało normalnie, mianowicie poprzez w pełni przewidywalne rozprzestrzenianie i powielanie wiarygodnych kopii Autografów od najwcześniejszych czasów, przez całą historię przekazywania, aż do momentu, gdy dostępność tekstów drukowanych położyła kres ręcznemu kopiowaniu.</w:t>
      </w:r>
    </w:p>
    <w:p>
      <w:pPr>
        <w:pStyle w:val="BodyText"/>
      </w:pPr>
      <w:r>
        <w:rPr>
          <w:iCs/>
          <w:i/>
        </w:rPr>
        <w:t xml:space="preserve">Nienormalny przebieg przekazywania</w:t>
      </w:r>
      <w:r>
        <w:rPr>
          <w:rStyle w:val="FootnoteReference"/>
        </w:rPr>
        <w:footnoteReference w:id="154"/>
      </w:r>
    </w:p>
    <w:p>
      <w:pPr>
        <w:pStyle w:val="BodyText"/>
      </w:pPr>
      <w:r>
        <w:t xml:space="preserve">Przechodząc teraz do kwestii nienormalnego przebiegu przekazywania, nie ulega wątpliwości, że rozpoczęło się ono równocześnie z normalnym. Same pisma apostolskie zawierają mocne skargi i ostrzeżenia przed herezjami i szkodliwą aktywnością. Gdy chrześcijaństwo rozprzestrzeniało się i zaczęło wywierać wpływ na świat, nie wszyscy przyjęli je jako „dobrą nowinę”. Pojawiły się różnego rodzaju sprzeciwy. Doszło również do podziałów w szerszej społeczności chrześcijańskiej – już w samym Nowym Testamencie odnotowano początki niektórych z tych wątków. W niektórych przypadkach wierność stanowisku ideologicznemu (teologicznemu) stała się ewidentnie ważniejsza niż wierność tekstowi Nowego Testamentu. Pewne jest, że Ojcowie Kościoła piszący w II wieku gorzko narzekali na celowe zmiany w Tekście dokonywane przez „heretyków”. Duża część zachowanych pism wczesnych Ojców dotyczy dokładnie i wyłącznie walki z heretykami. Jest jasne, że w II wieku, a być może już w I, osoby takie sporządziły wiele kopii pism Nowego Testamentu zawierających ich zmiany.</w:t>
      </w:r>
      <w:r>
        <w:rPr>
          <w:rStyle w:val="FootnoteReference"/>
        </w:rPr>
        <w:footnoteReference w:id="155"/>
      </w:r>
      <w:r>
        <w:t xml:space="preserve"> </w:t>
      </w:r>
      <w:r>
        <w:t xml:space="preserve">Niektóre z nich najwyraźniej krążyły dość szeroko, przez pewien czas. Skutkiem tego był chaos odmiennych odczytów, mający na celu zdezorientowanie niedoinformowanych i wprowadzenie w błąd nieostrożnych. Taki scenariusz był całkowicie przewidywalny. Jeśli Nowy Testament jest rzeczywiście Słowem Bożym, to zarówno Bóg, jak i szatan muszą żywo interesować się jego losami. Podejmowanie się krytyki tekstu Nowego Testamentu bez należytego uwzględnienia tego faktu jest działaniem nieodpowiedzialnym.</w:t>
      </w:r>
    </w:p>
    <w:p>
      <w:pPr>
        <w:pStyle w:val="BodyText"/>
      </w:pPr>
      <w:r>
        <w:t xml:space="preserve">Największe zniszczenia miały miejsce do 200 r. n.e.</w:t>
      </w:r>
    </w:p>
    <w:p>
      <w:pPr>
        <w:pStyle w:val="BodyText"/>
      </w:pPr>
      <w:r>
        <w:t xml:space="preserve">Powszechnie uznaje się, że większość istotnych wariantów istniała już pod koniec II wieku. „Przeważająca większość odczytów powstała przed rokiem 200” – potwierdził Colwell.</w:t>
      </w:r>
      <w:r>
        <w:rPr>
          <w:rStyle w:val="FootnoteReference"/>
        </w:rPr>
        <w:footnoteReference w:id="156"/>
      </w:r>
      <w:r>
        <w:t xml:space="preserve"> </w:t>
      </w:r>
      <w:r>
        <w:t xml:space="preserve">„Nie mniej prawdziwe niż paradoksalne w brzmieniu jest to, że najgorsze zniekształcenia, jakim kiedykolwiek poddano Nowy Testament, powstały w ciągu stu lat od jego powstania” – stwierdził kilkadziesiąt lat wcześniej Scrivener.</w:t>
      </w:r>
      <w:r>
        <w:rPr>
          <w:rStyle w:val="FootnoteReference"/>
        </w:rPr>
        <w:footnoteReference w:id="157"/>
      </w:r>
      <w:r>
        <w:t xml:space="preserve"> </w:t>
      </w:r>
      <w:r>
        <w:t xml:space="preserve">Kilpatrick komentował dowody najwcześniejszych papirusów.</w:t>
      </w:r>
    </w:p>
    <w:p>
      <w:pPr>
        <w:pStyle w:val="BodyText"/>
      </w:pPr>
      <w:r>
        <w:t xml:space="preserve">Weźmy nasze dwa rękopisy z mniej więcej tego okresu [ok. 200 r. n.e.], które zawierają fragmenty Ewangelii Jana: papirus Chester Beatty’ego i papirus Bodmera. Łącznie zachowało się w nich około siedemdziesięciu wersetów. W tych siedemdziesięciu wersetach różnią się one między sobą około siedemdziesiąt trzy razy, nie licząc błędów.</w:t>
      </w:r>
    </w:p>
    <w:p>
      <w:pPr>
        <w:pStyle w:val="BodyText"/>
      </w:pPr>
      <w:r>
        <w:t xml:space="preserve">Ponadto w papirusie Bodmera oryginalny skryba wielokrotnie poprawiał to, co napisał wcześniej. W niektórych miejscach poprawiał własne błędy, ale w innych zastępował jedną formę sformułowania inną. W przypadku około siedemdziesięciu pięciu takich zamian obie alternatywy są znane z innych manuskryptów, niezależnie od siebie. Skryba w rzeczywistości zastępuje jeden wariant odczytu innym w około siedemdziesięciu miejscach, co pozwala nam wnioskować, że już w jego czasach w tych miejscach występowały wariacje.</w:t>
      </w:r>
      <w:r>
        <w:rPr>
          <w:rStyle w:val="FootnoteReference"/>
        </w:rPr>
        <w:footnoteReference w:id="158"/>
      </w:r>
    </w:p>
    <w:p>
      <w:pPr>
        <w:pStyle w:val="BodyText"/>
      </w:pPr>
      <w:r>
        <w:t xml:space="preserve">Papirus Bodmera to P</w:t>
      </w:r>
      <w:r>
        <w:rPr>
          <w:vertAlign w:val="superscript"/>
        </w:rPr>
        <w:t xml:space="preserve">66</w:t>
      </w:r>
      <w:r>
        <w:t xml:space="preserve">, a to, czego Kilpatrick Ci nie wspomina, to fakt, że w tych 75 miejscach skryba na przemian stosował odczyty bizantyjskie i aleksandryjskie: czasami zaczynał od odczytu bizantyjskiego, a następnie zmieniał go na aleksandryjski, a czasami robił odwrotnie. Miał on oczywiście przed sobą takie wzorce, co oznacza, że tekst bizantyjski istniał już w roku 200!</w:t>
      </w:r>
    </w:p>
    <w:p>
      <w:pPr>
        <w:pStyle w:val="BodyText"/>
      </w:pPr>
      <w:r>
        <w:t xml:space="preserve">G. Zuntz również dostrzegł to wszystko. „Współczesna krytyka zatrzymuje się przed barierą II wieku, epoki, jak się wydaje, nieograniczonej swobody względem tekstu”.</w:t>
      </w:r>
      <w:r>
        <w:rPr>
          <w:rStyle w:val="FootnoteReference"/>
        </w:rPr>
        <w:footnoteReference w:id="159"/>
      </w:r>
    </w:p>
    <w:p>
      <w:pPr>
        <w:pStyle w:val="BodyText"/>
      </w:pPr>
      <w:r>
        <w:t xml:space="preserve">Kilpatrick twierdzi następnie, że tworzenie nowych wariantów ustało około 200 roku n.e., ponieważ nie dało się ich już „sprzedać”. Omawia on niektóre próby wprowadzenia zmian w tekście podjęte przez Orygenesa, a następnie kontynuuje:</w:t>
      </w:r>
    </w:p>
    <w:p>
      <w:pPr>
        <w:pStyle w:val="BlockText"/>
      </w:pPr>
      <w:r>
        <w:t xml:space="preserve">Sposób, w jaki Orygenes potraktował fragment z Ewangelii Mateusza 19,19, ma znaczenie pod dwoma innymi względami. Po pierwsze, był on prawdopodobnie najbardziej wpływowym komentatorem w Kościele starożytnym, a jednak wydaje się, że jego domysły w tym miejscu wpłynęły tylko na jeden manuskrypt lokalnej wersji Nowego Testamentu. Tradycja grecka pozostała najwyraźniej zupełnie nimi niedotknięta. Od III wieku nawet Orygenes nie był w stanie skutecznie zmienić tekst.</w:t>
      </w:r>
    </w:p>
    <w:p>
      <w:pPr>
        <w:pStyle w:val="BlockText"/>
      </w:pPr>
      <w:r>
        <w:t xml:space="preserve">To prowadzi nas do drugiej istotnej kwestii – okresu, w którym żył. Od początku III wieku nie można już było korzystać z przysługującej wcześniej swobody wprowadzania zmian w tekście. Tatian jest ostatnim autorem, o którym mamy jednoznaczne informacje, że celowo wprowadzał zmiany w tekście. Pomiędzy Tatianem a Orygenesem poglądy chrześcijańskie uległy takiej zmianie, że nie było już możliwe wprowadzanie zmian w tekście, niezależnie od tego, czy były one niegroźne, czy też nie.</w:t>
      </w:r>
      <w:r>
        <w:t xml:space="preserve"> </w:t>
      </w:r>
      <w:r>
        <w:rPr>
          <w:rStyle w:val="FootnoteReference"/>
        </w:rPr>
        <w:footnoteReference w:id="160"/>
      </w:r>
    </w:p>
    <w:p>
      <w:pPr>
        <w:pStyle w:val="FirstParagraph"/>
      </w:pPr>
      <w:r>
        <w:t xml:space="preserve">Uważa on, że postawa ta była reakcją na przeróbkę tekstu dokonaną przez heretyków z II wieku. Z pewnością wywołało to ogromne oburzenie i niezależnie od przyczyny wydaje się, że po 200 r. n.e. nie doszło już do większych szkód.</w:t>
      </w:r>
      <w:r>
        <w:rPr>
          <w:rStyle w:val="FootnoteReference"/>
        </w:rPr>
        <w:footnoteReference w:id="161"/>
      </w:r>
      <w:r>
        <w:t xml:space="preserve"> </w:t>
      </w:r>
      <w:r>
        <w:t xml:space="preserve">Jednak zdecydowanie nie zgadzam się z twierdzeniem Kilpatricka na temat „przysługującej wcześniej swobody wprowadzania zmian w tekście”. Nie było takiej „swobody”, była to przewrotność wrogów Prawdy.</w:t>
      </w:r>
    </w:p>
    <w:p>
      <w:pPr>
        <w:pStyle w:val="BodyText"/>
      </w:pPr>
      <w:r>
        <w:t xml:space="preserve">Zniekształcone formy tekstowe</w:t>
      </w:r>
    </w:p>
    <w:p>
      <w:pPr>
        <w:pStyle w:val="BodyText"/>
      </w:pPr>
      <w:r>
        <w:t xml:space="preserve">Skala trudności tekstowych z II wieku może być łatwo wyolbrzymiona. Niemniej jednak przytoczone dowody potwierdzają, że tworzone były zniekształcone formy tekstu Nowego Testamentu. Naturalnie, niektóre z tych form tekstowych mogły zdobyć lokalną i tymczasową popularność, ale z trudem mogły stać się czymś więcej niż tylko zawirowaniami na obrzeżach nurtu „większościowego”. Przypomnij sobie, że możliwość sprawdzenia z Autografami lub gwarantowanymi kopiami musiała służyć powstrzymaniu rozprzestrzeniania się takich form tekstowych.</w:t>
      </w:r>
    </w:p>
    <w:p>
      <w:pPr>
        <w:pStyle w:val="BodyText"/>
      </w:pPr>
      <w:r>
        <w:t xml:space="preserve">Dla przykładu Gajusz</w:t>
      </w:r>
      <w:r>
        <w:rPr>
          <w:rStyle w:val="FootnoteReference"/>
        </w:rPr>
        <w:footnoteReference w:id="162"/>
      </w:r>
      <w:r>
        <w:t xml:space="preserve">, ortodoksyjny Ojciec piszący pod koniec II wieku, wymienił czterech heretyków, którzy nie tylko zmieniali tekst, ale mieli uczniów, którzy powielali kopie ich dzieł. Szczególnie interesujący tu jest jego zarzut, że nie mogli oni zaprzeczyć swojej winie, ponieważ nie byli w stanie przedstawić oryginałów, z których sporządzili swoje kopie.</w:t>
      </w:r>
      <w:r>
        <w:rPr>
          <w:rStyle w:val="FootnoteReference"/>
        </w:rPr>
        <w:footnoteReference w:id="163"/>
      </w:r>
      <w:r>
        <w:t xml:space="preserve"> </w:t>
      </w:r>
      <w:r>
        <w:t xml:space="preserve">Byłoby to pustym oskarżeniem ze strony Gajusza, gdyby on sam również nie był w stanie przedstawić tych Oryginałów. Argumentowałem już, że kościoły w Azji Mniejszej, na przykład, nadal posiadały albo Autografy, albo dokładne kopie, które same sporządzili – dzięki czemu</w:t>
      </w:r>
      <w:r>
        <w:t xml:space="preserve"> </w:t>
      </w:r>
      <w:r>
        <w:rPr>
          <w:bCs/>
          <w:b/>
        </w:rPr>
        <w:t xml:space="preserve">wiedzieli</w:t>
      </w:r>
      <w:r>
        <w:t xml:space="preserve"> </w:t>
      </w:r>
      <w:r>
        <w:t xml:space="preserve">absolutnie, jakie były prawdziwe sformułowania i mogli odrzucać zniekształcone formy z pełnym przekonaniem. Człowiek taki jak Polikarp byłby nadal w stanie potwierdzić w 150 r. n.e., w razie potrzeby litera po literze, oryginalne sformułowania tekstu większości ksiąg Nowego Testamentu. I prawdopodobnie jego manuskrypty nie zostały spalone wraz z nim.</w:t>
      </w:r>
    </w:p>
    <w:p>
      <w:pPr>
        <w:pStyle w:val="BodyText"/>
      </w:pPr>
      <w:r>
        <w:t xml:space="preserve">Presja wynikałaby nie tylko z Autografów, ale także z już ugruntowanej dynamiki przekazywania tekstu, jaką cieszyła się większościowa forma tekstowa. Jak już omówiliśmy, statystyczne prawdopodobieństwa przemawiające przeciwko jakimkolwiek zniekształconym formom tekstowym byłyby przytłaczające. Krótko mówiąc, chociaż powstała oszałamiająca liczba wariantów, sądząc po zachowanych świadkach, i rzeczywiście wywierały one zakłócający wpływ na strumień przekazywania, nie zdołałyby one udaremnić postępu normalnego przebiegu przekazywania.</w:t>
      </w:r>
    </w:p>
    <w:bookmarkEnd w:id="164"/>
    <w:bookmarkStart w:id="177" w:name="strumień-przekazywania"/>
    <w:p>
      <w:pPr>
        <w:pStyle w:val="Heading3"/>
      </w:pPr>
      <w:r>
        <w:t xml:space="preserve">Strumień przekazywania</w:t>
      </w:r>
    </w:p>
    <w:p>
      <w:pPr>
        <w:pStyle w:val="FirstParagraph"/>
      </w:pPr>
      <w:r>
        <w:t xml:space="preserve">Jakiego rodzaju obrazu możemy się zatem spodziewać po zachowanych świadkach, zakładając, że historia przekazywania Tekstu Nowego Testamentu przebiegała w przeważającej mierze normalnie? Możemy spodziewać się szerokiego spektrum kopii, wykazujących drobne różnice wynikające z błędów kopiowania, ale wszystkie odzwierciedlające jedną wspólną tradycję. Jednoczesne istnienie nienormalnego przekazywania w pierwszych wiekach skutkowałoby pojawieniem się nielicznych kopii, chaotycznie rozmieszczonych poza tym głównym strumieniem. Obraz ten wyglądałby mniej więcej tak, jak na</w:t>
      </w:r>
      <w:r>
        <w:t xml:space="preserve"> </w:t>
      </w:r>
      <w:r>
        <w:rPr>
          <w:iCs/>
          <w:i/>
        </w:rPr>
        <w:t xml:space="preserve">rysunku A</w:t>
      </w:r>
      <w:r>
        <w:t xml:space="preserve">.</w:t>
      </w:r>
    </w:p>
    <w:p>
      <w:pPr>
        <w:pStyle w:val="BodyText"/>
      </w:pPr>
      <w:r>
        <w:t xml:space="preserve">Manuskrypty w obrębie stożków reprezentują „normalny” przebieg przekazywania. Po lewej stronie zaznaczyłem kilka możliwych przedstawicieli tego, co moglibyśmy nazwać „nieodpowiedzialnym” przekazywaniem tekstu – kopiści tworzyli kiepskie kopie z powodu niekompetencji lub niedbalstwa, ale nie wprowadzali celowych zmian. Po prawej stronie zaznaczyłem kilka możliwych przedstawicieli tego, co moglibyśmy nazwać „sfabrykowanym” przekazem tekstu – skrybowie wprowadzali celowe zmiany w tekście (z jakichkolwiek powodów), tworząc sfabrykowane kopie, a nie wierne kopie. Doskonale zdaję sobie sprawę, że manuskrypty przedstawione na poniższym rysunku zawierają zarówno błędy wynikające z niedbalstwa, jak i celowe, w różnych proporcjach (7Q5, 4, 8 oraz P</w:t>
      </w:r>
      <w:r>
        <w:rPr>
          <w:vertAlign w:val="superscript"/>
        </w:rPr>
        <w:t xml:space="preserve">52,64,67</w:t>
      </w:r>
      <w:r>
        <w:t xml:space="preserve"> </w:t>
      </w:r>
      <w:r>
        <w:t xml:space="preserve">są zbyt fragmentaryczne, by można było zaklasyfikować ich błędy jako celowe, a nie wynikające z niedbalstwa), tak więc każda klasyfikacja, jaką tutaj próbuję przeprowadzić, musi być względna i daje zniekształcony obraz. Mimo to ośmielam się twierdzić, że ignorancja, niedbalstwo, nadgorliwość i złe zamiary odcisnęły swoje piętno na przekazie tekstu Nowego Testamentu i musimy je uwzględnić przy każdej próbie rekonstrukcji historii tego przekazu.</w:t>
      </w:r>
    </w:p>
    <w:p>
      <w:pPr>
        <w:pStyle w:val="BodyText"/>
      </w:pPr>
      <w:r>
        <w:drawing>
          <wp:inline>
            <wp:extent cx="5334000" cy="3390972"/>
            <wp:effectExtent b="0" l="0" r="0" t="0"/>
            <wp:docPr descr="Rysunek A" title="" id="166" name="Picture"/>
            <a:graphic>
              <a:graphicData uri="http://schemas.openxmlformats.org/drawingml/2006/picture">
                <pic:pic>
                  <pic:nvPicPr>
                    <pic:cNvPr descr="images/Rysunek_A.jpg" id="167" name="Picture"/>
                    <pic:cNvPicPr>
                      <a:picLocks noChangeArrowheads="1" noChangeAspect="1"/>
                    </pic:cNvPicPr>
                  </pic:nvPicPr>
                  <pic:blipFill>
                    <a:blip r:embed="rId165"/>
                    <a:stretch>
                      <a:fillRect/>
                    </a:stretch>
                  </pic:blipFill>
                  <pic:spPr bwMode="auto">
                    <a:xfrm>
                      <a:off x="0" y="0"/>
                      <a:ext cx="5334000" cy="3390972"/>
                    </a:xfrm>
                    <a:prstGeom prst="rect">
                      <a:avLst/>
                    </a:prstGeom>
                    <a:noFill/>
                    <a:ln w="9525">
                      <a:noFill/>
                      <a:headEnd/>
                      <a:tailEnd/>
                    </a:ln>
                  </pic:spPr>
                </pic:pic>
              </a:graphicData>
            </a:graphic>
          </wp:inline>
        </w:drawing>
      </w:r>
      <w:r>
        <w:br/>
      </w:r>
      <w:r>
        <w:rPr>
          <w:bCs/>
          <w:b/>
        </w:rPr>
        <w:t xml:space="preserve">Rysunek A</w:t>
      </w:r>
      <w:r>
        <w:rPr>
          <w:rStyle w:val="FootnoteReference"/>
        </w:rPr>
        <w:footnoteReference w:id="168"/>
      </w:r>
    </w:p>
    <w:p>
      <w:pPr>
        <w:pStyle w:val="BodyText"/>
      </w:pPr>
      <w:r>
        <w:t xml:space="preserve">Jak sugeruje rysunek, twierdzę, że kampania Dioklecjana miała oczyszczający wpływ na strumień przekazywania. Aby wytrzymać tortury, zamiast oddać manuskrypt(y), trzeba było być prawdziwie oddanym wierzącym, typem człowieka, który pragnął dobrych kopii Pism Świętych. Dlatego też zniszczono prawdopodobnie głównie bardziej zanieczyszczone manuskrypty, pozostawiając te czystsze manuskrypty, by ponownie zasiliły ziemię.</w:t>
      </w:r>
      <w:r>
        <w:rPr>
          <w:rStyle w:val="FootnoteReference"/>
        </w:rPr>
        <w:footnoteReference w:id="169"/>
      </w:r>
      <w:r>
        <w:t xml:space="preserve"> </w:t>
      </w:r>
      <w:r>
        <w:t xml:space="preserve">Strzałka wewnątrz stożków reprezentuje Rodzinę 35 (patrz część II poniżej).</w:t>
      </w:r>
    </w:p>
    <w:p>
      <w:pPr>
        <w:pStyle w:val="BodyText"/>
      </w:pPr>
      <w:r>
        <w:t xml:space="preserve">Nasuwa się jeszcze jedna refleksja – gdyby, zgodnie z doniesieniami, kampania Dioklecjana była najostrzejsza i najskuteczniejsza na obszarze bizantyjskim, przewaga liczebna „bizantyjskiego” typu tekstu nad typami „zachodnim” i „aleksandryjskim” uległaby zmniejszeniu, dając tym ostatnim szansę na wysunięcie się naprzód. Tak się jednak nie stało. Kościół w większości odmówił rozpowszechniania tych form greckiego tekstu.</w:t>
      </w:r>
    </w:p>
    <w:p>
      <w:pPr>
        <w:pStyle w:val="BodyText"/>
      </w:pPr>
      <w:r>
        <w:t xml:space="preserve">To, co odkrywamy po przeanalizowaniu świadków, to właśnie taki obraz. Mamy Tekst Większościowy (Aland) lub Tekst Tradycyjny (Burgon), dominujące strumień przekazu, z kilkoma indywidualnymi świadkami podążającymi własnymi, specyficznymi drogami. W rozdziale 4 mojej książki</w:t>
      </w:r>
      <w:r>
        <w:t xml:space="preserve"> </w:t>
      </w:r>
      <w:r>
        <w:rPr>
          <w:iCs/>
          <w:i/>
        </w:rPr>
        <w:t xml:space="preserve">Tożsamość IV</w:t>
      </w:r>
      <w:r>
        <w:t xml:space="preserve"> </w:t>
      </w:r>
      <w:r>
        <w:t xml:space="preserve">wykazuję, że pojęcie „typów tekstowych” i opracowań krytycznych, jak zdefiniowali je i stosowali Hort i jego zwolennicy, jest bezpodstawne. Pojęcie „strumieni” Eppa nie wypada lepiej. Istnieje tylko jeden strumień (właściwie rzeka), z wieloma małymi wirami wzdłuż brzegów.</w:t>
      </w:r>
      <w:r>
        <w:rPr>
          <w:rStyle w:val="FootnoteReference"/>
        </w:rPr>
        <w:footnoteReference w:id="170"/>
      </w:r>
      <w:r>
        <w:t xml:space="preserve"> </w:t>
      </w:r>
      <w:r>
        <w:t xml:space="preserve">Kiedy mówię, że Tekst Większościowy dominuje strumień, mam na myśli to, że jest on reprezentowany w około 95% manuskryptów.</w:t>
      </w:r>
      <w:r>
        <w:rPr>
          <w:rStyle w:val="FootnoteReference"/>
        </w:rPr>
        <w:footnoteReference w:id="171"/>
      </w:r>
    </w:p>
    <w:p>
      <w:pPr>
        <w:pStyle w:val="BodyText"/>
      </w:pPr>
      <w:r>
        <w:t xml:space="preserve">W rzeczywistości takie stwierdzenie jest nie do końca satysfakcjonujące, ponieważ nie pozwala na uwzględnienie mieszanki lub zmiennych podobieństw występujących w poszczególnych manuskryptach. Lepszym, choć bardziej zawiłym sposobem opisania tej sytuacji byłoby coś takiego: 100% manuskryptów zgadza się co do, powiedzmy, 50% Tekstu, 99% zgadza się co do kolejnych 40%, ponad 95% zgadza się co do kolejnych 4%, ponad 90% zgadza się co do kolejnych 2%, ponad 80% zgadza się co do kolejnych 2%, tylko w przypadku około 2% Tekstu mniej niż 80% rękopisów jest zgodnych, a nieproporcjonalnie duża liczba tych przypadków występuje w Objawieniu Jana.</w:t>
      </w:r>
      <w:r>
        <w:rPr>
          <w:rStyle w:val="FootnoteReference"/>
        </w:rPr>
        <w:footnoteReference w:id="172"/>
      </w:r>
    </w:p>
    <w:p>
      <w:pPr>
        <w:pStyle w:val="BodyText"/>
      </w:pPr>
      <w:r>
        <w:t xml:space="preserve">A członkowie niezgadzającej się grupy różnią się od odczytu do odczytu.</w:t>
      </w:r>
      <w:r>
        <w:rPr>
          <w:rStyle w:val="FootnoteReference"/>
        </w:rPr>
        <w:footnoteReference w:id="173"/>
      </w:r>
      <w:r>
        <w:t xml:space="preserve"> </w:t>
      </w:r>
      <w:r>
        <w:t xml:space="preserve">Niemniej jednak, z uwzględnieniem powyższego zastrzeżenia, można zasadnie stwierdzić, że nawet 95% zachowanych manuskryptów należy do większościowej tradycji tekstowej.</w:t>
      </w:r>
    </w:p>
    <w:p>
      <w:pPr>
        <w:pStyle w:val="BodyText"/>
      </w:pPr>
      <w:r>
        <w:t xml:space="preserve">Nie widzę żadnego sposobu, by wyjaśnić dominację na poziomie 95% (lub 90%), chyba że tekst ten wywodzi się z Autografów. Hort dostrzegł ten problem i opracował poprawkę. Wydaje się, że Sturz nie dostrzegł tego problemu. Wykazuje on, że „typ tekstu bizantyjskiego” jest wczesny i niezależny od „typów tekstów zachodnich” i „aleksandryjskich” i podobnie jak von Soden pragnie traktować je jako trzech równych świadków.</w:t>
      </w:r>
      <w:r>
        <w:rPr>
          <w:rStyle w:val="FootnoteReference"/>
        </w:rPr>
        <w:footnoteReference w:id="174"/>
      </w:r>
      <w:r>
        <w:t xml:space="preserve"> </w:t>
      </w:r>
      <w:r>
        <w:t xml:space="preserve">Ale gdyby te trzy „typy tekstów” były równe, w jaki sposób tak zwany „bizantyjski” mógłby kiedykolwiek uzyskać przewagę wynoszącą 90–95%?</w:t>
      </w:r>
    </w:p>
    <w:p>
      <w:pPr>
        <w:pStyle w:val="BodyText"/>
      </w:pPr>
      <w:r>
        <w:t xml:space="preserve">Argument oparty na prawdopodobieństwie statystycznym wkracza tutaj ze zdwojoną siłą. Zachowane manuskrypty nie tylko przedstawiają nam jedną formę tekstową, która cieszy się 95-procentową większością, ale pozostałe 5% nie stanowi pojedynczej konkurencyjnej formy tekstowej. Manuskrypty mniejszościowe różnią się między sobą w takim samym stopniu (lub nawet bardziej), jak różnią się od tekstu większościowego. To, że dwa z nich są ze sobą tak zgodne, jak P</w:t>
      </w:r>
      <w:r>
        <w:rPr>
          <w:vertAlign w:val="superscript"/>
        </w:rPr>
        <w:t xml:space="preserve">75</w:t>
      </w:r>
      <w:r>
        <w:t xml:space="preserve"> </w:t>
      </w:r>
      <w:r>
        <w:t xml:space="preserve">i B, jest ewenementem. Nie rozstrzygamy zatem między dwiema formami tekstu, z których jedna reprezentuje 95% manuskryptów, a druga 5%. Musimy raczej rozstrzygnąć między 95% a ułamkiem 1% (porównując na przykład tekst większościowy z formą tekstu P</w:t>
      </w:r>
      <w:r>
        <w:rPr>
          <w:vertAlign w:val="superscript"/>
        </w:rPr>
        <w:t xml:space="preserve">75</w:t>
      </w:r>
      <w:r>
        <w:t xml:space="preserve">, B). Albo, aby podać konkretny przykład, w 1 Liście do Tymoteusza 3,16 około 600 greckich manuskryptów (oprócz lekcjonarzy) zawiera odczyt „Bóg”, podczas gdy tylko dziewięć odczytów zawiera inne słowo. Spośród tych dziewięciu odczytów, trzy mają odczyty indywidualne, a sześć zgadza się co do odczytu „kto”.</w:t>
      </w:r>
      <w:r>
        <w:rPr>
          <w:rStyle w:val="FootnoteReference"/>
        </w:rPr>
        <w:footnoteReference w:id="175"/>
      </w:r>
      <w:r>
        <w:t xml:space="preserve"> </w:t>
      </w:r>
      <w:r>
        <w:t xml:space="preserve">Musimy więc rozstrzygać między 98,5% a 1%, „Bóg” kontra „kto”. Trudno wyobrazić sobie jakikolwiek zbieg okoliczności w historii przekazywania, który wystarczyłby do wywołania katastrofalnego przewrotu w prawdopodobieństwie statystycznym, wymaganego do twierdzenia, że „kto” jest odczytem oryginalnym.</w:t>
      </w:r>
    </w:p>
    <w:p>
      <w:pPr>
        <w:pStyle w:val="BodyText"/>
      </w:pPr>
      <w:r>
        <w:t xml:space="preserve">Naprawdę wydaje się, że Ci uczeni, którzy odrzucają Tekst Większościowy, stoją przed poważnym problemem. Jak to wyjaśnić, jeśli nie odzwierciedla on Oryginału? Koncepcja Horta dotycząca Rewizji Lucjańskiej została odrzucona przez większość uczonych z powodu całkowitego braku dowodów historycznych. Eklektycy nawet nie próbują. Pogląd „procesowy” nie został sformułowany wystarczająco szczegółowo, by umożliwić jego obalenie, ale na pierwszy rzut oka jest on wprost sprzeczny z argumentem opartym na prawdopodobieństwie statystycznym.</w:t>
      </w:r>
      <w:r>
        <w:rPr>
          <w:rStyle w:val="FootnoteReference"/>
        </w:rPr>
        <w:footnoteReference w:id="176"/>
      </w:r>
      <w:r>
        <w:t xml:space="preserve"> </w:t>
      </w:r>
      <w:r>
        <w:t xml:space="preserve">W jaki sposób jakakolwiek ilość „procesów” mógłaby wypełnić lukę między B lub Alefem a Textus Receptus?</w:t>
      </w:r>
    </w:p>
    <w:p>
      <w:pPr>
        <w:pStyle w:val="BodyText"/>
      </w:pPr>
      <w:r>
        <w:t xml:space="preserve">Istnieje jednak bardziej podstawowy problem związany z podejściem procesowym. Hort jasno i słusznie dostrzegł, że Tekst Większościowy musi mieć wspólny archetyp. Przypomnijmy, że metoda genealogiczna Horta opierała się na wspólnocie</w:t>
      </w:r>
      <w:r>
        <w:t xml:space="preserve"> </w:t>
      </w:r>
      <w:r>
        <w:rPr>
          <w:bCs/>
          <w:b/>
        </w:rPr>
        <w:t xml:space="preserve">błędów</w:t>
      </w:r>
      <w:r>
        <w:t xml:space="preserve">. W oparciu o hipotezę, że Tekst Większościowy jest późną i gorszą formą tekstową, ogromna liczba wspólnych odczytów, które odróżniają go od tak zwanych „zachodnich” lub „aleksandryjskich typów tekstowych”, musi stanowić</w:t>
      </w:r>
      <w:r>
        <w:t xml:space="preserve"> </w:t>
      </w:r>
      <w:r>
        <w:rPr>
          <w:bCs/>
          <w:b/>
        </w:rPr>
        <w:t xml:space="preserve">błędy</w:t>
      </w:r>
      <w:r>
        <w:t xml:space="preserve"> </w:t>
      </w:r>
      <w:r>
        <w:t xml:space="preserve">(co było dokładnie twierdzeniem Horta), a taka zgodność w błędach musiałaby mieć wspólne źródło. Pogląd procesowy całkowicie nie potrafi wyjaśnić takiej zgodności w błędach (w oparciu o tę hipotezę).</w:t>
      </w:r>
    </w:p>
    <w:p>
      <w:pPr>
        <w:pStyle w:val="BodyText"/>
      </w:pPr>
      <w:r>
        <w:t xml:space="preserve">Hort dostrzegł potrzebę wspólnego źródła i zaproponował Rewizję Lucjańską. Obecnie badacze powszechnie uznają, że „typ tekstu bizantyjskiego” musi sięgać co najmniej II wieku. Jakie jednak szanse miałby oryginalny dokument „bizantyjski”, czyli archetyp, na upowszechnienie się, skoro nadal możliwe było odwoływanie się do Autografów (o ile był to odrębny wynalazek)?</w:t>
      </w:r>
    </w:p>
    <w:p>
      <w:pPr>
        <w:pStyle w:val="BodyText"/>
      </w:pPr>
      <w:r>
        <w:t xml:space="preserve">Szczerze mówiąc, istnieje tylko jedno rozsądne wyjaśnienie dotyczące Tekstu Większościowego, jakie dotychczas przedstawiono — jest on wynikiem zasadniczo normalnego procesu przekazywania, a wspólnym źródłem jego konsensusu są Autografy. Przez wieki kopiowania oryginalny tekst zawsze znajdował odzwierciedlenie z dużą dozą dokładności w całej tradycji rękopiśmiennej. Przedstawiona powyżej historia tekstu nie tylko dobrze wyjaśnia istnienie Tekstu Większościowego, wyjaśnia także istnienie niespójnej mniejszości manuskryptów. Są one pozostałościami po nienormalnym przebiegu przekazywania tekstu, odzwierciedlającymi starożytne, nieprawidłowe formy. To właśnie opieranie się na takich nieprawidłowych formach odróżnia współczesne krytyczne/eklektyczne wydania greckiego Nowego Testamentu oraz oparte na nich współczesne tłumaczenia.</w:t>
      </w:r>
    </w:p>
    <w:bookmarkEnd w:id="177"/>
    <w:bookmarkStart w:id="185" w:name="jakie-są-rzeczywiste-dowody"/>
    <w:p>
      <w:pPr>
        <w:pStyle w:val="Heading3"/>
      </w:pPr>
      <w:r>
        <w:t xml:space="preserve">Jakie są rzeczywiste dowody?</w:t>
      </w:r>
    </w:p>
    <w:p>
      <w:pPr>
        <w:pStyle w:val="FirstParagraph"/>
      </w:pPr>
      <w:r>
        <w:t xml:space="preserve">Jakie są rzeczywiste dowody, które należy poddać ocenie? Manuskrypty zawierające ciągły tekst stanowią świadectwa pierwszorzędne. Lekcjonarze są świadectwami drugorzędnymi. Starożytne wersje i cytaty ojców Kościoła stanowią świadectwa trzeciorzędne. Wszelkie dowody historyczne, o ile można je zweryfikować, mają charakter pomocniczy. Znaczenie dowodów drugorzędnych i trzeciorzędnych zależy od założeń, że oryginalne brzmienie zostało utracone oraz że przekaz tekstu nie przebiegał w sposób normalny. Ponieważ oba te założenia są fałszywe, skupię się na świadectwach pierwszorzędnych, tym bardziej, że jest ich tak wiele.</w:t>
      </w:r>
    </w:p>
    <w:p>
      <w:pPr>
        <w:pStyle w:val="BodyText"/>
      </w:pPr>
      <w:r>
        <w:t xml:space="preserve">Do głównych świadków zalicza się zazwyczaj trzy rodzaje: papirusy, uncjały i pisma kursywne. Zarówno papirusy, jak i uncjały są zapisane wielkimi literami (często bez odstępów między wyrazami), a różnica polega na używanym materiale – papirusie lub pergaminie (skórze). Pisma kursywne są zapisywane małymi literami, często połączonymi ze sobą, i zazwyczaj z odstępami między wyrazami, jako materiał używano pergaminu lub papieru. Pismo uncjałowe było stosowane wyłącznie do IX wieku, kiedy to pojawiły się pierwsze manuskrypty kursywne. Do XI wieku pismo kursywne zdominowało.</w:t>
      </w:r>
    </w:p>
    <w:p>
      <w:pPr>
        <w:pStyle w:val="BodyText"/>
      </w:pPr>
      <w:r>
        <w:t xml:space="preserve">Międzynarodowy wykaz zachowanych (znanych) manuskryptów Nowego Testamentu jest prowadzony przez Instytut Badań Tekstologicznych Nowego Testamentu (INTF) w Münster w Niemczech. Nazywa się on</w:t>
      </w:r>
      <w:r>
        <w:t xml:space="preserve"> </w:t>
      </w:r>
      <w:r>
        <w:rPr>
          <w:iCs/>
          <w:i/>
        </w:rPr>
        <w:t xml:space="preserve">Kurzgefasste Liste</w:t>
      </w:r>
      <w:r>
        <w:t xml:space="preserve">.</w:t>
      </w:r>
      <w:r>
        <w:rPr>
          <w:rStyle w:val="FootnoteReference"/>
        </w:rPr>
        <w:footnoteReference w:id="178"/>
      </w:r>
      <w:r>
        <w:t xml:space="preserve"> </w:t>
      </w:r>
      <w:r>
        <w:t xml:space="preserve">Według stanu na luty 2018 r. lista wykazu zawierała 133 papirusy, 282 manuskrypty uncjałowe (majuskuły) oraz około 2 850 ponumerowanych manuskryptów kursywnych (minuskuły).</w:t>
      </w:r>
    </w:p>
    <w:p>
      <w:pPr>
        <w:pStyle w:val="BodyText"/>
      </w:pPr>
      <w:r>
        <w:t xml:space="preserve">Datowanie manuskryptów to śliski interes, podatny na domysły, stronniczość i „linię partyjną”. Czytelnik powinien rozumieć, że daty przypisane poszczególnym manuskryptom mogą być niewiele więcej niż przybliżonymi przypuszczeniami, do tego stopnia, że zazwyczaj podane są jako stulecie. Jeśli manuskrypt posiada konkretną datę, oznacza to, że kopista zapisał ją gdy skończył.</w:t>
      </w:r>
    </w:p>
    <w:p>
      <w:pPr>
        <w:pStyle w:val="BodyText"/>
      </w:pPr>
      <w:r>
        <w:t xml:space="preserve">Sporządziłem przybliżone zestawienie papirusów według stuleci (przyjmując późniejszą datę, gdy była taka opcja)</w:t>
      </w:r>
      <w:r>
        <w:t xml:space="preserve"> </w:t>
      </w:r>
      <w:r>
        <w:rPr>
          <w:rStyle w:val="FootnoteReference"/>
        </w:rPr>
        <w:footnoteReference w:id="179"/>
      </w:r>
      <w:r>
        <w:t xml:space="preserve">, obejmują one okres od II do VIII wieku: II — 4, III — 49, IV — 31, V — 14, VI — 16, VII — 16, VIII — 3. Spośród tych 133 papirusów, 35 zawiera mniej niż pięć wersetów(są to jedynie fragmenty)</w:t>
      </w:r>
      <w:r>
        <w:rPr>
          <w:rStyle w:val="FootnoteReference"/>
        </w:rPr>
        <w:footnoteReference w:id="180"/>
      </w:r>
      <w:r>
        <w:t xml:space="preserve">, 76 zawiera od sześciu do dwudziestu wersetów (nadal fragmenty), 13 zawiera mniej niż dwa rozdziały, a tylko 9 z nich ma znaczną objętość. Dla około 40 rozdziałów w całym Nowym Testamencie nie ma żadnego świadectwa papirusowego. Jedynie Ewangelia Łukasza, Ewangelia Jana, Dzieje Apostolskie, List do Hebrajczyków, 1 i 2 List Piotra oraz List Judy mają świadectwo papirusowe dla całego rozdziału. Tylko jeden papirus zawiera kompletną księgę: P</w:t>
      </w:r>
      <w:r>
        <w:rPr>
          <w:vertAlign w:val="superscript"/>
        </w:rPr>
        <w:t xml:space="preserve">72</w:t>
      </w:r>
      <w:r>
        <w:t xml:space="preserve"> </w:t>
      </w:r>
      <w:r>
        <w:t xml:space="preserve">zawiera 1 i 2 List Piotra oraz List Judy. Znaczenie przypisywane papirusom będzie zależało od indywidualnych założeń.</w:t>
      </w:r>
    </w:p>
    <w:p>
      <w:pPr>
        <w:pStyle w:val="BodyText"/>
      </w:pPr>
      <w:r>
        <w:t xml:space="preserve">Sporządziłem przybliżone zestawienie uncjałów według stuleci (przyjmując późniejszą datę, gdy była taka opcja), obejmują one okres od III do XI wieku: III — 2, IV — 18, V — 50, VI — 65, VII — 36, VIII — 27, IX — 62, X — 20, XI — 2. Spośród tych 282 uncjałów 182 zawierają mniej niż jeden rozdział (większość z nich ma tylko kilka wersetów, a niektóre nawet mniej), kolejne 37 zawierają mniej niż całą księgę, jedynie 63 zawierają kompletną księgę lub więcej. Znaczenie przypisywane uncjałom będzie zależało od indywidualnych założeń.</w:t>
      </w:r>
    </w:p>
    <w:p>
      <w:pPr>
        <w:pStyle w:val="BodyText"/>
      </w:pPr>
      <w:r>
        <w:t xml:space="preserve">Pisma kursywne mają rozpiętość dat od IX do XVII wieku. Zdecydowana większość z nich, około 2 130, skupia się w czterech stuleciach: od XI do XIV. Około 90 z nich jest dość fragmentarycznych, a wiele więcej nie jest kompletnych. Około 25 z nich ma numer, ale wiadomo o nich tak niewiele, że najwyraźniej nie są dostępne, a równie wiele zniknęło z pola widzenia. Mimo to pozostało wystarczająco dużo, by zapewnić nam zajęcie na bardzo, bardzo długi czas.</w:t>
      </w:r>
    </w:p>
    <w:p>
      <w:pPr>
        <w:pStyle w:val="BodyText"/>
      </w:pPr>
      <w:r>
        <w:t xml:space="preserve">Przed wynalezieniem papieru, materiałami używanymi do tworzenia kopii były papirus i pergamin (skóra), oba grubsze od papieru. Kompletny Nowy Testament oprawiony w jednym tomie byłby raczej opasły i dość kosztowny. Dlatego już na początku zaczęto oprawiać księgi w mniejsze grupy: cztery Ewangelie, listy Pawła (w tym List do Hebrajczyków), Dzieje Apostolskie i Listy Ogólne, z Objawieniem dodanym tu i ówdzie. Ewangelie były zdecydowanie najpopularniejsze, po nich listy Pawła. W chwili pisania tego tekstu znamy około 2 350 manuskryptów (włącznie z fragmentami), które zawierają jakąś część Ewangelii, około 800 zawierających jakąś część listów Pawła, ponad 650 zawierających jakąś część Dziejów Apostolskich, ponad 600 zawierających jakąś część Listów Ogólnych oraz około 300 zawierających jakąś część Objawienia. Znamy około 60 kompletnych Nowych Testamentów, kolejne 150 zawierających wszystkie księgi z wyjątkiem Objawienia oraz około 270 zawierających Dzieje Apostolskie aż po List Judy.</w:t>
      </w:r>
    </w:p>
    <w:p>
      <w:pPr>
        <w:pStyle w:val="BodyText"/>
      </w:pPr>
      <w:r>
        <w:t xml:space="preserve">Nie wszystkie z powyższych będą dostępne do pracy dla zainteresowanej osoby. Rozważ Ewangelie: spośród 2 350 manuskryptów wspomnianych powyżej, dla dowolnej pojedynczej Ewangelii (np. Ewangelii Jana) liczba ta wyniesie około 2 000. Jednak ze względu na fragmenty, uszkodzenia i luki, dla każdego wersetu liczba ta wyniesie około 1 700. INTF w Münster w Niemczech posiada mikrofilmy prawie wszystkich z nich.</w:t>
      </w:r>
      <w:r>
        <w:t xml:space="preserve"> </w:t>
      </w:r>
      <w:r>
        <w:rPr>
          <w:bCs/>
          <w:b/>
        </w:rPr>
        <w:t xml:space="preserve">Jednak</w:t>
      </w:r>
      <w:r>
        <w:t xml:space="preserve"> </w:t>
      </w:r>
      <w:r>
        <w:t xml:space="preserve">taka zainteresowana osoba musi zrozumieć, że nie ma do czynienia z 1 700 niezależnymi świadkami – te manuskrypty reprezentują różne linie przekazu, lub „rodziny”, takie rodziny byłyby świadkami.</w:t>
      </w:r>
      <w:r>
        <w:t xml:space="preserve"> </w:t>
      </w:r>
      <w:r>
        <w:rPr>
          <w:rStyle w:val="FootnoteReference"/>
        </w:rPr>
        <w:footnoteReference w:id="181"/>
      </w:r>
      <w:r>
        <w:t xml:space="preserve"> </w:t>
      </w:r>
      <w:r>
        <w:t xml:space="preserve">Jednak między rodzinami będą wzajemne powiązania, a aby uzyskać pewność co do tych relacji, potrzebna jest naukowo opracowana rekonstrukcja historii przekazywania Tekstu Nowego Testamentu. Niestety, taka rekonstrukcja nie istnieje. Co gorsza, z powodu usypiającego wpływu teorii Horta, rodziny te nie zostały jeszcze zdefiniowane. Naukowo zdefiniowałem rodzinę 35 dla całego Nowego Testamentu, ale jak dotąd, o ile mi wiadomo, żadna inna rodzina nie została podobnie zdefiniowana. Być może w całym Nowym Testamencie nie istnieje żadna inna rodzina, ale to dopiero trzeba ustalić.</w:t>
      </w:r>
    </w:p>
    <w:p>
      <w:pPr>
        <w:pStyle w:val="BodyText"/>
      </w:pPr>
      <w:r>
        <w:t xml:space="preserve">Ci, którzy zajmują się katalogowaniem manuskryptów Nowego Testamentu, informują nas, że pod względem liczby zachowanych manuskryptów na czele plasują się XII i XIII wiek, a za nimi XIV, XI, XV, XVI i X wiek, w takiej kolejności. Istnieje ponad cztery razy więcej manuskryptów z XIII wieku niż z X wieku, ale oczywiście greka koine była językiem bardziej żywym w X wieku niż w XIII, a zatem popyt był większy, a co za tym idzie – większa była również podaż. Innymi słowy, wiele setek naprawdę czystych manuskryptów z X wieku uległo zniszczeniu. Przetrwał większy odsetek naprawdę dobrych manuskryptów powstałych w XIV wieku niż tych z XI wieku i tak dalej. Właśnie dlatego poziom zgodności między manuskryptami bizantyjskimi jest coraz wyższy, przy czym w XIV wieku odsetek ten jest wyższy niż w X wieku. Gdybyśmy jednak żyli w X wieku i przeprowadzili szeroko zakrojone badanie manuskryptów, stwierdzilibyśmy niemal taki sam poziom zgodności (być może 98%). Tak samo gdybyśmy żyli w VIII, VI, IV lub II wieku. Innymi słowy, ZACHOWANE MANUSKRYPTY Z PIERWSZYCH DZIESIĘCIU WIEKÓW NIE SĄ REPREZENTATYWNE DLA RZECZYWISTEGO STANU SPRAW W TAMTYM CZASIE.</w:t>
      </w:r>
      <w:r>
        <w:rPr>
          <w:rStyle w:val="FootnoteReference"/>
        </w:rPr>
        <w:footnoteReference w:id="182"/>
      </w:r>
    </w:p>
    <w:p>
      <w:pPr>
        <w:pStyle w:val="FirstParagraph"/>
      </w:pPr>
      <w:r>
        <w:t xml:space="preserve">Wydaje się, że Aland przyznaje, iż na przestrzeni wieków historii Kościoła tekst bizantyjski był uznawany za „tekst Kościoła”, a początek tego stanu rzeczy wywodzi od Lucjana.</w:t>
      </w:r>
      <w:r>
        <w:t xml:space="preserve"> </w:t>
      </w:r>
      <w:r>
        <w:rPr>
          <w:rStyle w:val="FootnoteReference"/>
        </w:rPr>
        <w:footnoteReference w:id="183"/>
      </w:r>
      <w:r>
        <w:t xml:space="preserve"> </w:t>
      </w:r>
      <w:r>
        <w:t xml:space="preserve">Wielokrotnie wspomina on o „szkole (w) Antiochii” oraz o Azji Mniejszej. Wszystko to jest bardzo interesujące, ponieważ w swojej książce zgadza się z Adolfem Harnackiem, że „około 180 r. największa koncentracja kościołów znajdowała się w Azji Mniejszej oraz wzdłuż greckiego wybrzeża Morza Egejskiego”.</w:t>
      </w:r>
      <w:r>
        <w:t xml:space="preserve"> </w:t>
      </w:r>
      <w:r>
        <w:rPr>
          <w:rStyle w:val="FootnoteReference"/>
        </w:rPr>
        <w:footnoteReference w:id="184"/>
      </w:r>
      <w:r>
        <w:t xml:space="preserve"> </w:t>
      </w:r>
      <w:r>
        <w:t xml:space="preserve">Jest to obszar, gdzie grecki był językiem ojczystym i gdzie nadal był używany. Jest to również obszar, który rozpoczął z większością Autografów. Aland kontynuuje jednak: „Nawet około 325 roku n.e. sytuacja pozostawała w dużej mierze niezmieniona. Azja Mniejsza nadal była sercem Kościoła”. „Serce Kościoła” – kto więc miałby lepszą pozycję, by zidentyfikować poprawny tekst Nowego Testamentu? Kto mógłby „sprzedać” sfałszowany tekst w Azji Mniejszej na początku IV wieku? Twierdzę, że tekst bizantyjski zdominował historię przekazu, ponieważ kościoły w Azji Mniejszej ręczyły za niego. I czyniły to, od samego początku, ponieważ wiedziały, że jest to prawdziwy tekst, otrzymawszy go od Apostołów. Tekst większościowy jest tym, czym jest, właśnie dlatego, że zawsze był</w:t>
      </w:r>
      <w:r>
        <w:t xml:space="preserve"> </w:t>
      </w:r>
      <w:r>
        <w:rPr>
          <w:bCs/>
          <w:b/>
        </w:rPr>
        <w:t xml:space="preserve">Tekstem Kościoła</w:t>
      </w:r>
      <w:r>
        <w:t xml:space="preserve">.</w:t>
      </w:r>
    </w:p>
    <w:bookmarkEnd w:id="185"/>
    <w:bookmarkEnd w:id="186"/>
    <w:bookmarkStart w:id="189" w:name="uwagi-końcowe"/>
    <w:p>
      <w:pPr>
        <w:pStyle w:val="Heading2"/>
      </w:pPr>
      <w:r>
        <w:t xml:space="preserve">Uwagi końcowe</w:t>
      </w:r>
    </w:p>
    <w:p>
      <w:pPr>
        <w:pStyle w:val="FirstParagraph"/>
      </w:pPr>
      <w:r>
        <w:t xml:space="preserve">Do tego miejsca zajmowałem się szerokim nurtem normalnego przebiegu przekazywania Tekstu Nowego Testamentu. Ten szeroki nurt jest powszechnie określany jako „bizantyjski” tekst lub typ tekstu. Jednak ten szeroki nurt składa się z wielu odrębnych linii przekazu – przypomnijmy, że F. Wisse wyodrębnił 36 takich linii na podstawie swoich badań nad Ewangelią Łukasza, rozdziałami 1, 10 i 20. Spośród tych 36 linii jedna jest zdecydowanie największa pod względem liczby reprezentatywnych manuskryptów i będę argumentował, że jest ona również bez wątpienia najlepsza. Nazywam tę linię przekazu „Rodziną 35”, a moje omówienie tej „rodziny” zajmuje część II.</w:t>
      </w:r>
      <w:r>
        <w:rPr>
          <w:rStyle w:val="FootnoteReference"/>
        </w:rPr>
        <w:footnoteReference w:id="187"/>
      </w:r>
      <w:r>
        <w:t xml:space="preserve">. Tam będę argumentował, że Rodzina 35 stanowi ostateczny dowód na to, że Bóg zachował Tekst Nowego Testamentu.</w:t>
      </w:r>
    </w:p>
    <w:p>
      <w:pPr>
        <w:pStyle w:val="BodyText"/>
      </w:pPr>
      <w:r>
        <w:t xml:space="preserve">Biorąc pod uwagę moje założenia, uważam, że mam dobry powód, by oświadczać zachowanie przez Boga dokładnych, oryginalnych sformułowań całego Tekstu Nowego Testamentu, aż do dnia dzisiejszego. Sformułowania te zostały odtworzone w moim wydaniu greckiego Nowego Testamentu,</w:t>
      </w:r>
      <w:r>
        <w:t xml:space="preserve"> </w:t>
      </w:r>
      <w:r>
        <w:rPr>
          <w:iCs/>
          <w:i/>
        </w:rPr>
        <w:t xml:space="preserve">The Greek New Testament According to Family 35</w:t>
      </w:r>
      <w:r>
        <w:t xml:space="preserve">. Książkę tę można zamówić na stronie Amazon.com bądź pobrać z mojej strony internetowej www.prunch.org. Wymieniam tutaj moje wnioski, obiecując czytelnikowi, że następnie przedstawię dowody prowadzące do tych wniosków (oprócz tych, które zostały już podane powyżej).</w:t>
      </w:r>
    </w:p>
    <w:p>
      <w:pPr>
        <w:pStyle w:val="BodyText"/>
      </w:pPr>
      <w:r>
        <w:t xml:space="preserve">Na podstawie jak dotąd dostępnych dowodów stwierdzam, co następuje:</w:t>
      </w:r>
    </w:p>
    <w:p>
      <w:pPr>
        <w:numPr>
          <w:ilvl w:val="0"/>
          <w:numId w:val="1007"/>
        </w:numPr>
      </w:pPr>
      <w:r>
        <w:t xml:space="preserve">Oryginalne sformułowania nigdy nie zostały „utracone”, a ich przekazywanie na przestrzeni lat przebiegało zasadniczo normalnie, będąc od początku rozpoznane jako materiał natchniony.</w:t>
      </w:r>
    </w:p>
    <w:p>
      <w:pPr>
        <w:numPr>
          <w:ilvl w:val="0"/>
          <w:numId w:val="1007"/>
        </w:numPr>
      </w:pPr>
      <w:r>
        <w:t xml:space="preserve">Ten naturalny proces doprowadził do powstania linii przekazywania.</w:t>
      </w:r>
    </w:p>
    <w:p>
      <w:pPr>
        <w:numPr>
          <w:ilvl w:val="0"/>
          <w:numId w:val="1007"/>
        </w:numPr>
      </w:pPr>
      <w:r>
        <w:t xml:space="preserve">Aby nakreślić takie linie, manuskrypty muszą być pogrupowane empirycznie na podstawie wspólnej mozaiki odczytów.</w:t>
      </w:r>
    </w:p>
    <w:p>
      <w:pPr>
        <w:numPr>
          <w:ilvl w:val="0"/>
          <w:numId w:val="1007"/>
        </w:numPr>
      </w:pPr>
      <w:r>
        <w:t xml:space="preserve">Takie grupy lub rodziny muszą zostać poddane ocenie pod kątem niezależności i wiarygodności.</w:t>
      </w:r>
    </w:p>
    <w:p>
      <w:pPr>
        <w:numPr>
          <w:ilvl w:val="0"/>
          <w:numId w:val="1007"/>
        </w:numPr>
      </w:pPr>
      <w:r>
        <w:t xml:space="preserve">Największą wyraźnie zdefiniowaną grupą jest Rodzina 35.</w:t>
      </w:r>
    </w:p>
    <w:p>
      <w:pPr>
        <w:numPr>
          <w:ilvl w:val="0"/>
          <w:numId w:val="1007"/>
        </w:numPr>
      </w:pPr>
      <w:r>
        <w:t xml:space="preserve">Rodzina 35 jest w sposób oczywisty (możliwy do wykazania) niezależna od wszystkich innych linii przekazu w całym Nowym Testamencie.</w:t>
      </w:r>
    </w:p>
    <w:p>
      <w:pPr>
        <w:numPr>
          <w:ilvl w:val="0"/>
          <w:numId w:val="1007"/>
        </w:numPr>
      </w:pPr>
      <w:r>
        <w:t xml:space="preserve">Rodzina 35 jest w sposób oczywisty (możliwy do wykazania) bardzo stara, sięgająca co najmniej III wieku.</w:t>
      </w:r>
    </w:p>
    <w:p>
      <w:pPr>
        <w:numPr>
          <w:ilvl w:val="0"/>
          <w:numId w:val="1007"/>
        </w:numPr>
      </w:pPr>
      <w:r>
        <w:t xml:space="preserve">Przedstawiciele Rodziny 35 pochodzą z całego obszaru basenu Morza Śródziemnego, a ich rozmieszczenie geograficzne jest niemal całkowite.</w:t>
      </w:r>
    </w:p>
    <w:p>
      <w:pPr>
        <w:numPr>
          <w:ilvl w:val="0"/>
          <w:numId w:val="1007"/>
        </w:numPr>
      </w:pPr>
      <w:r>
        <w:t xml:space="preserve">Rodzina 35 nie jest opracowaniem krytycznym, nie powstała później niż Autografy wskutek recenzji.</w:t>
      </w:r>
    </w:p>
    <w:p>
      <w:pPr>
        <w:numPr>
          <w:ilvl w:val="0"/>
          <w:numId w:val="1007"/>
        </w:numPr>
      </w:pPr>
      <w:r>
        <w:t xml:space="preserve">Rodzina 35 jest obiektywnie/empirycznie zdefiniowaną jednostką w całym Nowym Testamencie, ma możliwy do wykazania profil diagnostyczny od Ewangelii Mateusza 1,1 do Objawienia Jana 22,21. (Profil ten jest przedstawiony w części II.)</w:t>
      </w:r>
    </w:p>
    <w:p>
      <w:pPr>
        <w:numPr>
          <w:ilvl w:val="0"/>
          <w:numId w:val="1007"/>
        </w:numPr>
      </w:pPr>
      <w:r>
        <w:t xml:space="preserve">Archetypowa forma Rodziny 35 jest możliwa do wykazania – została ona wykazana.</w:t>
      </w:r>
    </w:p>
    <w:p>
      <w:pPr>
        <w:numPr>
          <w:ilvl w:val="0"/>
          <w:numId w:val="1007"/>
        </w:numPr>
      </w:pPr>
      <w:r>
        <w:t xml:space="preserve">Tekst Oryginalny jest ostatecznym archetypem, każdy kandydat musi być również archetypem – prawdziwym, autentycznym, obiektywnie weryfikowalnym archetypem, istnieje tylko jeden – Rodzina 35.</w:t>
      </w:r>
    </w:p>
    <w:p>
      <w:pPr>
        <w:numPr>
          <w:ilvl w:val="0"/>
          <w:numId w:val="1007"/>
        </w:numPr>
      </w:pPr>
      <w:r>
        <w:t xml:space="preserve">Troska Boga o zachowanie Tekstu Biblijnego jest ewidentna: uważam, że fragmenty takie jak 1 Ksiega Kronik 16,15, Psalm 119,89, Księga Izajasza 40,8, Ewangelia Mateusza 5,18, Ewangelia Łukasza 16,17 i 21,33, Ewangelia Jana 10,35 oraz 16,12-13, 1 List Piotra 1,23-25 oraz Ewangelia Łukasza 4,4 można rozsądnie uznać za sugerujące obietnicę, że Święte Pisma (aż do ostatniej kreski) zostaną zachowane do użytku człowieka (mamy żyć „z</w:t>
      </w:r>
      <w:r>
        <w:t xml:space="preserve"> </w:t>
      </w:r>
      <w:r>
        <w:rPr>
          <w:iCs/>
          <w:i/>
        </w:rPr>
        <w:t xml:space="preserve">każdego</w:t>
      </w:r>
      <w:r>
        <w:t xml:space="preserve"> </w:t>
      </w:r>
      <w:r>
        <w:t xml:space="preserve">słowa Bożego”) i aż do końca świata („przez tysiąc pokoleń”), ale nie ma żadnej wskazówki co do tego, w jaki sposób Bóg zamierzał to uczynić. Odpowiedź musimy wywnioskować z tego, co On faktycznie uczynił – odkrywamy, że rzeczywiście to</w:t>
      </w:r>
      <w:r>
        <w:t xml:space="preserve"> </w:t>
      </w:r>
      <w:r>
        <w:rPr>
          <w:bCs/>
          <w:b/>
        </w:rPr>
        <w:t xml:space="preserve">uczynił</w:t>
      </w:r>
      <w:r>
        <w:t xml:space="preserve">!</w:t>
      </w:r>
    </w:p>
    <w:p>
      <w:pPr>
        <w:numPr>
          <w:ilvl w:val="0"/>
          <w:numId w:val="1007"/>
        </w:numPr>
      </w:pPr>
      <w:r>
        <w:t xml:space="preserve">Ta troska znajduje odzwierciedlenie w Rodzinie 35, która charakteryzuje się niesamowicie starannym przekazem (w przeciwieństwie do innych linii). (Posiadam doskonałą kopię tekstu archetypowego Rodziny 35 dla większości ksiąg Nowego Testamentu (22), mam kopie sporządzone na podstawie (przypuszczalnie) doskonałego egzemplarza dla kolejnych czterech (4), w miarę kontynuowania porównywania manuskryptów mam nadzieję dodać ostatnią (Dzieje Apostolskie), ale nawet w jej przypadku forma archetypowa jest możliwa do wykazania.)</w:t>
      </w:r>
    </w:p>
    <w:p>
      <w:pPr>
        <w:numPr>
          <w:ilvl w:val="0"/>
          <w:numId w:val="1007"/>
        </w:numPr>
      </w:pPr>
      <w:r>
        <w:t xml:space="preserve">Jeśli Bóg zachowałby oryginalne sformułowania w jakiejś linii przekazu innej niż Rodzina 35, czy ta linia byłaby mniej staranna? Myślę, że nie. Zatem każda linia przekazu charakteryzująca się wewnętrznym zamieszaniem zostaje wykluczona – dotyczy to</w:t>
      </w:r>
      <w:r>
        <w:t xml:space="preserve"> </w:t>
      </w:r>
      <w:r>
        <w:rPr>
          <w:bCs/>
          <w:b/>
        </w:rPr>
        <w:t xml:space="preserve">wszystkich</w:t>
      </w:r>
      <w:r>
        <w:t xml:space="preserve"> </w:t>
      </w:r>
      <w:r>
        <w:t xml:space="preserve">pozostałych linii przekazu, które jak dotąd widziałem.</w:t>
      </w:r>
    </w:p>
    <w:p>
      <w:pPr>
        <w:numPr>
          <w:ilvl w:val="0"/>
          <w:numId w:val="1007"/>
        </w:numPr>
      </w:pPr>
      <w:r>
        <w:t xml:space="preserve">Zapewniam, że Bóg posłużył się Rodziną 35, aby zachować dokładne, oryginalne sformułowania Tekstu Nowego Testamentu, zostały one odtworzone w moim wydaniu Tekstu Greckiego.</w:t>
      </w:r>
      <w:r>
        <w:rPr>
          <w:rStyle w:val="FootnoteReference"/>
        </w:rPr>
        <w:footnoteReference w:id="188"/>
      </w:r>
    </w:p>
    <w:p>
      <w:pPr>
        <w:pStyle w:val="FirstParagraph"/>
      </w:pPr>
      <w:r>
        <w:rPr>
          <w:bCs/>
          <w:b/>
        </w:rPr>
        <w:t xml:space="preserve">Twierdzę, że wykazałem wyższość Rodziny 35 w oparciu o</w:t>
      </w:r>
      <w:r>
        <w:rPr>
          <w:bCs/>
          <w:b/>
        </w:rPr>
        <w:t xml:space="preserve"> </w:t>
      </w:r>
      <w:r>
        <w:rPr>
          <w:iCs/>
          <w:i/>
          <w:bCs/>
          <w:b/>
        </w:rPr>
        <w:t xml:space="preserve">wielkość</w:t>
      </w:r>
      <w:r>
        <w:t xml:space="preserve"> </w:t>
      </w:r>
      <w:r>
        <w:t xml:space="preserve">(liczbę przedstawicieli),</w:t>
      </w:r>
      <w:r>
        <w:t xml:space="preserve"> </w:t>
      </w:r>
      <w:r>
        <w:rPr>
          <w:iCs/>
          <w:i/>
          <w:bCs/>
          <w:b/>
        </w:rPr>
        <w:t xml:space="preserve">niezależność</w:t>
      </w:r>
      <w:r>
        <w:t xml:space="preserve"> </w:t>
      </w:r>
      <w:r>
        <w:t xml:space="preserve">(można wykazać, że jest ona niezależna od wszystkich innych linii przekazu),</w:t>
      </w:r>
      <w:r>
        <w:t xml:space="preserve"> </w:t>
      </w:r>
      <w:r>
        <w:rPr>
          <w:iCs/>
          <w:i/>
          <w:bCs/>
          <w:b/>
        </w:rPr>
        <w:t xml:space="preserve">wiek</w:t>
      </w:r>
      <w:r>
        <w:t xml:space="preserve"> </w:t>
      </w:r>
      <w:r>
        <w:t xml:space="preserve">(sięga co najmniej III wieku),</w:t>
      </w:r>
      <w:r>
        <w:t xml:space="preserve"> </w:t>
      </w:r>
      <w:r>
        <w:rPr>
          <w:iCs/>
          <w:i/>
          <w:bCs/>
          <w:b/>
        </w:rPr>
        <w:t xml:space="preserve">rozmieszczenie geograficzne</w:t>
      </w:r>
      <w:r>
        <w:t xml:space="preserve"> </w:t>
      </w:r>
      <w:r>
        <w:t xml:space="preserve">(na całym obszarze basenu Morza Śródziemnego),</w:t>
      </w:r>
      <w:r>
        <w:t xml:space="preserve"> </w:t>
      </w:r>
      <w:r>
        <w:rPr>
          <w:iCs/>
          <w:i/>
          <w:bCs/>
          <w:b/>
        </w:rPr>
        <w:t xml:space="preserve">profil</w:t>
      </w:r>
      <w:r>
        <w:t xml:space="preserve"> </w:t>
      </w:r>
      <w:r>
        <w:t xml:space="preserve">(ustalony empirycznie),</w:t>
      </w:r>
      <w:r>
        <w:t xml:space="preserve"> </w:t>
      </w:r>
      <w:r>
        <w:rPr>
          <w:iCs/>
          <w:i/>
          <w:bCs/>
          <w:b/>
        </w:rPr>
        <w:t xml:space="preserve">staranność</w:t>
      </w:r>
      <w:r>
        <w:t xml:space="preserve"> </w:t>
      </w:r>
      <w:r>
        <w:t xml:space="preserve">(kopistów) oraz</w:t>
      </w:r>
      <w:r>
        <w:t xml:space="preserve"> </w:t>
      </w:r>
      <w:r>
        <w:rPr>
          <w:iCs/>
          <w:i/>
          <w:bCs/>
          <w:b/>
        </w:rPr>
        <w:t xml:space="preserve">zakres</w:t>
      </w:r>
      <w:r>
        <w:t xml:space="preserve"> </w:t>
      </w:r>
      <w:r>
        <w:t xml:space="preserve">(wszystkich 27 ksiąg).</w:t>
      </w:r>
      <w:r>
        <w:t xml:space="preserve"> </w:t>
      </w:r>
      <w:r>
        <w:rPr>
          <w:bCs/>
          <w:b/>
        </w:rPr>
        <w:t xml:space="preserve">Wyzywam każdego do zrobienia tego samego w odniesieniu do jakiejkolwiek innej linii przekazu!</w:t>
      </w:r>
    </w:p>
    <w:p>
      <w:pPr>
        <w:pStyle w:val="BodyText"/>
      </w:pPr>
      <w:r>
        <w:t xml:space="preserve">Tekst Oryginalny stanowi ostateczny archetyp, każdy kandydat musi być również archetypem – prawdziwym, autentycznym i obiektywnie weryfikowalnym archetypem. Jak dotąd zidentyfikowano tylko jeden – Rodzinę 35. Przechodzę teraz do części II, w której przedstawiam dalsze dowody, które prowadzą mnie do moich wniosków.</w:t>
      </w:r>
    </w:p>
    <w:bookmarkEnd w:id="189"/>
    <w:bookmarkEnd w:id="190"/>
    <w:bookmarkStart w:id="207" w:name="część-ii-najlepsza-linia-przekazywania"/>
    <w:p>
      <w:pPr>
        <w:pStyle w:val="Heading1"/>
      </w:pPr>
      <w:r>
        <w:t xml:space="preserve">CZĘŚĆ II: Najlepsza linia przekazywania</w:t>
      </w:r>
    </w:p>
    <w:bookmarkStart w:id="204" w:name="czym-właściwie-jest-rodzina-35"/>
    <w:p>
      <w:pPr>
        <w:pStyle w:val="Heading2"/>
      </w:pPr>
      <w:r>
        <w:t xml:space="preserve">Czym właściwie jest Rodzina 35?</w:t>
      </w:r>
    </w:p>
    <w:p>
      <w:pPr>
        <w:pStyle w:val="FirstParagraph"/>
      </w:pPr>
      <w:r>
        <w:t xml:space="preserve">Mogę sobie dobrze wyobrazić, że wielu z moich czytelników słyszy o „Rodzinie 35” po raz pierwszy. Termin ten odnosi się do linii przekazu w ramach szerokiego nurtu manuskryptów „bizantyjskich” i to ja nadałem mu tę nazwę. Jak narazie, o ile mi wiadomo, środowisko akademickie całkowicie ignoruje moją pracę, jak zresztą musi, aby być pewnym, ponieważ obnażam fałszywe informacje, które oni rozpowszechniają od pokoleń. Zacznę od odrobiny najnowszej historii.</w:t>
      </w:r>
    </w:p>
    <w:p>
      <w:pPr>
        <w:pStyle w:val="BodyText"/>
      </w:pPr>
      <w:r>
        <w:t xml:space="preserve">Kiedy w 1977 roku wydawnictwo Thomas Nelson Inc. opublikowało moją pierwszą książkę,</w:t>
      </w:r>
      <w:r>
        <w:t xml:space="preserve"> </w:t>
      </w:r>
      <w:r>
        <w:rPr>
          <w:iCs/>
          <w:i/>
        </w:rPr>
        <w:t xml:space="preserve">The Identity of the New Testament Text</w:t>
      </w:r>
      <w:r>
        <w:t xml:space="preserve">, najlepszym drukowanym greckim Nowym Testamentem, jaki był wówczas łatwo dostępny, był</w:t>
      </w:r>
      <w:r>
        <w:t xml:space="preserve"> </w:t>
      </w:r>
      <w:r>
        <w:rPr>
          <w:iCs/>
          <w:i/>
        </w:rPr>
        <w:t xml:space="preserve">Textus Receptus</w:t>
      </w:r>
      <w:r>
        <w:t xml:space="preserve">, czyli Tekst Przyjęty — był to grecki Tekst z czasów reformacji protestanckiej. John William Burgon, dziekan z Chichester, nazwał go „Tekstem Tradycyjnym”. Chociaż Zane C. Hodges i Arthur L. Farstad rozpoczęli prace nad</w:t>
      </w:r>
      <w:r>
        <w:t xml:space="preserve"> </w:t>
      </w:r>
      <w:r>
        <w:rPr>
          <w:iCs/>
          <w:i/>
        </w:rPr>
        <w:t xml:space="preserve">Tekstem Większościowym</w:t>
      </w:r>
      <w:r>
        <w:t xml:space="preserve"> </w:t>
      </w:r>
      <w:r>
        <w:t xml:space="preserve">(Majority Text), opierając się na dorobku Hermanna von Sodena</w:t>
      </w:r>
      <w:r>
        <w:rPr>
          <w:rStyle w:val="FootnoteReference"/>
        </w:rPr>
        <w:footnoteReference w:id="191"/>
      </w:r>
      <w:r>
        <w:t xml:space="preserve">, to został on opublikowany dopiero w 1982 roku. W 1977 roku wykazałem, że teoria krytyczna Westcotta i Horta była fałszywa w każdym punkcie, a dowód ten, na ile mi wiadomo, nie został od tamtej pory nigdy obalony. Jednak jeśli chodzi o zaproponowanie alternatywy, ograniczałem się do ogólników i siedmiu „Uwag o Prawdzie” Burgona</w:t>
      </w:r>
      <w:r>
        <w:rPr>
          <w:rStyle w:val="FootnoteReference"/>
        </w:rPr>
        <w:footnoteReference w:id="192"/>
      </w:r>
      <w:r>
        <w:t xml:space="preserve">. Wydawnictwo Thomas Nelson wydało moją książkę w co najmniej trzech kolejnych nakładach, w tym z pewnymi poprawkami, z których ostatni ukazał się w 1990 roku. Nawet wtedy nie miałem nic lepszego do zaoferowania.</w:t>
      </w:r>
    </w:p>
    <w:p>
      <w:pPr>
        <w:pStyle w:val="BodyText"/>
      </w:pPr>
      <w:r>
        <w:t xml:space="preserve">Jednakże w 1988 roku pomogłem założyć Towarzystwo Tekstu Większościowego (Majority Text Society) wraz z Zane’em Hodgesem, Artem Farstadem i Frankiem Carmichalem, i zostałem jego pierwszym prezesem. W tym czasie zacząłem poważnie zajmować się teorią Tekstu Większościowego, a w ciągu następnej dekady opracowałem coś, czemu miałem przyjemność nadać nazwę „teoria Tekstu Oryginalnego”. Wykorzystałem ją jako punkt wyjścia do mojego obecnego podejścia do krytyki tekstu Nowego Testamentu (które możemy nazwać Teorią priorytetu Rodziny 35). Oto ona:</w:t>
      </w:r>
    </w:p>
    <w:p>
      <w:pPr>
        <w:numPr>
          <w:ilvl w:val="0"/>
          <w:numId w:val="1008"/>
        </w:numPr>
      </w:pPr>
      <w:r>
        <w:t xml:space="preserve">Po pierwsze, teoria tekstu oryginalnego dotyczy identyfikacji dokładnych, oryginalnych sformułowań pism Nowego Testamentu.</w:t>
      </w:r>
      <w:r>
        <w:rPr>
          <w:rStyle w:val="FootnoteReference"/>
        </w:rPr>
        <w:footnoteReference w:id="193"/>
      </w:r>
    </w:p>
    <w:p>
      <w:pPr>
        <w:numPr>
          <w:ilvl w:val="0"/>
          <w:numId w:val="1008"/>
        </w:numPr>
      </w:pPr>
      <w:r>
        <w:t xml:space="preserve">Po drugie, kryteria muszą być biblijne, obiektywne i rozsądne.</w:t>
      </w:r>
      <w:r>
        <w:rPr>
          <w:rStyle w:val="FootnoteReference"/>
        </w:rPr>
        <w:footnoteReference w:id="194"/>
      </w:r>
    </w:p>
    <w:p>
      <w:pPr>
        <w:numPr>
          <w:ilvl w:val="0"/>
          <w:numId w:val="1008"/>
        </w:numPr>
      </w:pPr>
      <w:r>
        <w:t xml:space="preserve">Po trzecie, 90% poświadczenie będzie uznawane za niepodważalne, a 80% niemalże niepodważalne.</w:t>
      </w:r>
      <w:r>
        <w:rPr>
          <w:rStyle w:val="FootnoteReference"/>
        </w:rPr>
        <w:footnoteReference w:id="195"/>
      </w:r>
    </w:p>
    <w:p>
      <w:pPr>
        <w:numPr>
          <w:ilvl w:val="0"/>
          <w:numId w:val="1008"/>
        </w:numPr>
      </w:pPr>
      <w:r>
        <w:t xml:space="preserve">Po czwarte, do gry wejdą „notatki prawdy” Burgona, zwłaszcza tam, gdzie poświadczenie spada poniżej 80%.</w:t>
      </w:r>
      <w:r>
        <w:rPr>
          <w:rStyle w:val="FootnoteReference"/>
        </w:rPr>
        <w:footnoteReference w:id="196"/>
      </w:r>
    </w:p>
    <w:p>
      <w:pPr>
        <w:numPr>
          <w:ilvl w:val="0"/>
          <w:numId w:val="1008"/>
        </w:numPr>
      </w:pPr>
      <w:r>
        <w:t xml:space="preserve">Po piąte, w przypadkach, gdy istnieją zestawienia umożliwiające empiryczne pogrupowanie manuskryptów na podstawie wspólnych mozaik odczytów, trzeba to zrobić. Grupy takie muszą być ocenione pod kątem ich wyników i mieć przypisane współczynniki wiarygodności. Przypuszczalną historię przekazywania Tekstu należy opracować w oparciu o wzajemne powiązania między takimi grupami.</w:t>
      </w:r>
      <w:r>
        <w:t xml:space="preserve"> </w:t>
      </w:r>
      <w:r>
        <w:rPr>
          <w:bCs/>
          <w:b/>
        </w:rPr>
        <w:t xml:space="preserve">Wykazane pogrupowania i relacje zastępują liczenie manuskryptów.</w:t>
      </w:r>
      <w:r>
        <w:rPr>
          <w:rStyle w:val="FootnoteReference"/>
        </w:rPr>
        <w:footnoteReference w:id="197"/>
      </w:r>
    </w:p>
    <w:p>
      <w:pPr>
        <w:numPr>
          <w:ilvl w:val="0"/>
          <w:numId w:val="1008"/>
        </w:numPr>
      </w:pPr>
      <w:r>
        <w:t xml:space="preserve">Po szóste, zakłada ona, że Stwórca istnieje i że przemówił do naszej rasy. Przyjmuje dorozumiany boski zamysł, by zachować Jego objawienie dla użytku kolejnych pokoleń, w tym naszego. Rozumie, że zarówno Bóg, jak i Szatan wykazują nieustanne, aktywne zainteresowanie losami Tekstu Nowego Testamentu – podchodzenie do krytyki tekstowej Nowego Testamentu bez należytego uwzględnienia tego zainteresowania jest działaniem nieodpowiedzialnym.</w:t>
      </w:r>
      <w:r>
        <w:rPr>
          <w:rStyle w:val="FootnoteReference"/>
        </w:rPr>
        <w:footnoteReference w:id="198"/>
      </w:r>
    </w:p>
    <w:p>
      <w:pPr>
        <w:numPr>
          <w:ilvl w:val="0"/>
          <w:numId w:val="1008"/>
        </w:numPr>
      </w:pPr>
      <w:r>
        <w:t xml:space="preserve">Po siódme, kładzie nacisk na to, że należy zawsze uwzględniać i oceniać założenia i motywy.</w:t>
      </w:r>
      <w:r>
        <w:rPr>
          <w:rStyle w:val="FootnoteReference"/>
        </w:rPr>
        <w:footnoteReference w:id="199"/>
      </w:r>
    </w:p>
    <w:p>
      <w:pPr>
        <w:pStyle w:val="FirstParagraph"/>
      </w:pPr>
      <w:r>
        <w:t xml:space="preserve">Używam terminu „punkt pośredni” (ang. steppingstone), ponieważ wciąż myślałem w kategoriach znacznej większości, a wynikało to z tego, że Rodzina 35 nie zwróciła jeszcze mojej uwagi (nadal ograniczałem się do ogólnikow). Jednak piąty z powyższych punktów pokazuje kierunek, w którym zmierzałem. Zwróć szczególną uwagę na ostatnie zdanie, które od samego początku było zapisane pogrubioną czcionką, a zwłaszcza na termin „</w:t>
      </w:r>
      <w:r>
        <w:rPr>
          <w:bCs/>
          <w:b/>
        </w:rPr>
        <w:t xml:space="preserve">wykazane</w:t>
      </w:r>
      <w:r>
        <w:t xml:space="preserve">”.</w:t>
      </w:r>
      <w:r>
        <w:rPr>
          <w:rStyle w:val="FootnoteReference"/>
        </w:rPr>
        <w:footnoteReference w:id="200"/>
      </w:r>
      <w:r>
        <w:t xml:space="preserve"> </w:t>
      </w:r>
      <w:r>
        <w:t xml:space="preserve">Na przykład mój aparat krytyczny do Objawienia Jana przedstawia dowody według dziewięciu grup Hoskiera, a nie w postaci procentowego udziału manuskryptów.</w:t>
      </w:r>
    </w:p>
    <w:p>
      <w:pPr>
        <w:pStyle w:val="BodyText"/>
      </w:pPr>
      <w:r>
        <w:t xml:space="preserve">Niemniej jednak w 2003 roku wydawnictwo Wipf and Stock Publishers opublikowało</w:t>
      </w:r>
      <w:r>
        <w:t xml:space="preserve"> </w:t>
      </w:r>
      <w:r>
        <w:rPr>
          <w:iCs/>
          <w:i/>
        </w:rPr>
        <w:t xml:space="preserve">The Identity of the New Testament Text II</w:t>
      </w:r>
      <w:r>
        <w:t xml:space="preserve"> </w:t>
      </w:r>
      <w:r>
        <w:t xml:space="preserve">jako wznowienie akademickie. Wydanie to zawierało dalsze korekty, lecz nadal wykorzystywało „Notatki prawdy” Burgona, chociaż wprowadziłem Rodzinę 18, którą wkrótce zmieniłem na Rodzinę 35. Do 2002 roku zdałem sobie sprawę z Rodziny 35, jednak rozwijana przeze mnie teoria jej dotycząca była wciąż niepewna i niepełna. Do czasu, gdy Wipf and Stock opublikowało</w:t>
      </w:r>
      <w:r>
        <w:t xml:space="preserve"> </w:t>
      </w:r>
      <w:r>
        <w:rPr>
          <w:iCs/>
          <w:i/>
        </w:rPr>
        <w:t xml:space="preserve">The Identity of the New Testament Text III</w:t>
      </w:r>
      <w:r>
        <w:t xml:space="preserve"> </w:t>
      </w:r>
      <w:r>
        <w:t xml:space="preserve">w 2012 roku, wykonałem już wystarczająco dużo pracy nad tą teorią, aby zastąpić nią „Notatki prawdy” Burgona.</w:t>
      </w:r>
    </w:p>
    <w:p>
      <w:pPr>
        <w:pStyle w:val="BodyText"/>
      </w:pPr>
      <w:r>
        <w:t xml:space="preserve">Moją uwagę zwróciło przedstawienie dowodów dotyczących</w:t>
      </w:r>
      <w:r>
        <w:t xml:space="preserve"> </w:t>
      </w:r>
      <w:r>
        <w:rPr>
          <w:iCs/>
          <w:i/>
        </w:rPr>
        <w:t xml:space="preserve">Pericope Adulterae</w:t>
      </w:r>
      <w:r>
        <w:t xml:space="preserve"> </w:t>
      </w:r>
      <w:r>
        <w:t xml:space="preserve">w Tekście Większościowym Hodgesa-Farstada, oparte na rzekomym skolacjonowaniu przez von Sodena ponad 900 manuskryptów.</w:t>
      </w:r>
      <w:r>
        <w:rPr>
          <w:rStyle w:val="FootnoteReference"/>
        </w:rPr>
        <w:footnoteReference w:id="201"/>
      </w:r>
      <w:r>
        <w:t xml:space="preserve"> </w:t>
      </w:r>
      <w:r>
        <w:t xml:space="preserve">Jak podano w ich aparacie krytycznym, istniały trzy główne nurty:</w:t>
      </w:r>
      <w:r>
        <w:t xml:space="preserve"> </w:t>
      </w:r>
      <w:r>
        <w:rPr>
          <w:bCs/>
          <w:b/>
        </w:rPr>
        <w:t xml:space="preserve">M</w:t>
      </w:r>
      <w:r>
        <w:rPr>
          <w:vertAlign w:val="superscript"/>
          <w:bCs/>
          <w:b/>
        </w:rPr>
        <w:t xml:space="preserve">5</w:t>
      </w:r>
      <w:r>
        <w:t xml:space="preserve">,</w:t>
      </w:r>
      <w:r>
        <w:t xml:space="preserve"> </w:t>
      </w:r>
      <w:r>
        <w:rPr>
          <w:bCs/>
          <w:b/>
        </w:rPr>
        <w:t xml:space="preserve">M</w:t>
      </w:r>
      <w:r>
        <w:rPr>
          <w:vertAlign w:val="superscript"/>
          <w:bCs/>
          <w:b/>
        </w:rPr>
        <w:t xml:space="preserve">6</w:t>
      </w:r>
      <w:r>
        <w:t xml:space="preserve"> </w:t>
      </w:r>
      <w:r>
        <w:t xml:space="preserve">i</w:t>
      </w:r>
      <w:r>
        <w:t xml:space="preserve"> </w:t>
      </w:r>
      <w:r>
        <w:rPr>
          <w:bCs/>
          <w:b/>
        </w:rPr>
        <w:t xml:space="preserve">M</w:t>
      </w:r>
      <w:r>
        <w:rPr>
          <w:vertAlign w:val="superscript"/>
          <w:bCs/>
          <w:b/>
        </w:rPr>
        <w:t xml:space="preserve">7</w:t>
      </w:r>
      <w:r>
        <w:t xml:space="preserve">.</w:t>
      </w:r>
      <w:r>
        <w:t xml:space="preserve"> </w:t>
      </w:r>
      <w:r>
        <w:rPr>
          <w:bCs/>
          <w:b/>
        </w:rPr>
        <w:t xml:space="preserve">7</w:t>
      </w:r>
      <w:r>
        <w:t xml:space="preserve"> </w:t>
      </w:r>
      <w:r>
        <w:t xml:space="preserve">zawsze stanowił większość (z wyjątkiem jednego przypadku podziału na pięć wariantów, gdzie nie ma większości), ponieważ zawsze towarzyszył mu albo</w:t>
      </w:r>
      <w:r>
        <w:t xml:space="preserve"> </w:t>
      </w:r>
      <w:r>
        <w:rPr>
          <w:bCs/>
          <w:b/>
        </w:rPr>
        <w:t xml:space="preserve">5</w:t>
      </w:r>
      <w:r>
        <w:t xml:space="preserve">, albo</w:t>
      </w:r>
      <w:r>
        <w:t xml:space="preserve"> </w:t>
      </w:r>
      <w:r>
        <w:rPr>
          <w:bCs/>
          <w:b/>
        </w:rPr>
        <w:t xml:space="preserve">6</w:t>
      </w:r>
      <w:r>
        <w:t xml:space="preserve"> </w:t>
      </w:r>
      <w:r>
        <w:t xml:space="preserve">(5 + 6 nigdy nie występują przeciwko 7). Wyglądało mi to na trzy niezależne nurty, z których rzadko więcej niż jeden błądził w danym miejscu. Jako wspólny mianownik</w:t>
      </w:r>
      <w:r>
        <w:t xml:space="preserve"> </w:t>
      </w:r>
      <w:r>
        <w:rPr>
          <w:bCs/>
          <w:b/>
        </w:rPr>
        <w:t xml:space="preserve">7</w:t>
      </w:r>
      <w:r>
        <w:t xml:space="preserve"> </w:t>
      </w:r>
      <w:r>
        <w:t xml:space="preserve">był wyraźnie najlepszym z trzech, a przypuszczalnie także najstarszym.</w:t>
      </w:r>
    </w:p>
    <w:p>
      <w:pPr>
        <w:pStyle w:val="BodyText"/>
      </w:pPr>
      <w:r>
        <w:t xml:space="preserve">Następnie przeszedłem do Objawienia Jana (w H-F) i ponownie zauważyłem trzy główne nurty:</w:t>
      </w:r>
      <w:r>
        <w:t xml:space="preserve"> </w:t>
      </w:r>
      <w:r>
        <w:rPr>
          <w:bCs/>
          <w:b/>
        </w:rPr>
        <w:t xml:space="preserve">M</w:t>
      </w:r>
      <w:r>
        <w:rPr>
          <w:vertAlign w:val="superscript"/>
          <w:bCs/>
          <w:b/>
        </w:rPr>
        <w:t xml:space="preserve">a-b</w:t>
      </w:r>
      <w:r>
        <w:t xml:space="preserve">,</w:t>
      </w:r>
      <w:r>
        <w:t xml:space="preserve"> </w:t>
      </w:r>
      <w:r>
        <w:rPr>
          <w:bCs/>
          <w:b/>
        </w:rPr>
        <w:t xml:space="preserve">M</w:t>
      </w:r>
      <w:r>
        <w:rPr>
          <w:vertAlign w:val="superscript"/>
          <w:bCs/>
          <w:b/>
        </w:rPr>
        <w:t xml:space="preserve">c</w:t>
      </w:r>
      <w:r>
        <w:t xml:space="preserve"> </w:t>
      </w:r>
      <w:r>
        <w:t xml:space="preserve">i</w:t>
      </w:r>
      <w:r>
        <w:t xml:space="preserve"> </w:t>
      </w:r>
      <w:r>
        <w:rPr>
          <w:bCs/>
          <w:b/>
        </w:rPr>
        <w:t xml:space="preserve">M</w:t>
      </w:r>
      <w:r>
        <w:rPr>
          <w:vertAlign w:val="superscript"/>
          <w:bCs/>
          <w:b/>
        </w:rPr>
        <w:t xml:space="preserve">d-e</w:t>
      </w:r>
      <w:r>
        <w:t xml:space="preserve">. Obraz był analogiczny do tego z</w:t>
      </w:r>
      <w:r>
        <w:t xml:space="preserve"> </w:t>
      </w:r>
      <w:r>
        <w:rPr>
          <w:iCs/>
          <w:i/>
        </w:rPr>
        <w:t xml:space="preserve">PA</w:t>
      </w:r>
      <w:r>
        <w:t xml:space="preserve">. Objawienie Jana stanowi znacznie większy korpus niż</w:t>
      </w:r>
      <w:r>
        <w:t xml:space="preserve"> </w:t>
      </w:r>
      <w:r>
        <w:rPr>
          <w:iCs/>
          <w:i/>
        </w:rPr>
        <w:t xml:space="preserve">PA</w:t>
      </w:r>
      <w:r>
        <w:t xml:space="preserve">, ale mimo to istnieje tylko 8 przypadków, w których</w:t>
      </w:r>
      <w:r>
        <w:t xml:space="preserve"> </w:t>
      </w:r>
      <w:r>
        <w:rPr>
          <w:bCs/>
          <w:b/>
        </w:rPr>
        <w:t xml:space="preserve">a-b</w:t>
      </w:r>
      <w:r>
        <w:t xml:space="preserve"> </w:t>
      </w:r>
      <w:r>
        <w:t xml:space="preserve">i</w:t>
      </w:r>
      <w:r>
        <w:t xml:space="preserve"> </w:t>
      </w:r>
      <w:r>
        <w:rPr>
          <w:bCs/>
          <w:b/>
        </w:rPr>
        <w:t xml:space="preserve">d-e</w:t>
      </w:r>
      <w:r>
        <w:t xml:space="preserve"> </w:t>
      </w:r>
      <w:r>
        <w:t xml:space="preserve">łączą się przeciwko</w:t>
      </w:r>
      <w:r>
        <w:t xml:space="preserve"> </w:t>
      </w:r>
      <w:r>
        <w:rPr>
          <w:bCs/>
          <w:b/>
        </w:rPr>
        <w:t xml:space="preserve">c</w:t>
      </w:r>
      <w:r>
        <w:t xml:space="preserve"> </w:t>
      </w:r>
      <w:r>
        <w:t xml:space="preserve">(+ 6 innych, w których jeden z czterech jest podzielony), w porównaniu z ponad 100 przypadkami zarówno</w:t>
      </w:r>
      <w:r>
        <w:t xml:space="preserve"> </w:t>
      </w:r>
      <w:r>
        <w:rPr>
          <w:bCs/>
          <w:b/>
        </w:rPr>
        <w:t xml:space="preserve">a-b</w:t>
      </w:r>
      <w:r>
        <w:t xml:space="preserve"> </w:t>
      </w:r>
      <w:r>
        <w:t xml:space="preserve">i</w:t>
      </w:r>
      <w:r>
        <w:t xml:space="preserve"> </w:t>
      </w:r>
      <w:r>
        <w:rPr>
          <w:bCs/>
          <w:b/>
        </w:rPr>
        <w:t xml:space="preserve">c</w:t>
      </w:r>
      <w:r>
        <w:t xml:space="preserve"> </w:t>
      </w:r>
      <w:r>
        <w:t xml:space="preserve">przeciwko</w:t>
      </w:r>
      <w:r>
        <w:t xml:space="preserve"> </w:t>
      </w:r>
      <w:r>
        <w:rPr>
          <w:bCs/>
          <w:b/>
        </w:rPr>
        <w:t xml:space="preserve">d-e</w:t>
      </w:r>
      <w:r>
        <w:t xml:space="preserve">, jak i</w:t>
      </w:r>
      <w:r>
        <w:t xml:space="preserve"> </w:t>
      </w:r>
      <w:r>
        <w:rPr>
          <w:bCs/>
          <w:b/>
        </w:rPr>
        <w:t xml:space="preserve">c</w:t>
      </w:r>
      <w:r>
        <w:t xml:space="preserve"> </w:t>
      </w:r>
      <w:r>
        <w:t xml:space="preserve">i</w:t>
      </w:r>
      <w:r>
        <w:t xml:space="preserve"> </w:t>
      </w:r>
      <w:r>
        <w:rPr>
          <w:bCs/>
          <w:b/>
        </w:rPr>
        <w:t xml:space="preserve">d-e</w:t>
      </w:r>
      <w:r>
        <w:t xml:space="preserve"> </w:t>
      </w:r>
      <w:r>
        <w:t xml:space="preserve">przeciwko</w:t>
      </w:r>
      <w:r>
        <w:t xml:space="preserve"> </w:t>
      </w:r>
      <w:r>
        <w:rPr>
          <w:bCs/>
          <w:b/>
        </w:rPr>
        <w:t xml:space="preserve">a-b</w:t>
      </w:r>
      <w:r>
        <w:t xml:space="preserve">. Ponownie, jako wspólny mianownik,</w:t>
      </w:r>
      <w:r>
        <w:t xml:space="preserve"> </w:t>
      </w:r>
      <w:r>
        <w:rPr>
          <w:bCs/>
          <w:b/>
        </w:rPr>
        <w:t xml:space="preserve">c</w:t>
      </w:r>
      <w:r>
        <w:t xml:space="preserve"> </w:t>
      </w:r>
      <w:r>
        <w:t xml:space="preserve">był wyraźnie najlepszym z trzech (zob. aparat krytyczny mojego greckiego Tekstu Objawienia Jana).</w:t>
      </w:r>
    </w:p>
    <w:p>
      <w:pPr>
        <w:pStyle w:val="BodyText"/>
      </w:pPr>
      <w:r>
        <w:t xml:space="preserve">Tak się składa, że</w:t>
      </w:r>
      <w:r>
        <w:t xml:space="preserve"> </w:t>
      </w:r>
      <w:r>
        <w:rPr>
          <w:bCs/>
          <w:b/>
        </w:rPr>
        <w:t xml:space="preserve">M</w:t>
      </w:r>
      <w:r>
        <w:rPr>
          <w:vertAlign w:val="superscript"/>
          <w:bCs/>
          <w:b/>
        </w:rPr>
        <w:t xml:space="preserve">7</w:t>
      </w:r>
      <w:r>
        <w:t xml:space="preserve"> </w:t>
      </w:r>
      <w:r>
        <w:t xml:space="preserve">w</w:t>
      </w:r>
      <w:r>
        <w:t xml:space="preserve"> </w:t>
      </w:r>
      <w:r>
        <w:rPr>
          <w:iCs/>
          <w:i/>
        </w:rPr>
        <w:t xml:space="preserve">PA</w:t>
      </w:r>
      <w:r>
        <w:t xml:space="preserve"> </w:t>
      </w:r>
      <w:r>
        <w:t xml:space="preserve">i</w:t>
      </w:r>
      <w:r>
        <w:t xml:space="preserve"> </w:t>
      </w:r>
      <w:r>
        <w:rPr>
          <w:bCs/>
          <w:b/>
        </w:rPr>
        <w:t xml:space="preserve">M</w:t>
      </w:r>
      <w:r>
        <w:rPr>
          <w:vertAlign w:val="superscript"/>
          <w:bCs/>
          <w:b/>
        </w:rPr>
        <w:t xml:space="preserve">c</w:t>
      </w:r>
      <w:r>
        <w:t xml:space="preserve"> </w:t>
      </w:r>
      <w:r>
        <w:t xml:space="preserve">w Objawieniu Jana odpowiadają</w:t>
      </w:r>
      <w:r>
        <w:t xml:space="preserve"> </w:t>
      </w:r>
      <w:r>
        <w:rPr>
          <w:bCs/>
          <w:b/>
        </w:rPr>
        <w:t xml:space="preserve">K</w:t>
      </w:r>
      <w:r>
        <w:rPr>
          <w:vertAlign w:val="superscript"/>
          <w:bCs/>
          <w:b/>
        </w:rPr>
        <w:t xml:space="preserve">r</w:t>
      </w:r>
      <w:r>
        <w:t xml:space="preserve"> </w:t>
      </w:r>
      <w:r>
        <w:t xml:space="preserve">Sodena, więc zacząłem podejrzewać, że coś tu jest nie tak.</w:t>
      </w:r>
      <w:r>
        <w:rPr>
          <w:rStyle w:val="FootnoteReference"/>
        </w:rPr>
        <w:footnoteReference w:id="202"/>
      </w:r>
      <w:r>
        <w:t xml:space="preserve"> </w:t>
      </w:r>
      <w:r>
        <w:t xml:space="preserve">Następnie seria</w:t>
      </w:r>
      <w:r>
        <w:t xml:space="preserve"> </w:t>
      </w:r>
      <w:r>
        <w:rPr>
          <w:iCs/>
          <w:i/>
        </w:rPr>
        <w:t xml:space="preserve">Text und Textwert</w:t>
      </w:r>
      <w:r>
        <w:t xml:space="preserve"> </w:t>
      </w:r>
      <w:r>
        <w:t xml:space="preserve">wykazała, że</w:t>
      </w:r>
      <w:r>
        <w:t xml:space="preserve"> </w:t>
      </w:r>
      <w:r>
        <w:rPr>
          <w:bCs/>
          <w:b/>
        </w:rPr>
        <w:t xml:space="preserve">K</w:t>
      </w:r>
      <w:r>
        <w:rPr>
          <w:vertAlign w:val="superscript"/>
          <w:bCs/>
          <w:b/>
        </w:rPr>
        <w:t xml:space="preserve">r</w:t>
      </w:r>
      <w:r>
        <w:t xml:space="preserve"> </w:t>
      </w:r>
      <w:r>
        <w:t xml:space="preserve">jest niezależny od</w:t>
      </w:r>
      <w:r>
        <w:t xml:space="preserve"> </w:t>
      </w:r>
      <w:r>
        <w:rPr>
          <w:bCs/>
          <w:b/>
        </w:rPr>
        <w:t xml:space="preserve">K</w:t>
      </w:r>
      <w:r>
        <w:rPr>
          <w:vertAlign w:val="superscript"/>
          <w:bCs/>
          <w:b/>
        </w:rPr>
        <w:t xml:space="preserve">x</w:t>
      </w:r>
      <w:r>
        <w:t xml:space="preserve"> </w:t>
      </w:r>
      <w:r>
        <w:t xml:space="preserve">w całym Nowym Testamencie. Wynika z tego, że</w:t>
      </w:r>
      <w:r>
        <w:t xml:space="preserve"> </w:t>
      </w:r>
      <w:r>
        <w:rPr>
          <w:bCs/>
          <w:b/>
        </w:rPr>
        <w:t xml:space="preserve">K</w:t>
      </w:r>
      <w:r>
        <w:rPr>
          <w:vertAlign w:val="superscript"/>
          <w:bCs/>
          <w:b/>
        </w:rPr>
        <w:t xml:space="preserve">r</w:t>
      </w:r>
      <w:r>
        <w:t xml:space="preserve"> </w:t>
      </w:r>
      <w:r>
        <w:rPr>
          <w:bCs/>
          <w:b/>
        </w:rPr>
        <w:t xml:space="preserve">nie może</w:t>
      </w:r>
      <w:r>
        <w:t xml:space="preserve"> </w:t>
      </w:r>
      <w:r>
        <w:t xml:space="preserve">być rewizją</w:t>
      </w:r>
      <w:r>
        <w:t xml:space="preserve"> </w:t>
      </w:r>
      <w:r>
        <w:rPr>
          <w:bCs/>
          <w:b/>
        </w:rPr>
        <w:t xml:space="preserve">K</w:t>
      </w:r>
      <w:r>
        <w:rPr>
          <w:vertAlign w:val="superscript"/>
          <w:bCs/>
          <w:b/>
        </w:rPr>
        <w:t xml:space="preserve">x</w:t>
      </w:r>
      <w:r>
        <w:t xml:space="preserve">. Istnieją również setki miejsc, w których</w:t>
      </w:r>
      <w:r>
        <w:t xml:space="preserve"> </w:t>
      </w:r>
      <w:r>
        <w:rPr>
          <w:bCs/>
          <w:b/>
        </w:rPr>
        <w:t xml:space="preserve">K</w:t>
      </w:r>
      <w:r>
        <w:rPr>
          <w:vertAlign w:val="superscript"/>
          <w:bCs/>
          <w:b/>
        </w:rPr>
        <w:t xml:space="preserve">r</w:t>
      </w:r>
      <w:r>
        <w:t xml:space="preserve"> </w:t>
      </w:r>
      <w:r>
        <w:t xml:space="preserve">ma wyraźne wczesne poświadczenie przeciwko</w:t>
      </w:r>
      <w:r>
        <w:t xml:space="preserve"> </w:t>
      </w:r>
      <w:r>
        <w:rPr>
          <w:bCs/>
          <w:b/>
        </w:rPr>
        <w:t xml:space="preserve">K</w:t>
      </w:r>
      <w:r>
        <w:rPr>
          <w:vertAlign w:val="superscript"/>
          <w:bCs/>
          <w:b/>
        </w:rPr>
        <w:t xml:space="preserve">x</w:t>
      </w:r>
      <w:r>
        <w:t xml:space="preserve">, lecz nie ma żadnego wzorca do tego wczesnego poświadczenia. Skoro nie ma żadnego wzorca,</w:t>
      </w:r>
      <w:r>
        <w:t xml:space="preserve"> </w:t>
      </w:r>
      <w:r>
        <w:rPr>
          <w:bCs/>
          <w:b/>
        </w:rPr>
        <w:t xml:space="preserve">K</w:t>
      </w:r>
      <w:r>
        <w:rPr>
          <w:vertAlign w:val="superscript"/>
          <w:bCs/>
          <w:b/>
        </w:rPr>
        <w:t xml:space="preserve">r</w:t>
      </w:r>
      <w:r>
        <w:t xml:space="preserve"> </w:t>
      </w:r>
      <w:r>
        <w:t xml:space="preserve">musi być wczesny, jak już sugerował obraz wyłaniający się z</w:t>
      </w:r>
      <w:r>
        <w:t xml:space="preserve"> </w:t>
      </w:r>
      <w:r>
        <w:rPr>
          <w:iCs/>
          <w:i/>
        </w:rPr>
        <w:t xml:space="preserve">PA</w:t>
      </w:r>
      <w:r>
        <w:t xml:space="preserve"> </w:t>
      </w:r>
      <w:r>
        <w:t xml:space="preserve">i Objawienia Jana.</w:t>
      </w:r>
      <w:r>
        <w:t xml:space="preserve"> </w:t>
      </w:r>
      <w:r>
        <w:rPr>
          <w:bCs/>
          <w:b/>
        </w:rPr>
        <w:t xml:space="preserve">Jeśli K</w:t>
      </w:r>
      <w:r>
        <w:rPr>
          <w:vertAlign w:val="superscript"/>
          <w:bCs/>
          <w:b/>
        </w:rPr>
        <w:t xml:space="preserve">r</w:t>
      </w:r>
      <w:r>
        <w:rPr>
          <w:bCs/>
          <w:b/>
        </w:rPr>
        <w:t xml:space="preserve"> </w:t>
      </w:r>
      <w:r>
        <w:rPr>
          <w:bCs/>
          <w:b/>
        </w:rPr>
        <w:t xml:space="preserve">jest wczesny i niezależny, to musi zostać zrehabilitowany w praktyce krytyki tekstu Nowego Testamentu. Jeśli jest najlepszą linią przekazu w</w:t>
      </w:r>
      <w:r>
        <w:rPr>
          <w:bCs/>
          <w:b/>
        </w:rPr>
        <w:t xml:space="preserve"> </w:t>
      </w:r>
      <w:r>
        <w:rPr>
          <w:iCs/>
          <w:i/>
          <w:bCs/>
          <w:b/>
        </w:rPr>
        <w:t xml:space="preserve">PA</w:t>
      </w:r>
      <w:r>
        <w:rPr>
          <w:bCs/>
          <w:b/>
        </w:rPr>
        <w:t xml:space="preserve"> </w:t>
      </w:r>
      <w:r>
        <w:rPr>
          <w:bCs/>
          <w:b/>
        </w:rPr>
        <w:t xml:space="preserve">i Objawieniu Jana, to równie dobrze może być najlepszą także gdzie indziej.</w:t>
      </w:r>
    </w:p>
    <w:p>
      <w:pPr>
        <w:pStyle w:val="BodyText"/>
      </w:pPr>
      <w:r>
        <w:t xml:space="preserve">Istnieje jednak głęboko zakorzeniona pogarda/antypatia wobec symbolu</w:t>
      </w:r>
      <w:r>
        <w:t xml:space="preserve"> </w:t>
      </w:r>
      <w:r>
        <w:rPr>
          <w:bCs/>
          <w:b/>
        </w:rPr>
        <w:t xml:space="preserve">K</w:t>
      </w:r>
      <w:r>
        <w:rPr>
          <w:vertAlign w:val="superscript"/>
          <w:bCs/>
          <w:b/>
        </w:rPr>
        <w:t xml:space="preserve">r</w:t>
      </w:r>
      <w:r>
        <w:t xml:space="preserve">, dlatego zaproponowałem nową nazwę dla tego typu tekstu. Powinniśmy zastąpić</w:t>
      </w:r>
      <w:r>
        <w:t xml:space="preserve"> </w:t>
      </w:r>
      <w:r>
        <w:rPr>
          <w:bCs/>
          <w:b/>
        </w:rPr>
        <w:t xml:space="preserve">K</w:t>
      </w:r>
      <w:r>
        <w:rPr>
          <w:vertAlign w:val="superscript"/>
          <w:bCs/>
          <w:b/>
        </w:rPr>
        <w:t xml:space="preserve">r</w:t>
      </w:r>
      <w:r>
        <w:t xml:space="preserve"> </w:t>
      </w:r>
      <w:r>
        <w:t xml:space="preserve">symbolem</w:t>
      </w:r>
      <w:r>
        <w:t xml:space="preserve"> </w:t>
      </w:r>
      <w:r>
        <w:rPr>
          <w:bCs/>
          <w:b/>
        </w:rPr>
        <w:t xml:space="preserve">f</w:t>
      </w:r>
      <w:r>
        <w:rPr>
          <w:vertAlign w:val="superscript"/>
          <w:bCs/>
          <w:b/>
        </w:rPr>
        <w:t xml:space="preserve">35</w:t>
      </w:r>
      <w:r>
        <w:t xml:space="preserve"> </w:t>
      </w:r>
      <w:r>
        <w:t xml:space="preserve">— jest on bardziej obiektywny i pozwoli odejść od uprzedzeń związanych z tym pierwszym. Minuskuł 35 zawiera cały Nowy Testament i wszędzie odzwierciedla</w:t>
      </w:r>
      <w:r>
        <w:t xml:space="preserve"> </w:t>
      </w:r>
      <w:r>
        <w:rPr>
          <w:bCs/>
          <w:b/>
        </w:rPr>
        <w:t xml:space="preserve">K</w:t>
      </w:r>
      <w:r>
        <w:rPr>
          <w:vertAlign w:val="superscript"/>
          <w:bCs/>
          <w:b/>
        </w:rPr>
        <w:t xml:space="preserve">r</w:t>
      </w:r>
      <w:r>
        <w:t xml:space="preserve">, a zarazem jest manuskryptem o najniższym numerze, który spełnia te kryteria</w:t>
      </w:r>
      <w:r>
        <w:rPr>
          <w:rStyle w:val="FootnoteReference"/>
        </w:rPr>
        <w:footnoteReference w:id="203"/>
      </w:r>
      <w:r>
        <w:t xml:space="preserve"> </w:t>
      </w:r>
      <w:r>
        <w:t xml:space="preserve">(podobnie jak rękopisy kursywne 1 i 13 mają najniższe numery w swoich rodzinach, i podobnie jak one, 35 nie zawsze jest najlepszym przedstawicielem [choć na ogół jest znakomity] — pochodzi jednak z XI wieku [i jest kopią starszego egzemplarza, a nie nowym tworem], więc ten typ tekstu nie mógł zostać stworzony w XII wieku, Q.E.D. — jest to skrót łacińskiego</w:t>
      </w:r>
      <w:r>
        <w:t xml:space="preserve"> </w:t>
      </w:r>
      <w:r>
        <w:rPr>
          <w:iCs/>
          <w:i/>
        </w:rPr>
        <w:t xml:space="preserve">quod erat demonstrandum</w:t>
      </w:r>
      <w:r>
        <w:t xml:space="preserve">, „to, co należało udowodnić, zostało udowodnione”).</w:t>
      </w:r>
    </w:p>
    <w:p>
      <w:pPr>
        <w:pStyle w:val="BodyText"/>
      </w:pPr>
      <w:r>
        <w:t xml:space="preserve">Rodzina 35 stanowi około 16% ogółu zachowanych (znanych) greckich manuskryptów, lecz niemal nigdy nie występuje całkowicie sama. Jednak lista pozostałych manuskryptów niemal nigdy nie jest taka sama, i to w całym Nowym Testamencie. Czy nie wskazuje to, że</w:t>
      </w:r>
      <w:r>
        <w:t xml:space="preserve"> </w:t>
      </w:r>
      <w:r>
        <w:rPr>
          <w:bCs/>
          <w:b/>
        </w:rPr>
        <w:t xml:space="preserve">f</w:t>
      </w:r>
      <w:r>
        <w:rPr>
          <w:vertAlign w:val="superscript"/>
          <w:bCs/>
          <w:b/>
        </w:rPr>
        <w:t xml:space="preserve">35</w:t>
      </w:r>
      <w:r>
        <w:t xml:space="preserve"> </w:t>
      </w:r>
      <w:r>
        <w:t xml:space="preserve">jest wspólnym mianownikiem? Ponieważ lista pozostałych manuskryptów niemal nigdy nie jest taka sama, można wyodrębnić manuskrypty reprezentujące</w:t>
      </w:r>
      <w:r>
        <w:t xml:space="preserve"> </w:t>
      </w:r>
      <w:r>
        <w:rPr>
          <w:bCs/>
          <w:b/>
        </w:rPr>
        <w:t xml:space="preserve">f</w:t>
      </w:r>
      <w:r>
        <w:rPr>
          <w:vertAlign w:val="superscript"/>
          <w:bCs/>
          <w:b/>
        </w:rPr>
        <w:t xml:space="preserve">35</w:t>
      </w:r>
      <w:r>
        <w:t xml:space="preserve">. Jak stwierdziłem na końcu Części I, Tekst Oryginalny jest ostatecznym archetypem, więc każdy kandydat również musi być archetypem — rzeczywistym, autentycznym, obiektywnie weryfikowalnym archetypem, jak dotąd zidentyfikowano tylko jeden taki archetyp — Rodzinę 35. Większość słów w Nowym Testamencie ma niemal 100% poświadczenie (z zachowanych greckich manuskryptach), lecz tam, gdzie występują różnice, to mozaika lub profil wspólnych odczytów, definiuje rodzinę lub linię przekazu. Przedstawiam teraz profil definiujący Rodzinę 35.</w:t>
      </w:r>
    </w:p>
    <w:bookmarkEnd w:id="204"/>
    <w:bookmarkStart w:id="206" w:name="X2ce4f72614a37f3fef02ca3acede1fe5baf6763"/>
    <w:p>
      <w:pPr>
        <w:pStyle w:val="Heading2"/>
      </w:pPr>
      <w:r>
        <w:t xml:space="preserve">Profil Rodziny 35 dla całego Nowego Testamentu</w:t>
      </w:r>
      <w:r>
        <w:rPr>
          <w:rStyle w:val="FootnoteReference"/>
        </w:rPr>
        <w:footnoteReference w:id="205"/>
      </w:r>
    </w:p>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w:t>
            </w:r>
          </w:p>
        </w:tc>
      </w:tr>
      <w:tr>
        <w:tc>
          <w:tcPr/>
          <w:p>
            <w:pPr>
              <w:pStyle w:val="Compact"/>
              <w:jc w:val="left"/>
            </w:pPr>
            <w:r>
              <w:t xml:space="preserve">++–</w:t>
            </w:r>
          </w:p>
        </w:tc>
        <w:tc>
          <w:tcPr/>
          <w:p>
            <w:pPr>
              <w:pStyle w:val="Compact"/>
              <w:jc w:val="left"/>
            </w:pPr>
            <w:r>
              <w:t xml:space="preserve">około 25% = całkiem dobre</w:t>
            </w:r>
          </w:p>
        </w:tc>
      </w:tr>
      <w:tr>
        <w:tc>
          <w:tcPr/>
          <w:p>
            <w:pPr>
              <w:pStyle w:val="Compact"/>
              <w:jc w:val="left"/>
            </w:pPr>
            <w:r>
              <w:t xml:space="preserve">++</w:t>
            </w:r>
          </w:p>
        </w:tc>
        <w:tc>
          <w:tcPr/>
          <w:p>
            <w:pPr>
              <w:pStyle w:val="Compact"/>
              <w:jc w:val="left"/>
            </w:pPr>
            <w:r>
              <w:t xml:space="preserve">około 30% = niezłe</w:t>
            </w:r>
          </w:p>
        </w:tc>
      </w:tr>
      <w:tr>
        <w:tc>
          <w:tcPr/>
          <w:p>
            <w:pPr>
              <w:pStyle w:val="Compact"/>
              <w:jc w:val="left"/>
            </w:pPr>
            <w:r>
              <w:t xml:space="preserve">+–</w:t>
            </w:r>
          </w:p>
        </w:tc>
        <w:tc>
          <w:tcPr/>
          <w:p>
            <w:pPr>
              <w:pStyle w:val="Compact"/>
              <w:jc w:val="left"/>
            </w:pPr>
            <w:r>
              <w:t xml:space="preserve">około 35%</w:t>
            </w:r>
          </w:p>
        </w:tc>
      </w:tr>
      <w:tr>
        <w:tc>
          <w:tcPr/>
          <w:p>
            <w:pPr>
              <w:pStyle w:val="Compact"/>
              <w:jc w:val="left"/>
            </w:pPr>
            <w:r>
              <w:t xml:space="preserve">+</w:t>
            </w:r>
          </w:p>
        </w:tc>
        <w:tc>
          <w:tcPr/>
          <w:p>
            <w:pPr>
              <w:pStyle w:val="Compact"/>
              <w:jc w:val="left"/>
            </w:pPr>
            <w:r>
              <w:t xml:space="preserve">około 40%</w:t>
            </w:r>
          </w:p>
        </w:tc>
      </w:tr>
    </w:tbl>
    <w:p>
      <w:pPr>
        <w:pStyle w:val="BodyText"/>
      </w:pPr>
      <w:r>
        <w:t xml:space="preserve">Arbitralnie ustaliłem punkt odcięcia na 40% (ogółu zachowanych manuskryptów), co jest wystarczające dla mojego obecnego celu, ale oczywiście wyższe wartości procentowe również mogą wnosić wkład w mozaikę/profil rodziny. (Gdybym uwzględnił 45% i 50%, liczby wyraźnie by wzrosły, zwłaszcza w przypadku niektórych ksiąg. W niektórych listach Pawła pozostałe linie przekazu w obrębie bizantyjskiej większości nie odbiegały zbytnio od normy Rodziny 35). Tam, gdzie wartości procentowe nie sumują się do 100%, występują dalsze warianty, zainteresowany czytelnik może je odnaleźć w aparacie krytycznym mojego greckiego Tekstu. Odczyt Rodziny 35 podany jest jako pierwszy.</w:t>
      </w:r>
    </w:p>
    <w:p>
      <w:pPr>
        <w:pStyle w:val="BodyText"/>
      </w:pPr>
      <w:r>
        <w:rPr>
          <w:bCs/>
          <w:b/>
        </w:rPr>
        <w:t xml:space="preserve">Ewangelia Mateusza</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1:10</w:t>
            </w:r>
          </w:p>
        </w:tc>
        <w:tc>
          <w:tcPr/>
          <w:p>
            <w:pPr>
              <w:pStyle w:val="Compact"/>
              <w:jc w:val="left"/>
            </w:pPr>
            <w:r>
              <w:t xml:space="preserve">μανασσην [25%] || μανασση [73%]</w:t>
            </w:r>
          </w:p>
        </w:tc>
      </w:tr>
      <w:tr>
        <w:tc>
          <w:tcPr/>
          <w:p>
            <w:pPr>
              <w:pStyle w:val="Compact"/>
              <w:jc w:val="left"/>
            </w:pPr>
            <w:r>
              <w:t xml:space="preserve">++</w:t>
            </w:r>
          </w:p>
        </w:tc>
        <w:tc>
          <w:tcPr/>
          <w:p>
            <w:pPr>
              <w:pStyle w:val="Compact"/>
              <w:jc w:val="left"/>
            </w:pPr>
            <w:r>
              <w:t xml:space="preserve">5:31</w:t>
            </w:r>
          </w:p>
        </w:tc>
        <w:tc>
          <w:tcPr/>
          <w:p>
            <w:pPr>
              <w:pStyle w:val="Compact"/>
              <w:jc w:val="left"/>
            </w:pPr>
            <w:r>
              <w:t xml:space="preserve">ερρεθη [30%] || 1 δε [70%]</w:t>
            </w:r>
          </w:p>
        </w:tc>
      </w:tr>
      <w:tr>
        <w:tc>
          <w:tcPr/>
          <w:p>
            <w:pPr>
              <w:pStyle w:val="Compact"/>
              <w:jc w:val="left"/>
            </w:pPr>
            <w:r>
              <w:t xml:space="preserve">++</w:t>
            </w:r>
          </w:p>
        </w:tc>
        <w:tc>
          <w:tcPr/>
          <w:p>
            <w:pPr>
              <w:pStyle w:val="Compact"/>
              <w:jc w:val="left"/>
            </w:pPr>
            <w:r>
              <w:t xml:space="preserve">6:6</w:t>
            </w:r>
          </w:p>
        </w:tc>
        <w:tc>
          <w:tcPr/>
          <w:p>
            <w:pPr>
              <w:pStyle w:val="Compact"/>
              <w:jc w:val="left"/>
            </w:pPr>
            <w:r>
              <w:t xml:space="preserve">ταμειον [30%] || ταμιειον [70%]</w:t>
            </w:r>
          </w:p>
        </w:tc>
      </w:tr>
      <w:tr>
        <w:tc>
          <w:tcPr/>
          <w:p>
            <w:pPr>
              <w:pStyle w:val="Compact"/>
              <w:jc w:val="left"/>
            </w:pPr>
            <w:r>
              <w:t xml:space="preserve">+++</w:t>
            </w:r>
          </w:p>
        </w:tc>
        <w:tc>
          <w:tcPr/>
          <w:p>
            <w:pPr>
              <w:pStyle w:val="Compact"/>
              <w:jc w:val="left"/>
            </w:pPr>
            <w:r>
              <w:t xml:space="preserve">6:25</w:t>
            </w:r>
            <w:r>
              <w:rPr>
                <w:vertAlign w:val="superscript"/>
              </w:rPr>
              <w:t xml:space="preserve">a</w:t>
            </w:r>
          </w:p>
        </w:tc>
        <w:tc>
          <w:tcPr/>
          <w:p>
            <w:pPr>
              <w:pStyle w:val="Compact"/>
              <w:jc w:val="left"/>
            </w:pPr>
            <w:r>
              <w:t xml:space="preserve">ενδυσεσθε [20%] || ενδυσησθε [80%]</w:t>
            </w:r>
          </w:p>
        </w:tc>
      </w:tr>
      <w:tr>
        <w:tc>
          <w:tcPr/>
          <w:p>
            <w:pPr>
              <w:pStyle w:val="Compact"/>
              <w:jc w:val="left"/>
            </w:pPr>
            <w:r>
              <w:t xml:space="preserve">+++</w:t>
            </w:r>
          </w:p>
        </w:tc>
        <w:tc>
          <w:tcPr/>
          <w:p>
            <w:pPr>
              <w:pStyle w:val="Compact"/>
              <w:jc w:val="left"/>
            </w:pPr>
            <w:r>
              <w:t xml:space="preserve">6:25</w:t>
            </w:r>
            <w:r>
              <w:rPr>
                <w:vertAlign w:val="superscript"/>
              </w:rPr>
              <w:t xml:space="preserve">b</w:t>
            </w:r>
          </w:p>
        </w:tc>
        <w:tc>
          <w:tcPr/>
          <w:p>
            <w:pPr>
              <w:pStyle w:val="Compact"/>
              <w:jc w:val="left"/>
            </w:pPr>
            <w:r>
              <w:t xml:space="preserve">πλειων [20%] || πλειον [80%]</w:t>
            </w:r>
          </w:p>
        </w:tc>
      </w:tr>
      <w:tr>
        <w:tc>
          <w:tcPr/>
          <w:p>
            <w:pPr>
              <w:pStyle w:val="Compact"/>
              <w:jc w:val="left"/>
            </w:pPr>
            <w:r>
              <w:t xml:space="preserve">++–</w:t>
            </w:r>
          </w:p>
        </w:tc>
        <w:tc>
          <w:tcPr/>
          <w:p>
            <w:pPr>
              <w:pStyle w:val="Compact"/>
              <w:jc w:val="left"/>
            </w:pPr>
            <w:r>
              <w:t xml:space="preserve">7:19</w:t>
            </w:r>
          </w:p>
        </w:tc>
        <w:tc>
          <w:tcPr/>
          <w:p>
            <w:pPr>
              <w:pStyle w:val="Compact"/>
              <w:jc w:val="left"/>
            </w:pPr>
            <w:r>
              <w:t xml:space="preserve">ουν [25%] || — [75%]</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8:13</w:t>
            </w:r>
          </w:p>
        </w:tc>
        <w:tc>
          <w:tcPr/>
          <w:p>
            <w:pPr>
              <w:pStyle w:val="Compact"/>
              <w:jc w:val="left"/>
            </w:pPr>
            <w:r>
              <w:t xml:space="preserve">εκατονταρχω [30%] || εκατονταρχη [70%]</w:t>
            </w:r>
          </w:p>
        </w:tc>
      </w:tr>
      <w:tr>
        <w:tc>
          <w:tcPr/>
          <w:p>
            <w:pPr>
              <w:pStyle w:val="Compact"/>
              <w:jc w:val="left"/>
            </w:pPr>
            <w:r>
              <w:t xml:space="preserve">+++</w:t>
            </w:r>
          </w:p>
        </w:tc>
        <w:tc>
          <w:tcPr/>
          <w:p>
            <w:pPr>
              <w:pStyle w:val="Compact"/>
              <w:jc w:val="left"/>
            </w:pPr>
            <w:r>
              <w:t xml:space="preserve">8:20</w:t>
            </w:r>
          </w:p>
        </w:tc>
        <w:tc>
          <w:tcPr/>
          <w:p>
            <w:pPr>
              <w:pStyle w:val="Compact"/>
              <w:jc w:val="left"/>
            </w:pPr>
            <w:r>
              <w:t xml:space="preserve">λεγει [20%] || και 1 [80%]</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μαθητων [20%] || 1 αυτου [80%]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ειδως (33.3%) || ιδων (65.7%)</w:t>
            </w:r>
          </w:p>
        </w:tc>
      </w:tr>
      <w:tr>
        <w:tc>
          <w:tcPr/>
          <w:p>
            <w:pPr>
              <w:pStyle w:val="Compact"/>
              <w:jc w:val="left"/>
            </w:pPr>
            <w:r>
              <w:t xml:space="preserve">++</w:t>
            </w:r>
          </w:p>
        </w:tc>
        <w:tc>
          <w:tcPr/>
          <w:p>
            <w:pPr>
              <w:pStyle w:val="Compact"/>
              <w:jc w:val="left"/>
            </w:pPr>
            <w:r>
              <w:t xml:space="preserve">9:11</w:t>
            </w:r>
          </w:p>
        </w:tc>
        <w:tc>
          <w:tcPr/>
          <w:p>
            <w:pPr>
              <w:pStyle w:val="Compact"/>
              <w:jc w:val="left"/>
            </w:pPr>
            <w:r>
              <w:t xml:space="preserve">και πινει [30%] || — [70%]</w:t>
            </w:r>
          </w:p>
        </w:tc>
      </w:tr>
      <w:tr>
        <w:tc>
          <w:tcPr/>
          <w:p>
            <w:pPr>
              <w:pStyle w:val="Compact"/>
              <w:jc w:val="left"/>
            </w:pPr>
            <w:r>
              <w:t xml:space="preserve">+++</w:t>
            </w:r>
          </w:p>
        </w:tc>
        <w:tc>
          <w:tcPr/>
          <w:p>
            <w:pPr>
              <w:pStyle w:val="Compact"/>
              <w:jc w:val="left"/>
            </w:pPr>
            <w:r>
              <w:t xml:space="preserve">9:15</w:t>
            </w:r>
          </w:p>
        </w:tc>
        <w:tc>
          <w:tcPr/>
          <w:p>
            <w:pPr>
              <w:pStyle w:val="Compact"/>
              <w:jc w:val="left"/>
            </w:pPr>
            <w:r>
              <w:t xml:space="preserve">χρονον [20%] || — [80%]</w:t>
            </w:r>
          </w:p>
        </w:tc>
      </w:tr>
      <w:tr>
        <w:tc>
          <w:tcPr/>
          <w:p>
            <w:pPr>
              <w:pStyle w:val="Compact"/>
              <w:jc w:val="left"/>
            </w:pPr>
            <w:r>
              <w:t xml:space="preserve">++</w:t>
            </w:r>
          </w:p>
        </w:tc>
        <w:tc>
          <w:tcPr/>
          <w:p>
            <w:pPr>
              <w:pStyle w:val="Compact"/>
              <w:jc w:val="left"/>
            </w:pPr>
            <w:r>
              <w:t xml:space="preserve">9:18</w:t>
            </w:r>
          </w:p>
        </w:tc>
        <w:tc>
          <w:tcPr/>
          <w:p>
            <w:pPr>
              <w:pStyle w:val="Compact"/>
              <w:jc w:val="left"/>
            </w:pPr>
            <w:r>
              <w:t xml:space="preserve">τις [30%] || εις [62%]</w:t>
            </w:r>
          </w:p>
        </w:tc>
      </w:tr>
      <w:tr>
        <w:tc>
          <w:tcPr/>
          <w:p>
            <w:pPr>
              <w:pStyle w:val="Compact"/>
              <w:jc w:val="left"/>
            </w:pPr>
            <w:r>
              <w:t xml:space="preserve">+++</w:t>
            </w:r>
          </w:p>
        </w:tc>
        <w:tc>
          <w:tcPr/>
          <w:p>
            <w:pPr>
              <w:pStyle w:val="Compact"/>
              <w:jc w:val="left"/>
            </w:pPr>
            <w:r>
              <w:t xml:space="preserve">9:28</w:t>
            </w:r>
          </w:p>
        </w:tc>
        <w:tc>
          <w:tcPr/>
          <w:p>
            <w:pPr>
              <w:pStyle w:val="Compact"/>
              <w:jc w:val="left"/>
            </w:pPr>
            <w:r>
              <w:t xml:space="preserve">αυτοις [20%] || 1 ο ιησους [80%]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οτι [25%] || — [75%]</w:t>
            </w:r>
          </w:p>
        </w:tc>
      </w:tr>
      <w:tr>
        <w:tc>
          <w:tcPr/>
          <w:p>
            <w:pPr>
              <w:pStyle w:val="Compact"/>
              <w:jc w:val="left"/>
            </w:pPr>
            <w:r>
              <w:t xml:space="preserve">++</w:t>
            </w:r>
          </w:p>
        </w:tc>
        <w:tc>
          <w:tcPr/>
          <w:p>
            <w:pPr>
              <w:pStyle w:val="Compact"/>
              <w:jc w:val="left"/>
            </w:pPr>
            <w:r>
              <w:t xml:space="preserve">10:2</w:t>
            </w:r>
          </w:p>
        </w:tc>
        <w:tc>
          <w:tcPr/>
          <w:p>
            <w:pPr>
              <w:pStyle w:val="Compact"/>
              <w:jc w:val="left"/>
            </w:pPr>
            <w:r>
              <w:t xml:space="preserve">εισιν [30%] || εστιν [70%]</w:t>
            </w:r>
          </w:p>
        </w:tc>
      </w:tr>
      <w:tr>
        <w:tc>
          <w:tcPr/>
          <w:p>
            <w:pPr>
              <w:pStyle w:val="Compact"/>
              <w:jc w:val="left"/>
            </w:pPr>
            <w:r>
              <w:t xml:space="preserve">++</w:t>
            </w:r>
          </w:p>
        </w:tc>
        <w:tc>
          <w:tcPr/>
          <w:p>
            <w:pPr>
              <w:pStyle w:val="Compact"/>
              <w:jc w:val="left"/>
            </w:pPr>
            <w:r>
              <w:t xml:space="preserve">10:19</w:t>
            </w:r>
          </w:p>
        </w:tc>
        <w:tc>
          <w:tcPr/>
          <w:p>
            <w:pPr>
              <w:pStyle w:val="Compact"/>
              <w:jc w:val="left"/>
            </w:pPr>
            <w:r>
              <w:t xml:space="preserve">λαλησετε (1</w:t>
            </w:r>
            <w:r>
              <w:rPr>
                <w:vertAlign w:val="superscript"/>
              </w:rPr>
              <w:t xml:space="preserve">st</w:t>
            </w:r>
            <w:r>
              <w:t xml:space="preserve">) [30%] || λαλησητε [70%]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απεκαλεσαν [30%] || εκαλεσαν [49%] || επεκαλεσαν [20%]</w:t>
            </w:r>
          </w:p>
        </w:tc>
      </w:tr>
      <w:tr>
        <w:tc>
          <w:tcPr/>
          <w:p>
            <w:pPr>
              <w:pStyle w:val="Compact"/>
              <w:jc w:val="left"/>
            </w:pPr>
            <w:r>
              <w:t xml:space="preserve">+++</w:t>
            </w:r>
          </w:p>
        </w:tc>
        <w:tc>
          <w:tcPr/>
          <w:p>
            <w:pPr>
              <w:pStyle w:val="Compact"/>
              <w:jc w:val="left"/>
            </w:pPr>
            <w:r>
              <w:t xml:space="preserve">10:31</w:t>
            </w:r>
          </w:p>
        </w:tc>
        <w:tc>
          <w:tcPr/>
          <w:p>
            <w:pPr>
              <w:pStyle w:val="Compact"/>
              <w:jc w:val="left"/>
            </w:pPr>
            <w:r>
              <w:t xml:space="preserve">πολλω [20%] || πολλων [80%]</w:t>
            </w:r>
          </w:p>
        </w:tc>
      </w:tr>
      <w:tr>
        <w:tc>
          <w:tcPr/>
          <w:p>
            <w:pPr>
              <w:pStyle w:val="Compact"/>
              <w:jc w:val="left"/>
            </w:pPr>
            <w:r>
              <w:t xml:space="preserve">+–</w:t>
            </w:r>
          </w:p>
        </w:tc>
        <w:tc>
          <w:tcPr/>
          <w:p>
            <w:pPr>
              <w:pStyle w:val="Compact"/>
              <w:jc w:val="left"/>
            </w:pPr>
            <w:r>
              <w:t xml:space="preserve">11:20</w:t>
            </w:r>
          </w:p>
        </w:tc>
        <w:tc>
          <w:tcPr/>
          <w:p>
            <w:pPr>
              <w:pStyle w:val="Compact"/>
              <w:jc w:val="left"/>
            </w:pPr>
            <w:r>
              <w:t xml:space="preserve">ο ιησους [35%] || — [65%]</w:t>
            </w:r>
          </w:p>
        </w:tc>
      </w:tr>
      <w:tr>
        <w:tc>
          <w:tcPr/>
          <w:p>
            <w:pPr>
              <w:pStyle w:val="Compact"/>
              <w:jc w:val="left"/>
            </w:pPr>
            <w:r>
              <w:t xml:space="preserve">+++</w:t>
            </w:r>
          </w:p>
        </w:tc>
        <w:tc>
          <w:tcPr/>
          <w:p>
            <w:pPr>
              <w:pStyle w:val="Compact"/>
              <w:jc w:val="left"/>
            </w:pPr>
            <w:r>
              <w:t xml:space="preserve">11:21</w:t>
            </w:r>
          </w:p>
        </w:tc>
        <w:tc>
          <w:tcPr/>
          <w:p>
            <w:pPr>
              <w:pStyle w:val="Compact"/>
              <w:jc w:val="left"/>
            </w:pPr>
            <w:r>
              <w:t xml:space="preserve">χωραζιν [20%] || χοραζιν [65%]</w:t>
            </w:r>
          </w:p>
        </w:tc>
      </w:tr>
      <w:tr>
        <w:tc>
          <w:tcPr/>
          <w:p>
            <w:pPr>
              <w:pStyle w:val="Compact"/>
              <w:jc w:val="left"/>
            </w:pPr>
            <w:r>
              <w:t xml:space="preserve">+–</w:t>
            </w:r>
          </w:p>
        </w:tc>
        <w:tc>
          <w:tcPr/>
          <w:p>
            <w:pPr>
              <w:pStyle w:val="Compact"/>
              <w:jc w:val="left"/>
            </w:pPr>
            <w:r>
              <w:t xml:space="preserve">11:23</w:t>
            </w:r>
            <w:r>
              <w:rPr>
                <w:vertAlign w:val="superscript"/>
              </w:rPr>
              <w:t xml:space="preserve">a</w:t>
            </w:r>
          </w:p>
        </w:tc>
        <w:tc>
          <w:tcPr/>
          <w:p>
            <w:pPr>
              <w:pStyle w:val="Compact"/>
              <w:jc w:val="left"/>
            </w:pPr>
            <w:r>
              <w:t xml:space="preserve">ἣ [35%] || ἡ [64%]</w:t>
            </w:r>
          </w:p>
        </w:tc>
      </w:tr>
      <w:tr>
        <w:tc>
          <w:tcPr/>
          <w:p>
            <w:pPr>
              <w:pStyle w:val="Compact"/>
              <w:jc w:val="left"/>
            </w:pPr>
            <w:r>
              <w:t xml:space="preserve">+–</w:t>
            </w:r>
          </w:p>
        </w:tc>
        <w:tc>
          <w:tcPr/>
          <w:p>
            <w:pPr>
              <w:pStyle w:val="Compact"/>
              <w:jc w:val="left"/>
            </w:pPr>
            <w:r>
              <w:t xml:space="preserve">11:23</w:t>
            </w:r>
            <w:r>
              <w:rPr>
                <w:vertAlign w:val="superscript"/>
              </w:rPr>
              <w:t xml:space="preserve">b</w:t>
            </w:r>
          </w:p>
        </w:tc>
        <w:tc>
          <w:tcPr/>
          <w:p>
            <w:pPr>
              <w:pStyle w:val="Compact"/>
              <w:jc w:val="left"/>
            </w:pPr>
            <w:r>
              <w:t xml:space="preserve">υψωθης [35%] || υψωθεισα [63%]</w:t>
            </w:r>
          </w:p>
        </w:tc>
      </w:tr>
      <w:tr>
        <w:tc>
          <w:tcPr/>
          <w:p>
            <w:pPr>
              <w:pStyle w:val="Compact"/>
              <w:jc w:val="left"/>
            </w:pPr>
            <w:r>
              <w:t xml:space="preserve">+++</w:t>
            </w:r>
          </w:p>
        </w:tc>
        <w:tc>
          <w:tcPr/>
          <w:p>
            <w:pPr>
              <w:pStyle w:val="Compact"/>
              <w:jc w:val="left"/>
            </w:pPr>
            <w:r>
              <w:t xml:space="preserve">12:15</w:t>
            </w:r>
          </w:p>
        </w:tc>
        <w:tc>
          <w:tcPr/>
          <w:p>
            <w:pPr>
              <w:pStyle w:val="Compact"/>
              <w:jc w:val="left"/>
            </w:pPr>
            <w:r>
              <w:t xml:space="preserve">απαντας [20%] || παντας [80%]</w:t>
            </w:r>
          </w:p>
        </w:tc>
      </w:tr>
      <w:tr>
        <w:tc>
          <w:tcPr/>
          <w:p>
            <w:pPr>
              <w:pStyle w:val="Compact"/>
              <w:jc w:val="left"/>
            </w:pPr>
            <w:r>
              <w:t xml:space="preserve">++–</w:t>
            </w:r>
          </w:p>
        </w:tc>
        <w:tc>
          <w:tcPr/>
          <w:p>
            <w:pPr>
              <w:pStyle w:val="Compact"/>
              <w:jc w:val="left"/>
            </w:pPr>
            <w:r>
              <w:t xml:space="preserve">12:22</w:t>
            </w:r>
          </w:p>
        </w:tc>
        <w:tc>
          <w:tcPr/>
          <w:p>
            <w:pPr>
              <w:pStyle w:val="Compact"/>
              <w:jc w:val="left"/>
            </w:pPr>
            <w:r>
              <w:t xml:space="preserve">κωφον [25%] || 1 και [75%]</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ο χριστος [20%] || — [80%]</w:t>
            </w:r>
          </w:p>
        </w:tc>
      </w:tr>
      <w:tr>
        <w:tc>
          <w:tcPr/>
          <w:p>
            <w:pPr>
              <w:pStyle w:val="Compact"/>
              <w:jc w:val="left"/>
            </w:pPr>
            <w:r>
              <w:t xml:space="preserve">++–</w:t>
            </w:r>
          </w:p>
        </w:tc>
        <w:tc>
          <w:tcPr/>
          <w:p>
            <w:pPr>
              <w:pStyle w:val="Compact"/>
              <w:jc w:val="left"/>
            </w:pPr>
            <w:r>
              <w:t xml:space="preserve">12:24</w:t>
            </w:r>
          </w:p>
        </w:tc>
        <w:tc>
          <w:tcPr/>
          <w:p>
            <w:pPr>
              <w:pStyle w:val="Compact"/>
              <w:jc w:val="left"/>
            </w:pPr>
            <w:r>
              <w:t xml:space="preserve">εν [25%] || 1 τω [75%]</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εγω εν πνευματι θεου [28%] || ~ 2341 [70%]</w:t>
            </w:r>
          </w:p>
        </w:tc>
      </w:tr>
      <w:tr>
        <w:tc>
          <w:tcPr/>
          <w:p>
            <w:pPr>
              <w:pStyle w:val="Compact"/>
              <w:jc w:val="left"/>
            </w:pPr>
            <w:r>
              <w:t xml:space="preserve">+</w:t>
            </w:r>
          </w:p>
        </w:tc>
        <w:tc>
          <w:tcPr/>
          <w:p>
            <w:pPr>
              <w:pStyle w:val="Compact"/>
              <w:jc w:val="left"/>
            </w:pPr>
            <w:r>
              <w:t xml:space="preserve">12:29</w:t>
            </w:r>
          </w:p>
        </w:tc>
        <w:tc>
          <w:tcPr/>
          <w:p>
            <w:pPr>
              <w:pStyle w:val="Compact"/>
              <w:jc w:val="left"/>
            </w:pPr>
            <w:r>
              <w:t xml:space="preserve">διαρπαση [40%] || διαρπασει [60%]</w:t>
            </w:r>
          </w:p>
        </w:tc>
      </w:tr>
      <w:tr>
        <w:tc>
          <w:tcPr/>
          <w:p>
            <w:pPr>
              <w:pStyle w:val="Compact"/>
              <w:jc w:val="left"/>
            </w:pPr>
            <w:r>
              <w:t xml:space="preserve">++</w:t>
            </w:r>
          </w:p>
        </w:tc>
        <w:tc>
          <w:tcPr/>
          <w:p>
            <w:pPr>
              <w:pStyle w:val="Compact"/>
              <w:jc w:val="left"/>
            </w:pPr>
            <w:r>
              <w:t xml:space="preserve">13:2</w:t>
            </w:r>
          </w:p>
        </w:tc>
        <w:tc>
          <w:tcPr/>
          <w:p>
            <w:pPr>
              <w:pStyle w:val="Compact"/>
              <w:jc w:val="left"/>
            </w:pPr>
            <w:r>
              <w:t xml:space="preserve">εις [30%] || 1 το [70%]</w:t>
            </w:r>
          </w:p>
        </w:tc>
      </w:tr>
      <w:tr>
        <w:tc>
          <w:tcPr/>
          <w:p>
            <w:pPr>
              <w:pStyle w:val="Compact"/>
              <w:jc w:val="left"/>
            </w:pPr>
            <w:r>
              <w:t xml:space="preserve">++–</w:t>
            </w:r>
          </w:p>
        </w:tc>
        <w:tc>
          <w:tcPr/>
          <w:p>
            <w:pPr>
              <w:pStyle w:val="Compact"/>
              <w:jc w:val="left"/>
            </w:pPr>
            <w:r>
              <w:t xml:space="preserve">13:3</w:t>
            </w:r>
          </w:p>
        </w:tc>
        <w:tc>
          <w:tcPr/>
          <w:p>
            <w:pPr>
              <w:pStyle w:val="Compact"/>
              <w:jc w:val="left"/>
            </w:pPr>
            <w:r>
              <w:t xml:space="preserve">εν παραβολαις πολλα [25%] || ~ 312 [75%]</w:t>
            </w:r>
          </w:p>
        </w:tc>
      </w:tr>
      <w:tr>
        <w:tc>
          <w:tcPr/>
          <w:p>
            <w:pPr>
              <w:pStyle w:val="Compact"/>
              <w:jc w:val="left"/>
            </w:pPr>
            <w:r>
              <w:t xml:space="preserve">++</w:t>
            </w:r>
          </w:p>
        </w:tc>
        <w:tc>
          <w:tcPr/>
          <w:p>
            <w:pPr>
              <w:pStyle w:val="Compact"/>
              <w:jc w:val="left"/>
            </w:pPr>
            <w:r>
              <w:t xml:space="preserve">13:24</w:t>
            </w:r>
          </w:p>
        </w:tc>
        <w:tc>
          <w:tcPr/>
          <w:p>
            <w:pPr>
              <w:pStyle w:val="Compact"/>
              <w:jc w:val="left"/>
            </w:pPr>
            <w:r>
              <w:t xml:space="preserve">σπειραντι [30%] || σπειροντι [70%]</w:t>
            </w:r>
          </w:p>
        </w:tc>
      </w:tr>
      <w:tr>
        <w:tc>
          <w:tcPr/>
          <w:p>
            <w:pPr>
              <w:pStyle w:val="Compact"/>
              <w:jc w:val="left"/>
            </w:pPr>
            <w:r>
              <w:t xml:space="preserve">++</w:t>
            </w:r>
          </w:p>
        </w:tc>
        <w:tc>
          <w:tcPr/>
          <w:p>
            <w:pPr>
              <w:pStyle w:val="Compact"/>
              <w:jc w:val="left"/>
            </w:pPr>
            <w:r>
              <w:t xml:space="preserve">13:32</w:t>
            </w:r>
          </w:p>
        </w:tc>
        <w:tc>
          <w:tcPr/>
          <w:p>
            <w:pPr>
              <w:pStyle w:val="Compact"/>
              <w:jc w:val="left"/>
            </w:pPr>
            <w:r>
              <w:t xml:space="preserve">παντων [30%] || — [70%]</w:t>
            </w:r>
          </w:p>
        </w:tc>
      </w:tr>
      <w:tr>
        <w:tc>
          <w:tcPr/>
          <w:p>
            <w:pPr>
              <w:pStyle w:val="Compact"/>
              <w:jc w:val="left"/>
            </w:pPr>
            <w:r>
              <w:t xml:space="preserve">++</w:t>
            </w:r>
          </w:p>
        </w:tc>
        <w:tc>
          <w:tcPr/>
          <w:p>
            <w:pPr>
              <w:pStyle w:val="Compact"/>
              <w:jc w:val="left"/>
            </w:pPr>
            <w:r>
              <w:t xml:space="preserve">13:44</w:t>
            </w:r>
          </w:p>
        </w:tc>
        <w:tc>
          <w:tcPr/>
          <w:p>
            <w:pPr>
              <w:pStyle w:val="Compact"/>
              <w:jc w:val="left"/>
            </w:pPr>
            <w:r>
              <w:t xml:space="preserve">εν αγρω [30%] || 1 τω 2 [70%]</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εφοβειτο [20%] || εφοβηθη [80%]</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αυτου [30%] || — [70%]</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δε [25%] || 1 αυτω [73%]</w:t>
            </w:r>
          </w:p>
        </w:tc>
      </w:tr>
      <w:tr>
        <w:tc>
          <w:tcPr/>
          <w:p>
            <w:pPr>
              <w:pStyle w:val="Compact"/>
              <w:jc w:val="left"/>
            </w:pPr>
            <w:r>
              <w:t xml:space="preserve">+++</w:t>
            </w:r>
          </w:p>
        </w:tc>
        <w:tc>
          <w:tcPr/>
          <w:p>
            <w:pPr>
              <w:pStyle w:val="Compact"/>
              <w:jc w:val="left"/>
            </w:pPr>
            <w:r>
              <w:t xml:space="preserve">14:31</w:t>
            </w:r>
          </w:p>
        </w:tc>
        <w:tc>
          <w:tcPr/>
          <w:p>
            <w:pPr>
              <w:pStyle w:val="Compact"/>
              <w:jc w:val="left"/>
            </w:pPr>
            <w:r>
              <w:t xml:space="preserve">και ευθεως [20%] || ~ 2 δε [80%]</w:t>
            </w:r>
          </w:p>
        </w:tc>
      </w:tr>
      <w:tr>
        <w:tc>
          <w:tcPr/>
          <w:p>
            <w:pPr>
              <w:pStyle w:val="Compact"/>
              <w:jc w:val="left"/>
            </w:pPr>
            <w:r>
              <w:t xml:space="preserve">++</w:t>
            </w:r>
          </w:p>
        </w:tc>
        <w:tc>
          <w:tcPr/>
          <w:p>
            <w:pPr>
              <w:pStyle w:val="Compact"/>
              <w:jc w:val="left"/>
            </w:pPr>
            <w:r>
              <w:t xml:space="preserve">14:34</w:t>
            </w:r>
          </w:p>
        </w:tc>
        <w:tc>
          <w:tcPr/>
          <w:p>
            <w:pPr>
              <w:pStyle w:val="Compact"/>
              <w:jc w:val="left"/>
            </w:pPr>
            <w:r>
              <w:t xml:space="preserve">γενησαρετ [30%] || γεννησαρετ [55%]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καν [35%] || — [65%]</w:t>
            </w:r>
          </w:p>
        </w:tc>
      </w:tr>
      <w:tr>
        <w:tc>
          <w:tcPr/>
          <w:p>
            <w:pPr>
              <w:pStyle w:val="Compact"/>
              <w:jc w:val="left"/>
            </w:pPr>
            <w:r>
              <w:t xml:space="preserve">++–</w:t>
            </w:r>
          </w:p>
        </w:tc>
        <w:tc>
          <w:tcPr/>
          <w:p>
            <w:pPr>
              <w:pStyle w:val="Compact"/>
              <w:jc w:val="left"/>
            </w:pPr>
            <w:r>
              <w:t xml:space="preserve">15:6</w:t>
            </w:r>
          </w:p>
        </w:tc>
        <w:tc>
          <w:tcPr/>
          <w:p>
            <w:pPr>
              <w:pStyle w:val="Compact"/>
              <w:jc w:val="left"/>
            </w:pPr>
            <w:r>
              <w:t xml:space="preserve">μητερα [25%] || 1 αυτου [75%]</w:t>
            </w:r>
          </w:p>
        </w:tc>
      </w:tr>
      <w:tr>
        <w:tc>
          <w:tcPr/>
          <w:p>
            <w:pPr>
              <w:pStyle w:val="Compact"/>
              <w:jc w:val="left"/>
            </w:pPr>
            <w:r>
              <w:t xml:space="preserve">++</w:t>
            </w:r>
          </w:p>
        </w:tc>
        <w:tc>
          <w:tcPr/>
          <w:p>
            <w:pPr>
              <w:pStyle w:val="Compact"/>
              <w:jc w:val="left"/>
            </w:pPr>
            <w:r>
              <w:t xml:space="preserve">15:14</w:t>
            </w:r>
          </w:p>
        </w:tc>
        <w:tc>
          <w:tcPr/>
          <w:p>
            <w:pPr>
              <w:pStyle w:val="Compact"/>
              <w:jc w:val="left"/>
            </w:pPr>
            <w:r>
              <w:t xml:space="preserve">εμπεσουνται [30%] || πεσουνται [70%]</w:t>
            </w:r>
          </w:p>
        </w:tc>
      </w:tr>
      <w:tr>
        <w:tc>
          <w:tcPr/>
          <w:p>
            <w:pPr>
              <w:pStyle w:val="Compact"/>
              <w:jc w:val="left"/>
            </w:pPr>
            <w:r>
              <w:t xml:space="preserve">++</w:t>
            </w:r>
          </w:p>
        </w:tc>
        <w:tc>
          <w:tcPr/>
          <w:p>
            <w:pPr>
              <w:pStyle w:val="Compact"/>
              <w:jc w:val="left"/>
            </w:pPr>
            <w:r>
              <w:t xml:space="preserve">15:31</w:t>
            </w:r>
          </w:p>
        </w:tc>
        <w:tc>
          <w:tcPr/>
          <w:p>
            <w:pPr>
              <w:pStyle w:val="Compact"/>
              <w:jc w:val="left"/>
            </w:pPr>
            <w:r>
              <w:t xml:space="preserve">εδοξαζον [30%] || εδοξασαν [70%]</w:t>
            </w:r>
          </w:p>
        </w:tc>
      </w:tr>
      <w:tr>
        <w:tc>
          <w:tcPr/>
          <w:p>
            <w:pPr>
              <w:pStyle w:val="Compact"/>
              <w:jc w:val="left"/>
            </w:pPr>
            <w:r>
              <w:t xml:space="preserve">++</w:t>
            </w:r>
          </w:p>
        </w:tc>
        <w:tc>
          <w:tcPr/>
          <w:p>
            <w:pPr>
              <w:pStyle w:val="Compact"/>
              <w:jc w:val="left"/>
            </w:pPr>
            <w:r>
              <w:t xml:space="preserve">15:32</w:t>
            </w:r>
            <w:r>
              <w:rPr>
                <w:vertAlign w:val="superscript"/>
              </w:rPr>
              <w:t xml:space="preserve">a</w:t>
            </w:r>
          </w:p>
        </w:tc>
        <w:tc>
          <w:tcPr/>
          <w:p>
            <w:pPr>
              <w:pStyle w:val="Compact"/>
              <w:jc w:val="left"/>
            </w:pPr>
            <w:r>
              <w:t xml:space="preserve">ημερας [30%] || ημεραι [70%]</w:t>
            </w:r>
          </w:p>
        </w:tc>
      </w:tr>
      <w:tr>
        <w:tc>
          <w:tcPr/>
          <w:p>
            <w:pPr>
              <w:pStyle w:val="Compact"/>
              <w:jc w:val="left"/>
            </w:pPr>
            <w:r>
              <w:t xml:space="preserve">++–</w:t>
            </w:r>
          </w:p>
        </w:tc>
        <w:tc>
          <w:tcPr/>
          <w:p>
            <w:pPr>
              <w:pStyle w:val="Compact"/>
              <w:jc w:val="left"/>
            </w:pPr>
            <w:r>
              <w:t xml:space="preserve">15:32</w:t>
            </w:r>
            <w:r>
              <w:rPr>
                <w:vertAlign w:val="superscript"/>
              </w:rPr>
              <w:t xml:space="preserve">b</w:t>
            </w:r>
          </w:p>
        </w:tc>
        <w:tc>
          <w:tcPr/>
          <w:p>
            <w:pPr>
              <w:pStyle w:val="Compact"/>
              <w:jc w:val="left"/>
            </w:pPr>
            <w:r>
              <w:t xml:space="preserve">νηστις [25%] || νηστεις [75%]</w:t>
            </w:r>
          </w:p>
        </w:tc>
      </w:tr>
      <w:tr>
        <w:tc>
          <w:tcPr/>
          <w:p>
            <w:pPr>
              <w:pStyle w:val="Compact"/>
              <w:jc w:val="left"/>
            </w:pPr>
            <w:r>
              <w:t xml:space="preserve">++</w:t>
            </w:r>
          </w:p>
        </w:tc>
        <w:tc>
          <w:tcPr/>
          <w:p>
            <w:pPr>
              <w:pStyle w:val="Compact"/>
              <w:jc w:val="left"/>
            </w:pPr>
            <w:r>
              <w:t xml:space="preserve">15:39</w:t>
            </w:r>
          </w:p>
        </w:tc>
        <w:tc>
          <w:tcPr/>
          <w:p>
            <w:pPr>
              <w:pStyle w:val="Compact"/>
              <w:jc w:val="left"/>
            </w:pPr>
            <w:r>
              <w:t xml:space="preserve">ενεβη [30%] || ανεβη [70%]</w:t>
            </w:r>
          </w:p>
        </w:tc>
      </w:tr>
      <w:tr>
        <w:tc>
          <w:tcPr/>
          <w:p>
            <w:pPr>
              <w:pStyle w:val="Compact"/>
              <w:jc w:val="left"/>
            </w:pPr>
            <w:r>
              <w:t xml:space="preserve">+–</w:t>
            </w:r>
          </w:p>
        </w:tc>
        <w:tc>
          <w:tcPr/>
          <w:p>
            <w:pPr>
              <w:pStyle w:val="Compact"/>
              <w:jc w:val="left"/>
            </w:pPr>
            <w:r>
              <w:t xml:space="preserve">16:20</w:t>
            </w:r>
          </w:p>
        </w:tc>
        <w:tc>
          <w:tcPr/>
          <w:p>
            <w:pPr>
              <w:pStyle w:val="Compact"/>
              <w:jc w:val="left"/>
            </w:pPr>
            <w:r>
              <w:t xml:space="preserve">εστιν [35%] || 1 ιησους [65%]</w:t>
            </w:r>
          </w:p>
        </w:tc>
      </w:tr>
      <w:tr>
        <w:tc>
          <w:tcPr/>
          <w:p>
            <w:pPr>
              <w:pStyle w:val="Compact"/>
              <w:jc w:val="left"/>
            </w:pPr>
            <w:r>
              <w:t xml:space="preserve">+</w:t>
            </w:r>
          </w:p>
        </w:tc>
        <w:tc>
          <w:tcPr/>
          <w:p>
            <w:pPr>
              <w:pStyle w:val="Compact"/>
              <w:jc w:val="left"/>
            </w:pPr>
            <w:r>
              <w:t xml:space="preserve">17:2</w:t>
            </w:r>
          </w:p>
        </w:tc>
        <w:tc>
          <w:tcPr/>
          <w:p>
            <w:pPr>
              <w:pStyle w:val="Compact"/>
              <w:jc w:val="left"/>
            </w:pPr>
            <w:r>
              <w:t xml:space="preserve">εγενετο [40%] || εγενοντο [60%]</w:t>
            </w:r>
          </w:p>
        </w:tc>
      </w:tr>
      <w:tr>
        <w:tc>
          <w:tcPr/>
          <w:p>
            <w:pPr>
              <w:pStyle w:val="Compact"/>
              <w:jc w:val="left"/>
            </w:pPr>
            <w:r>
              <w:t xml:space="preserve">+++</w:t>
            </w:r>
          </w:p>
        </w:tc>
        <w:tc>
          <w:tcPr/>
          <w:p>
            <w:pPr>
              <w:pStyle w:val="Compact"/>
              <w:jc w:val="left"/>
            </w:pPr>
            <w:r>
              <w:t xml:space="preserve">17:18</w:t>
            </w:r>
          </w:p>
        </w:tc>
        <w:tc>
          <w:tcPr/>
          <w:p>
            <w:pPr>
              <w:pStyle w:val="Compact"/>
              <w:jc w:val="left"/>
            </w:pPr>
            <w:r>
              <w:t xml:space="preserve">ιαθη [20%] || εθεραπευθη [80%]</w:t>
            </w:r>
          </w:p>
        </w:tc>
      </w:tr>
      <w:tr>
        <w:tc>
          <w:tcPr/>
          <w:p>
            <w:pPr>
              <w:pStyle w:val="Compact"/>
              <w:jc w:val="left"/>
            </w:pPr>
            <w:r>
              <w:t xml:space="preserve">++–</w:t>
            </w:r>
          </w:p>
        </w:tc>
        <w:tc>
          <w:tcPr/>
          <w:p>
            <w:pPr>
              <w:pStyle w:val="Compact"/>
              <w:jc w:val="left"/>
            </w:pPr>
            <w:r>
              <w:t xml:space="preserve">17:25</w:t>
            </w:r>
          </w:p>
        </w:tc>
        <w:tc>
          <w:tcPr/>
          <w:p>
            <w:pPr>
              <w:pStyle w:val="Compact"/>
              <w:jc w:val="left"/>
            </w:pPr>
            <w:r>
              <w:t xml:space="preserve">εισηλθον [25%] || εισηλθεν [72%]</w:t>
            </w:r>
          </w:p>
        </w:tc>
      </w:tr>
      <w:tr>
        <w:tc>
          <w:tcPr/>
          <w:p>
            <w:pPr>
              <w:pStyle w:val="Compact"/>
              <w:jc w:val="left"/>
            </w:pPr>
            <w:r>
              <w:t xml:space="preserve">+</w:t>
            </w:r>
          </w:p>
        </w:tc>
        <w:tc>
          <w:tcPr/>
          <w:p>
            <w:pPr>
              <w:pStyle w:val="Compact"/>
              <w:jc w:val="left"/>
            </w:pPr>
            <w:r>
              <w:t xml:space="preserve">17:27</w:t>
            </w:r>
          </w:p>
        </w:tc>
        <w:tc>
          <w:tcPr/>
          <w:p>
            <w:pPr>
              <w:pStyle w:val="Compact"/>
              <w:jc w:val="left"/>
            </w:pPr>
            <w:r>
              <w:t xml:space="preserve">αναβαντα [40%] || αναβαινοντο [60%]</w:t>
            </w:r>
          </w:p>
        </w:tc>
      </w:tr>
      <w:tr>
        <w:tc>
          <w:tcPr/>
          <w:p>
            <w:pPr>
              <w:pStyle w:val="Compact"/>
              <w:jc w:val="left"/>
            </w:pPr>
            <w:r>
              <w:t xml:space="preserve">++–</w:t>
            </w:r>
          </w:p>
        </w:tc>
        <w:tc>
          <w:tcPr/>
          <w:p>
            <w:pPr>
              <w:pStyle w:val="Compact"/>
              <w:jc w:val="left"/>
            </w:pPr>
            <w:r>
              <w:t xml:space="preserve">18:15</w:t>
            </w:r>
            <w:r>
              <w:rPr>
                <w:vertAlign w:val="superscript"/>
              </w:rPr>
              <w:t xml:space="preserve">a</w:t>
            </w:r>
          </w:p>
        </w:tc>
        <w:tc>
          <w:tcPr/>
          <w:p>
            <w:pPr>
              <w:pStyle w:val="Compact"/>
              <w:jc w:val="left"/>
            </w:pPr>
            <w:r>
              <w:t xml:space="preserve">αμαρτη [25%] || αμαρτηση [74%]</w:t>
            </w:r>
          </w:p>
        </w:tc>
      </w:tr>
      <w:tr>
        <w:tc>
          <w:tcPr/>
          <w:p>
            <w:pPr>
              <w:pStyle w:val="Compact"/>
              <w:jc w:val="left"/>
            </w:pPr>
            <w:r>
              <w:t xml:space="preserve">++</w:t>
            </w:r>
          </w:p>
        </w:tc>
        <w:tc>
          <w:tcPr/>
          <w:p>
            <w:pPr>
              <w:pStyle w:val="Compact"/>
              <w:jc w:val="left"/>
            </w:pPr>
            <w:r>
              <w:t xml:space="preserve">18:15</w:t>
            </w:r>
            <w:r>
              <w:rPr>
                <w:vertAlign w:val="superscript"/>
              </w:rPr>
              <w:t xml:space="preserve">b</w:t>
            </w:r>
          </w:p>
        </w:tc>
        <w:tc>
          <w:tcPr/>
          <w:p>
            <w:pPr>
              <w:pStyle w:val="Compact"/>
              <w:jc w:val="left"/>
            </w:pPr>
            <w:r>
              <w:t xml:space="preserve">υπαγε [30%] || 1 και [70%]</w:t>
            </w:r>
          </w:p>
        </w:tc>
      </w:tr>
      <w:tr>
        <w:tc>
          <w:tcPr/>
          <w:p>
            <w:pPr>
              <w:pStyle w:val="Compact"/>
              <w:jc w:val="left"/>
            </w:pPr>
            <w:r>
              <w:t xml:space="preserve">+++</w:t>
            </w:r>
          </w:p>
        </w:tc>
        <w:tc>
          <w:tcPr/>
          <w:p>
            <w:pPr>
              <w:pStyle w:val="Compact"/>
              <w:jc w:val="left"/>
            </w:pPr>
            <w:r>
              <w:t xml:space="preserve">19:5</w:t>
            </w:r>
          </w:p>
        </w:tc>
        <w:tc>
          <w:tcPr/>
          <w:p>
            <w:pPr>
              <w:pStyle w:val="Compact"/>
              <w:jc w:val="left"/>
            </w:pPr>
            <w:r>
              <w:t xml:space="preserve">προς την γυναικα [20%] || τη γυναικι [80%]</w:t>
            </w:r>
          </w:p>
        </w:tc>
      </w:tr>
      <w:tr>
        <w:tc>
          <w:tcPr/>
          <w:p>
            <w:pPr>
              <w:pStyle w:val="Compact"/>
              <w:jc w:val="left"/>
            </w:pPr>
            <w:r>
              <w:t xml:space="preserve">++–</w:t>
            </w:r>
          </w:p>
        </w:tc>
        <w:tc>
          <w:tcPr/>
          <w:p>
            <w:pPr>
              <w:pStyle w:val="Compact"/>
              <w:jc w:val="left"/>
            </w:pPr>
            <w:r>
              <w:t xml:space="preserve">19:16</w:t>
            </w:r>
          </w:p>
        </w:tc>
        <w:tc>
          <w:tcPr/>
          <w:p>
            <w:pPr>
              <w:pStyle w:val="Compact"/>
              <w:jc w:val="left"/>
            </w:pPr>
            <w:r>
              <w:t xml:space="preserve">τις [25%] || — [75%]</w:t>
            </w:r>
          </w:p>
        </w:tc>
      </w:tr>
      <w:tr>
        <w:tc>
          <w:tcPr/>
          <w:p>
            <w:pPr>
              <w:pStyle w:val="Compact"/>
              <w:jc w:val="left"/>
            </w:pPr>
            <w:r>
              <w:t xml:space="preserve">+++</w:t>
            </w:r>
          </w:p>
        </w:tc>
        <w:tc>
          <w:tcPr/>
          <w:p>
            <w:pPr>
              <w:pStyle w:val="Compact"/>
              <w:jc w:val="left"/>
            </w:pPr>
            <w:r>
              <w:t xml:space="preserve">20:26</w:t>
            </w:r>
          </w:p>
        </w:tc>
        <w:tc>
          <w:tcPr/>
          <w:p>
            <w:pPr>
              <w:pStyle w:val="Compact"/>
              <w:jc w:val="left"/>
            </w:pPr>
            <w:r>
              <w:t xml:space="preserve">εσται [20%] || 1 εν [80%]</w:t>
            </w:r>
          </w:p>
        </w:tc>
      </w:tr>
      <w:tr>
        <w:tc>
          <w:tcPr/>
          <w:p>
            <w:pPr>
              <w:pStyle w:val="Compact"/>
              <w:jc w:val="left"/>
            </w:pPr>
            <w:r>
              <w:t xml:space="preserve">+–</w:t>
            </w:r>
          </w:p>
        </w:tc>
        <w:tc>
          <w:tcPr/>
          <w:p>
            <w:pPr>
              <w:pStyle w:val="Compact"/>
              <w:jc w:val="left"/>
            </w:pPr>
            <w:r>
              <w:t xml:space="preserve">20:27</w:t>
            </w:r>
          </w:p>
        </w:tc>
        <w:tc>
          <w:tcPr/>
          <w:p>
            <w:pPr>
              <w:pStyle w:val="Compact"/>
              <w:jc w:val="left"/>
            </w:pPr>
            <w:r>
              <w:t xml:space="preserve">εσται [35%] || εστω [65%]</w:t>
            </w:r>
          </w:p>
        </w:tc>
      </w:tr>
      <w:tr>
        <w:tc>
          <w:tcPr/>
          <w:p>
            <w:pPr>
              <w:pStyle w:val="Compact"/>
              <w:jc w:val="left"/>
            </w:pPr>
            <w:r>
              <w:t xml:space="preserve">++</w:t>
            </w:r>
          </w:p>
        </w:tc>
        <w:tc>
          <w:tcPr/>
          <w:p>
            <w:pPr>
              <w:pStyle w:val="Compact"/>
              <w:jc w:val="left"/>
            </w:pPr>
            <w:r>
              <w:t xml:space="preserve">21:8</w:t>
            </w:r>
          </w:p>
        </w:tc>
        <w:tc>
          <w:tcPr/>
          <w:p>
            <w:pPr>
              <w:pStyle w:val="Compact"/>
              <w:jc w:val="left"/>
            </w:pPr>
            <w:r>
              <w:t xml:space="preserve">αυτων [30%] || εαυτων [70%]</w:t>
            </w:r>
          </w:p>
        </w:tc>
      </w:tr>
      <w:tr>
        <w:tc>
          <w:tcPr/>
          <w:p>
            <w:pPr>
              <w:pStyle w:val="Compact"/>
              <w:jc w:val="left"/>
            </w:pPr>
            <w:r>
              <w:t xml:space="preserve">++–</w:t>
            </w:r>
          </w:p>
        </w:tc>
        <w:tc>
          <w:tcPr/>
          <w:p>
            <w:pPr>
              <w:pStyle w:val="Compact"/>
              <w:jc w:val="left"/>
            </w:pPr>
            <w:r>
              <w:t xml:space="preserve">21:35</w:t>
            </w:r>
          </w:p>
        </w:tc>
        <w:tc>
          <w:tcPr/>
          <w:p>
            <w:pPr>
              <w:pStyle w:val="Compact"/>
              <w:jc w:val="left"/>
            </w:pPr>
            <w:r>
              <w:t xml:space="preserve">εδηραν [25%] || εδειραν [75%]</w:t>
            </w:r>
          </w:p>
        </w:tc>
      </w:tr>
      <w:tr>
        <w:tc>
          <w:tcPr/>
          <w:p>
            <w:pPr>
              <w:pStyle w:val="Compact"/>
              <w:jc w:val="left"/>
            </w:pPr>
            <w:r>
              <w:t xml:space="preserve">+</w:t>
            </w:r>
          </w:p>
        </w:tc>
        <w:tc>
          <w:tcPr/>
          <w:p>
            <w:pPr>
              <w:pStyle w:val="Compact"/>
              <w:jc w:val="left"/>
            </w:pPr>
            <w:r>
              <w:t xml:space="preserve">22:37</w:t>
            </w:r>
          </w:p>
        </w:tc>
        <w:tc>
          <w:tcPr/>
          <w:p>
            <w:pPr>
              <w:pStyle w:val="Compact"/>
              <w:jc w:val="left"/>
            </w:pPr>
            <w:r>
              <w:t xml:space="preserve">τη [40%] || — [60%]</w:t>
            </w:r>
          </w:p>
        </w:tc>
      </w:tr>
      <w:tr>
        <w:tc>
          <w:tcPr/>
          <w:p>
            <w:pPr>
              <w:pStyle w:val="Compact"/>
              <w:jc w:val="left"/>
            </w:pPr>
            <w:r>
              <w:t xml:space="preserve">++</w:t>
            </w:r>
          </w:p>
        </w:tc>
        <w:tc>
          <w:tcPr/>
          <w:p>
            <w:pPr>
              <w:pStyle w:val="Compact"/>
              <w:jc w:val="left"/>
            </w:pPr>
            <w:r>
              <w:t xml:space="preserve">22:46</w:t>
            </w:r>
          </w:p>
        </w:tc>
        <w:tc>
          <w:tcPr/>
          <w:p>
            <w:pPr>
              <w:pStyle w:val="Compact"/>
              <w:jc w:val="left"/>
            </w:pPr>
            <w:r>
              <w:t xml:space="preserve">αποκριθηναι αυτω [30%] || ~ 21 [69%]</w:t>
            </w:r>
          </w:p>
        </w:tc>
      </w:tr>
      <w:tr>
        <w:tc>
          <w:tcPr/>
          <w:p>
            <w:pPr>
              <w:pStyle w:val="Compact"/>
              <w:jc w:val="left"/>
            </w:pPr>
            <w:r>
              <w:t xml:space="preserve">++</w:t>
            </w:r>
          </w:p>
        </w:tc>
        <w:tc>
          <w:tcPr/>
          <w:p>
            <w:pPr>
              <w:pStyle w:val="Compact"/>
              <w:jc w:val="left"/>
            </w:pPr>
            <w:r>
              <w:t xml:space="preserve">23:8</w:t>
            </w:r>
          </w:p>
        </w:tc>
        <w:tc>
          <w:tcPr/>
          <w:p>
            <w:pPr>
              <w:pStyle w:val="Compact"/>
              <w:jc w:val="left"/>
            </w:pPr>
            <w:r>
              <w:t xml:space="preserve">διδασκαλος [30%] || καθηγητης [70%]</w:t>
            </w:r>
          </w:p>
        </w:tc>
      </w:tr>
      <w:tr>
        <w:tc>
          <w:tcPr/>
          <w:p>
            <w:pPr>
              <w:pStyle w:val="Compact"/>
              <w:jc w:val="left"/>
            </w:pPr>
            <w:r>
              <w:t xml:space="preserve">++</w:t>
            </w:r>
          </w:p>
        </w:tc>
        <w:tc>
          <w:tcPr/>
          <w:p>
            <w:pPr>
              <w:pStyle w:val="Compact"/>
              <w:jc w:val="left"/>
            </w:pPr>
            <w:r>
              <w:t xml:space="preserve">23:10</w:t>
            </w:r>
          </w:p>
        </w:tc>
        <w:tc>
          <w:tcPr/>
          <w:p>
            <w:pPr>
              <w:pStyle w:val="Compact"/>
              <w:jc w:val="left"/>
            </w:pPr>
            <w:r>
              <w:t xml:space="preserve">εστιν υμων [30%] || ~ 21 [65%]</w:t>
            </w:r>
          </w:p>
        </w:tc>
      </w:tr>
      <w:tr>
        <w:tc>
          <w:tcPr/>
          <w:p>
            <w:pPr>
              <w:pStyle w:val="Compact"/>
              <w:jc w:val="left"/>
            </w:pPr>
            <w:r>
              <w:t xml:space="preserve">++–</w:t>
            </w:r>
          </w:p>
        </w:tc>
        <w:tc>
          <w:tcPr/>
          <w:p>
            <w:pPr>
              <w:pStyle w:val="Compact"/>
              <w:jc w:val="left"/>
            </w:pPr>
            <w:r>
              <w:t xml:space="preserve">23:11</w:t>
            </w:r>
          </w:p>
        </w:tc>
        <w:tc>
          <w:tcPr/>
          <w:p>
            <w:pPr>
              <w:pStyle w:val="Compact"/>
              <w:jc w:val="left"/>
            </w:pPr>
            <w:r>
              <w:t xml:space="preserve">εστω [25%] || εσται [75%]</w:t>
            </w:r>
          </w:p>
        </w:tc>
      </w:tr>
      <w:tr>
        <w:tc>
          <w:tcPr/>
          <w:p>
            <w:pPr>
              <w:pStyle w:val="Compact"/>
              <w:jc w:val="left"/>
            </w:pPr>
            <w:r>
              <w:t xml:space="preserve">++–</w:t>
            </w:r>
          </w:p>
        </w:tc>
        <w:tc>
          <w:tcPr/>
          <w:p>
            <w:pPr>
              <w:pStyle w:val="Compact"/>
              <w:jc w:val="left"/>
            </w:pPr>
            <w:r>
              <w:t xml:space="preserve">24:1</w:t>
            </w:r>
          </w:p>
        </w:tc>
        <w:tc>
          <w:tcPr/>
          <w:p>
            <w:pPr>
              <w:pStyle w:val="Compact"/>
              <w:jc w:val="left"/>
            </w:pPr>
            <w:r>
              <w:t xml:space="preserve">αυτω [25%] || — [75%]</w:t>
            </w:r>
          </w:p>
        </w:tc>
      </w:tr>
      <w:tr>
        <w:tc>
          <w:tcPr/>
          <w:p>
            <w:pPr>
              <w:pStyle w:val="Compact"/>
              <w:jc w:val="left"/>
            </w:pPr>
            <w:r>
              <w:t xml:space="preserve">++–</w:t>
            </w:r>
          </w:p>
        </w:tc>
        <w:tc>
          <w:tcPr/>
          <w:p>
            <w:pPr>
              <w:pStyle w:val="Compact"/>
              <w:jc w:val="left"/>
            </w:pPr>
            <w:r>
              <w:t xml:space="preserve">24:6</w:t>
            </w:r>
          </w:p>
        </w:tc>
        <w:tc>
          <w:tcPr/>
          <w:p>
            <w:pPr>
              <w:pStyle w:val="Compact"/>
              <w:jc w:val="left"/>
            </w:pPr>
            <w:r>
              <w:t xml:space="preserve">μελησετε [25%] || μελλησετε [72%]</w:t>
            </w:r>
          </w:p>
        </w:tc>
      </w:tr>
      <w:tr>
        <w:tc>
          <w:tcPr/>
          <w:p>
            <w:pPr>
              <w:pStyle w:val="Compact"/>
              <w:jc w:val="left"/>
            </w:pPr>
            <w:r>
              <w:t xml:space="preserve">++</w:t>
            </w:r>
          </w:p>
        </w:tc>
        <w:tc>
          <w:tcPr/>
          <w:p>
            <w:pPr>
              <w:pStyle w:val="Compact"/>
              <w:jc w:val="left"/>
            </w:pPr>
            <w:r>
              <w:t xml:space="preserve">24:18</w:t>
            </w:r>
          </w:p>
        </w:tc>
        <w:tc>
          <w:tcPr/>
          <w:p>
            <w:pPr>
              <w:pStyle w:val="Compact"/>
              <w:jc w:val="left"/>
            </w:pPr>
            <w:r>
              <w:t xml:space="preserve">το ιματιον [30%] || τα ιματια [70%]</w:t>
            </w:r>
          </w:p>
        </w:tc>
      </w:tr>
      <w:tr>
        <w:tc>
          <w:tcPr/>
          <w:p>
            <w:pPr>
              <w:pStyle w:val="Compact"/>
              <w:jc w:val="left"/>
            </w:pPr>
            <w:r>
              <w:t xml:space="preserve">++–</w:t>
            </w:r>
          </w:p>
        </w:tc>
        <w:tc>
          <w:tcPr/>
          <w:p>
            <w:pPr>
              <w:pStyle w:val="Compact"/>
              <w:jc w:val="left"/>
            </w:pPr>
            <w:r>
              <w:t xml:space="preserve">24:32</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24:49</w:t>
            </w:r>
          </w:p>
        </w:tc>
        <w:tc>
          <w:tcPr/>
          <w:p>
            <w:pPr>
              <w:pStyle w:val="Compact"/>
              <w:jc w:val="left"/>
            </w:pPr>
            <w:r>
              <w:t xml:space="preserve">τε [30%] || δε [70%]</w:t>
            </w:r>
          </w:p>
        </w:tc>
      </w:tr>
      <w:tr>
        <w:tc>
          <w:tcPr/>
          <w:p>
            <w:pPr>
              <w:pStyle w:val="Compact"/>
              <w:jc w:val="left"/>
            </w:pPr>
            <w:r>
              <w:t xml:space="preserve">++</w:t>
            </w:r>
          </w:p>
        </w:tc>
        <w:tc>
          <w:tcPr/>
          <w:p>
            <w:pPr>
              <w:pStyle w:val="Compact"/>
              <w:jc w:val="left"/>
            </w:pPr>
            <w:r>
              <w:t xml:space="preserve">25:29</w:t>
            </w:r>
          </w:p>
        </w:tc>
        <w:tc>
          <w:tcPr/>
          <w:p>
            <w:pPr>
              <w:pStyle w:val="Compact"/>
              <w:jc w:val="left"/>
            </w:pPr>
            <w:r>
              <w:t xml:space="preserve">δοκει εχειν [30%] || εχει [70%]</w:t>
            </w:r>
          </w:p>
        </w:tc>
      </w:tr>
      <w:tr>
        <w:tc>
          <w:tcPr/>
          <w:p>
            <w:pPr>
              <w:pStyle w:val="Compact"/>
              <w:jc w:val="left"/>
            </w:pPr>
            <w:r>
              <w:t xml:space="preserve">++–</w:t>
            </w:r>
          </w:p>
        </w:tc>
        <w:tc>
          <w:tcPr/>
          <w:p>
            <w:pPr>
              <w:pStyle w:val="Compact"/>
              <w:jc w:val="left"/>
            </w:pPr>
            <w:r>
              <w:t xml:space="preserve">25:32</w:t>
            </w:r>
          </w:p>
        </w:tc>
        <w:tc>
          <w:tcPr/>
          <w:p>
            <w:pPr>
              <w:pStyle w:val="Compact"/>
              <w:jc w:val="left"/>
            </w:pPr>
            <w:r>
              <w:t xml:space="preserve">συναχθησονται [25%] || συναχθησεται</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26:1</w:t>
            </w:r>
          </w:p>
        </w:tc>
        <w:tc>
          <w:tcPr/>
          <w:p>
            <w:pPr>
              <w:pStyle w:val="Compact"/>
              <w:jc w:val="left"/>
            </w:pPr>
            <w:r>
              <w:t xml:space="preserve">ιησους [25%] || 1 παντας [75%]</w:t>
            </w:r>
          </w:p>
        </w:tc>
      </w:tr>
      <w:tr>
        <w:tc>
          <w:tcPr/>
          <w:p>
            <w:pPr>
              <w:pStyle w:val="Compact"/>
              <w:jc w:val="left"/>
            </w:pPr>
            <w:r>
              <w:t xml:space="preserve">+</w:t>
            </w:r>
          </w:p>
        </w:tc>
        <w:tc>
          <w:tcPr/>
          <w:p>
            <w:pPr>
              <w:pStyle w:val="Compact"/>
              <w:jc w:val="left"/>
            </w:pPr>
            <w:r>
              <w:t xml:space="preserve">26:9</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26:11</w:t>
            </w:r>
          </w:p>
        </w:tc>
        <w:tc>
          <w:tcPr/>
          <w:p>
            <w:pPr>
              <w:pStyle w:val="Compact"/>
              <w:jc w:val="left"/>
            </w:pPr>
            <w:r>
              <w:t xml:space="preserve">παντοτε γαρ τους πτωχους [40%] || ~ 3421 [60%]</w:t>
            </w:r>
          </w:p>
        </w:tc>
      </w:tr>
      <w:tr>
        <w:tc>
          <w:tcPr/>
          <w:p>
            <w:pPr>
              <w:pStyle w:val="Compact"/>
              <w:jc w:val="left"/>
            </w:pPr>
            <w:r>
              <w:t xml:space="preserve">+</w:t>
            </w:r>
          </w:p>
        </w:tc>
        <w:tc>
          <w:tcPr/>
          <w:p>
            <w:pPr>
              <w:pStyle w:val="Compact"/>
              <w:jc w:val="left"/>
            </w:pPr>
            <w:r>
              <w:t xml:space="preserve">26:15</w:t>
            </w:r>
          </w:p>
        </w:tc>
        <w:tc>
          <w:tcPr/>
          <w:p>
            <w:pPr>
              <w:pStyle w:val="Compact"/>
              <w:jc w:val="left"/>
            </w:pPr>
            <w:r>
              <w:t xml:space="preserve">και εγω [40%] || καγω [60%]</w:t>
            </w:r>
          </w:p>
        </w:tc>
      </w:tr>
      <w:tr>
        <w:tc>
          <w:tcPr/>
          <w:p>
            <w:pPr>
              <w:pStyle w:val="Compact"/>
              <w:jc w:val="left"/>
            </w:pPr>
            <w:r>
              <w:t xml:space="preserve">++</w:t>
            </w:r>
          </w:p>
        </w:tc>
        <w:tc>
          <w:tcPr/>
          <w:p>
            <w:pPr>
              <w:pStyle w:val="Compact"/>
              <w:jc w:val="left"/>
            </w:pPr>
            <w:r>
              <w:t xml:space="preserve">26:26</w:t>
            </w:r>
          </w:p>
        </w:tc>
        <w:tc>
          <w:tcPr/>
          <w:p>
            <w:pPr>
              <w:pStyle w:val="Compact"/>
              <w:jc w:val="left"/>
            </w:pPr>
            <w:r>
              <w:t xml:space="preserve">ευλογησας [30%] || ευχαριστησας [70%]</w:t>
            </w:r>
          </w:p>
        </w:tc>
      </w:tr>
      <w:tr>
        <w:tc>
          <w:tcPr/>
          <w:p>
            <w:pPr>
              <w:pStyle w:val="Compact"/>
              <w:jc w:val="left"/>
            </w:pPr>
            <w:r>
              <w:t xml:space="preserve">++</w:t>
            </w:r>
          </w:p>
        </w:tc>
        <w:tc>
          <w:tcPr/>
          <w:p>
            <w:pPr>
              <w:pStyle w:val="Compact"/>
              <w:jc w:val="left"/>
            </w:pPr>
            <w:r>
              <w:t xml:space="preserve">26:29</w:t>
            </w:r>
          </w:p>
        </w:tc>
        <w:tc>
          <w:tcPr/>
          <w:p>
            <w:pPr>
              <w:pStyle w:val="Compact"/>
              <w:jc w:val="left"/>
            </w:pPr>
            <w:r>
              <w:t xml:space="preserve">γενηματος [30%] || γεννηματος</w:t>
            </w:r>
            <w:r>
              <w:t xml:space="preserve"> </w:t>
            </w:r>
            <w:r>
              <w:rPr>
                <w:bCs/>
                <w:b/>
              </w:rPr>
              <w:t xml:space="preserve">f</w:t>
            </w:r>
            <w:r>
              <w:rPr>
                <w:vertAlign w:val="superscript"/>
                <w:bCs/>
                <w:b/>
              </w:rPr>
              <w:t xml:space="preserve">35pt</w:t>
            </w:r>
            <w:r>
              <w:t xml:space="preserve"> </w:t>
            </w:r>
            <w:r>
              <w:t xml:space="preserve">[70%]</w:t>
            </w:r>
          </w:p>
        </w:tc>
      </w:tr>
      <w:tr>
        <w:tc>
          <w:tcPr/>
          <w:p>
            <w:pPr>
              <w:pStyle w:val="Compact"/>
              <w:jc w:val="left"/>
            </w:pPr>
            <w:r>
              <w:t xml:space="preserve">++</w:t>
            </w:r>
          </w:p>
        </w:tc>
        <w:tc>
          <w:tcPr/>
          <w:p>
            <w:pPr>
              <w:pStyle w:val="Compact"/>
              <w:jc w:val="left"/>
            </w:pPr>
            <w:r>
              <w:t xml:space="preserve">26:33</w:t>
            </w:r>
            <w:r>
              <w:rPr>
                <w:vertAlign w:val="superscript"/>
              </w:rPr>
              <w:t xml:space="preserve">a</w:t>
            </w:r>
          </w:p>
        </w:tc>
        <w:tc>
          <w:tcPr/>
          <w:p>
            <w:pPr>
              <w:pStyle w:val="Compact"/>
              <w:jc w:val="left"/>
            </w:pPr>
            <w:r>
              <w:t xml:space="preserve">και [30%] || — [70%]</w:t>
            </w:r>
          </w:p>
        </w:tc>
      </w:tr>
      <w:tr>
        <w:tc>
          <w:tcPr/>
          <w:p>
            <w:pPr>
              <w:pStyle w:val="Compact"/>
              <w:jc w:val="left"/>
            </w:pPr>
            <w:r>
              <w:t xml:space="preserve">+</w:t>
            </w:r>
          </w:p>
        </w:tc>
        <w:tc>
          <w:tcPr/>
          <w:p>
            <w:pPr>
              <w:pStyle w:val="Compact"/>
              <w:jc w:val="left"/>
            </w:pPr>
            <w:r>
              <w:t xml:space="preserve">26:33</w:t>
            </w:r>
            <w:r>
              <w:rPr>
                <w:vertAlign w:val="superscript"/>
              </w:rPr>
              <w:t xml:space="preserve">b</w:t>
            </w:r>
          </w:p>
        </w:tc>
        <w:tc>
          <w:tcPr/>
          <w:p>
            <w:pPr>
              <w:pStyle w:val="Compact"/>
              <w:jc w:val="left"/>
            </w:pPr>
            <w:r>
              <w:t xml:space="preserve">εγω [40%] || 1 δε [60%]</w:t>
            </w:r>
          </w:p>
        </w:tc>
      </w:tr>
      <w:tr>
        <w:tc>
          <w:tcPr/>
          <w:p>
            <w:pPr>
              <w:pStyle w:val="Compact"/>
              <w:jc w:val="left"/>
            </w:pPr>
            <w:r>
              <w:t xml:space="preserve">+–</w:t>
            </w:r>
          </w:p>
        </w:tc>
        <w:tc>
          <w:tcPr/>
          <w:p>
            <w:pPr>
              <w:pStyle w:val="Compact"/>
              <w:jc w:val="left"/>
            </w:pPr>
            <w:r>
              <w:t xml:space="preserve">26:39</w:t>
            </w:r>
          </w:p>
        </w:tc>
        <w:tc>
          <w:tcPr/>
          <w:p>
            <w:pPr>
              <w:pStyle w:val="Compact"/>
              <w:jc w:val="left"/>
            </w:pPr>
            <w:r>
              <w:t xml:space="preserve">προελθων [35%] || προσελθων [65%]</w:t>
            </w:r>
          </w:p>
        </w:tc>
      </w:tr>
      <w:tr>
        <w:tc>
          <w:tcPr/>
          <w:p>
            <w:pPr>
              <w:pStyle w:val="Compact"/>
              <w:jc w:val="left"/>
            </w:pPr>
            <w:r>
              <w:t xml:space="preserve">++</w:t>
            </w:r>
          </w:p>
        </w:tc>
        <w:tc>
          <w:tcPr/>
          <w:p>
            <w:pPr>
              <w:pStyle w:val="Compact"/>
              <w:jc w:val="left"/>
            </w:pPr>
            <w:r>
              <w:t xml:space="preserve">26:43</w:t>
            </w:r>
          </w:p>
        </w:tc>
        <w:tc>
          <w:tcPr/>
          <w:p>
            <w:pPr>
              <w:pStyle w:val="Compact"/>
              <w:jc w:val="left"/>
            </w:pPr>
            <w:r>
              <w:t xml:space="preserve">ευρεν [30%] || ευρισκει [66%]</w:t>
            </w:r>
          </w:p>
        </w:tc>
      </w:tr>
      <w:tr>
        <w:tc>
          <w:tcPr/>
          <w:p>
            <w:pPr>
              <w:pStyle w:val="Compact"/>
              <w:jc w:val="left"/>
            </w:pPr>
            <w:r>
              <w:t xml:space="preserve">+++</w:t>
            </w:r>
          </w:p>
        </w:tc>
        <w:tc>
          <w:tcPr/>
          <w:p>
            <w:pPr>
              <w:pStyle w:val="Compact"/>
              <w:jc w:val="left"/>
            </w:pPr>
            <w:r>
              <w:t xml:space="preserve">26:46</w:t>
            </w:r>
          </w:p>
        </w:tc>
        <w:tc>
          <w:tcPr/>
          <w:p>
            <w:pPr>
              <w:pStyle w:val="Compact"/>
              <w:jc w:val="left"/>
            </w:pPr>
            <w:r>
              <w:t xml:space="preserve">ιδου [20%] || 1 ηγγικεν [80%]</w:t>
            </w:r>
          </w:p>
        </w:tc>
      </w:tr>
      <w:tr>
        <w:tc>
          <w:tcPr/>
          <w:p>
            <w:pPr>
              <w:pStyle w:val="Compact"/>
              <w:jc w:val="left"/>
            </w:pPr>
            <w:r>
              <w:t xml:space="preserve">+</w:t>
            </w:r>
          </w:p>
        </w:tc>
        <w:tc>
          <w:tcPr/>
          <w:p>
            <w:pPr>
              <w:pStyle w:val="Compact"/>
              <w:jc w:val="left"/>
            </w:pPr>
            <w:r>
              <w:t xml:space="preserve">26:48</w:t>
            </w:r>
          </w:p>
        </w:tc>
        <w:tc>
          <w:tcPr/>
          <w:p>
            <w:pPr>
              <w:pStyle w:val="Compact"/>
              <w:jc w:val="left"/>
            </w:pPr>
            <w:r>
              <w:t xml:space="preserve">εαν [40%] || αν [60%]</w:t>
            </w:r>
          </w:p>
        </w:tc>
      </w:tr>
      <w:tr>
        <w:tc>
          <w:tcPr/>
          <w:p>
            <w:pPr>
              <w:pStyle w:val="Compact"/>
              <w:jc w:val="left"/>
            </w:pPr>
            <w:r>
              <w:t xml:space="preserve">++</w:t>
            </w:r>
          </w:p>
        </w:tc>
        <w:tc>
          <w:tcPr/>
          <w:p>
            <w:pPr>
              <w:pStyle w:val="Compact"/>
              <w:jc w:val="left"/>
            </w:pPr>
            <w:r>
              <w:t xml:space="preserve">26:55</w:t>
            </w:r>
          </w:p>
        </w:tc>
        <w:tc>
          <w:tcPr/>
          <w:p>
            <w:pPr>
              <w:pStyle w:val="Compact"/>
              <w:jc w:val="left"/>
            </w:pPr>
            <w:r>
              <w:t xml:space="preserve">εν τω ιερω διδασκων [30%] || ~ 4123 [69%]</w:t>
            </w:r>
          </w:p>
        </w:tc>
      </w:tr>
      <w:tr>
        <w:tc>
          <w:tcPr/>
          <w:p>
            <w:pPr>
              <w:pStyle w:val="Compact"/>
              <w:jc w:val="left"/>
            </w:pPr>
            <w:r>
              <w:t xml:space="preserve">+–</w:t>
            </w:r>
          </w:p>
        </w:tc>
        <w:tc>
          <w:tcPr/>
          <w:p>
            <w:pPr>
              <w:pStyle w:val="Compact"/>
              <w:jc w:val="left"/>
            </w:pPr>
            <w:r>
              <w:t xml:space="preserve">26:75</w:t>
            </w:r>
          </w:p>
        </w:tc>
        <w:tc>
          <w:tcPr/>
          <w:p>
            <w:pPr>
              <w:pStyle w:val="Compact"/>
              <w:jc w:val="left"/>
            </w:pPr>
            <w:r>
              <w:t xml:space="preserve">ρηματος [35%] || 1 του [65%]</w:t>
            </w:r>
          </w:p>
        </w:tc>
      </w:tr>
      <w:tr>
        <w:tc>
          <w:tcPr/>
          <w:p>
            <w:pPr>
              <w:pStyle w:val="Compact"/>
              <w:jc w:val="left"/>
            </w:pPr>
            <w:r>
              <w:t xml:space="preserve">+++</w:t>
            </w:r>
          </w:p>
        </w:tc>
        <w:tc>
          <w:tcPr/>
          <w:p>
            <w:pPr>
              <w:pStyle w:val="Compact"/>
              <w:jc w:val="left"/>
            </w:pPr>
            <w:r>
              <w:t xml:space="preserve">27:1</w:t>
            </w:r>
          </w:p>
        </w:tc>
        <w:tc>
          <w:tcPr/>
          <w:p>
            <w:pPr>
              <w:pStyle w:val="Compact"/>
              <w:jc w:val="left"/>
            </w:pPr>
            <w:r>
              <w:t xml:space="preserve">πρεσβυτεροι [20%] || 1 του λαου [80%]</w:t>
            </w:r>
          </w:p>
        </w:tc>
      </w:tr>
      <w:tr>
        <w:tc>
          <w:tcPr/>
          <w:p>
            <w:pPr>
              <w:pStyle w:val="Compact"/>
              <w:jc w:val="left"/>
            </w:pPr>
            <w:r>
              <w:t xml:space="preserve">++</w:t>
            </w:r>
          </w:p>
        </w:tc>
        <w:tc>
          <w:tcPr/>
          <w:p>
            <w:pPr>
              <w:pStyle w:val="Compact"/>
              <w:jc w:val="left"/>
            </w:pPr>
            <w:r>
              <w:t xml:space="preserve">27:12</w:t>
            </w:r>
          </w:p>
        </w:tc>
        <w:tc>
          <w:tcPr/>
          <w:p>
            <w:pPr>
              <w:pStyle w:val="Compact"/>
              <w:jc w:val="left"/>
            </w:pPr>
            <w:r>
              <w:t xml:space="preserve">και [30%] || 1 των [70%]</w:t>
            </w:r>
          </w:p>
        </w:tc>
      </w:tr>
      <w:tr>
        <w:tc>
          <w:tcPr/>
          <w:p>
            <w:pPr>
              <w:pStyle w:val="Compact"/>
              <w:jc w:val="left"/>
            </w:pPr>
            <w:r>
              <w:t xml:space="preserve">++</w:t>
            </w:r>
          </w:p>
        </w:tc>
        <w:tc>
          <w:tcPr/>
          <w:p>
            <w:pPr>
              <w:pStyle w:val="Compact"/>
              <w:jc w:val="left"/>
            </w:pPr>
            <w:r>
              <w:t xml:space="preserve">27:33</w:t>
            </w:r>
          </w:p>
        </w:tc>
        <w:tc>
          <w:tcPr/>
          <w:p>
            <w:pPr>
              <w:pStyle w:val="Compact"/>
              <w:jc w:val="left"/>
            </w:pPr>
            <w:r>
              <w:t xml:space="preserve">λεγομενον [30%] || λεγομενος [67%]</w:t>
            </w:r>
          </w:p>
        </w:tc>
      </w:tr>
      <w:tr>
        <w:tc>
          <w:tcPr/>
          <w:p>
            <w:pPr>
              <w:pStyle w:val="Compact"/>
              <w:jc w:val="left"/>
            </w:pPr>
            <w:r>
              <w:t xml:space="preserve">++–</w:t>
            </w:r>
          </w:p>
        </w:tc>
        <w:tc>
          <w:tcPr/>
          <w:p>
            <w:pPr>
              <w:pStyle w:val="Compact"/>
              <w:jc w:val="left"/>
            </w:pPr>
            <w:r>
              <w:t xml:space="preserve">27:35</w:t>
            </w:r>
          </w:p>
        </w:tc>
        <w:tc>
          <w:tcPr/>
          <w:p>
            <w:pPr>
              <w:pStyle w:val="Compact"/>
              <w:jc w:val="left"/>
            </w:pPr>
            <w:r>
              <w:t xml:space="preserve">βαλοντες [25%] || βαλλοντες</w:t>
            </w:r>
            <w:r>
              <w:t xml:space="preserve"> </w:t>
            </w:r>
            <w:r>
              <w:rPr>
                <w:bCs/>
                <w:b/>
              </w:rPr>
              <w:t xml:space="preserve">f</w:t>
            </w:r>
            <w:r>
              <w:rPr>
                <w:vertAlign w:val="superscript"/>
                <w:bCs/>
                <w:b/>
              </w:rPr>
              <w:t xml:space="preserve">35pt</w:t>
            </w:r>
            <w:r>
              <w:t xml:space="preserve"> </w:t>
            </w:r>
            <w:r>
              <w:t xml:space="preserve">[75%]</w:t>
            </w:r>
          </w:p>
        </w:tc>
      </w:tr>
      <w:tr>
        <w:tc>
          <w:tcPr/>
          <w:p>
            <w:pPr>
              <w:pStyle w:val="Compact"/>
              <w:jc w:val="left"/>
            </w:pPr>
            <w:r>
              <w:t xml:space="preserve">+–</w:t>
            </w:r>
          </w:p>
        </w:tc>
        <w:tc>
          <w:tcPr/>
          <w:p>
            <w:pPr>
              <w:pStyle w:val="Compact"/>
              <w:jc w:val="left"/>
            </w:pPr>
            <w:r>
              <w:t xml:space="preserve">27:55</w:t>
            </w:r>
          </w:p>
        </w:tc>
        <w:tc>
          <w:tcPr/>
          <w:p>
            <w:pPr>
              <w:pStyle w:val="Compact"/>
              <w:jc w:val="left"/>
            </w:pPr>
            <w:r>
              <w:t xml:space="preserve">και [35%] || — [65%]</w:t>
            </w:r>
          </w:p>
        </w:tc>
      </w:tr>
      <w:tr>
        <w:tc>
          <w:tcPr/>
          <w:p>
            <w:pPr>
              <w:pStyle w:val="Compact"/>
              <w:jc w:val="left"/>
            </w:pPr>
            <w:r>
              <w:t xml:space="preserve">++–</w:t>
            </w:r>
          </w:p>
        </w:tc>
        <w:tc>
          <w:tcPr/>
          <w:p>
            <w:pPr>
              <w:pStyle w:val="Compact"/>
              <w:jc w:val="left"/>
            </w:pPr>
            <w:r>
              <w:t xml:space="preserve">27:64</w:t>
            </w:r>
          </w:p>
        </w:tc>
        <w:tc>
          <w:tcPr/>
          <w:p>
            <w:pPr>
              <w:pStyle w:val="Compact"/>
              <w:jc w:val="left"/>
            </w:pPr>
            <w:r>
              <w:t xml:space="preserve">οτι [25%] || — [75%]</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(17)</w:t>
            </w:r>
          </w:p>
        </w:tc>
      </w:tr>
      <w:tr>
        <w:tc>
          <w:tcPr/>
          <w:p>
            <w:pPr>
              <w:pStyle w:val="Compact"/>
              <w:jc w:val="left"/>
            </w:pPr>
            <w:r>
              <w:t xml:space="preserve">++–</w:t>
            </w:r>
          </w:p>
        </w:tc>
        <w:tc>
          <w:tcPr/>
          <w:p>
            <w:pPr>
              <w:pStyle w:val="Compact"/>
              <w:jc w:val="left"/>
            </w:pPr>
            <w:r>
              <w:t xml:space="preserve">około 25% = całkiem dobre (22)</w:t>
            </w:r>
          </w:p>
        </w:tc>
      </w:tr>
      <w:tr>
        <w:tc>
          <w:tcPr/>
          <w:p>
            <w:pPr>
              <w:pStyle w:val="Compact"/>
              <w:jc w:val="left"/>
            </w:pPr>
            <w:r>
              <w:t xml:space="preserve">++</w:t>
            </w:r>
          </w:p>
        </w:tc>
        <w:tc>
          <w:tcPr/>
          <w:p>
            <w:pPr>
              <w:pStyle w:val="Compact"/>
              <w:jc w:val="left"/>
            </w:pPr>
            <w:r>
              <w:t xml:space="preserve">około 30% = niezłe (34)</w:t>
            </w:r>
          </w:p>
        </w:tc>
      </w:tr>
      <w:tr>
        <w:tc>
          <w:tcPr/>
          <w:p>
            <w:pPr>
              <w:pStyle w:val="Compact"/>
              <w:jc w:val="left"/>
            </w:pPr>
            <w:r>
              <w:t xml:space="preserve">+–</w:t>
            </w:r>
          </w:p>
        </w:tc>
        <w:tc>
          <w:tcPr/>
          <w:p>
            <w:pPr>
              <w:pStyle w:val="Compact"/>
              <w:jc w:val="left"/>
            </w:pPr>
            <w:r>
              <w:t xml:space="preserve">około 35% (10)</w:t>
            </w:r>
          </w:p>
        </w:tc>
      </w:tr>
      <w:tr>
        <w:tc>
          <w:tcPr/>
          <w:p>
            <w:pPr>
              <w:pStyle w:val="Compact"/>
              <w:jc w:val="left"/>
            </w:pPr>
            <w:r>
              <w:t xml:space="preserve">+</w:t>
            </w:r>
          </w:p>
        </w:tc>
        <w:tc>
          <w:tcPr/>
          <w:p>
            <w:pPr>
              <w:pStyle w:val="Compact"/>
              <w:jc w:val="left"/>
            </w:pPr>
            <w:r>
              <w:t xml:space="preserve">około 40% (9)</w:t>
            </w:r>
          </w:p>
        </w:tc>
      </w:tr>
    </w:tbl>
    <w:p>
      <w:pPr>
        <w:pStyle w:val="BodyText"/>
      </w:pPr>
      <w:r>
        <w:t xml:space="preserve">Łącznie: 92</w:t>
      </w:r>
    </w:p>
    <w:p>
      <w:pPr>
        <w:pStyle w:val="BodyText"/>
      </w:pPr>
      <w:r>
        <w:t xml:space="preserve">Pojedynczy diagnostyczny odczyt mógłby być dziełem przypadku, ale kilka takich odczytów przypuszczalnie wskazuje, że manuskrypt jest przynajmniej peryferyjnym członkiem rodziny. Prawdopodobnie nie znalazłoby się dwóch badaczy, którzy sporządziliby identyczne listy — zmieniając rangę, dodając lub odejmując — ale znajduje się tu wystarczająco dużo dowodów, by ustalić, że</w:t>
      </w:r>
      <w:r>
        <w:t xml:space="preserve"> </w:t>
      </w:r>
      <w:r>
        <w:rPr>
          <w:bCs/>
          <w:b/>
        </w:rPr>
        <w:t xml:space="preserve">f</w:t>
      </w:r>
      <w:r>
        <w:rPr>
          <w:vertAlign w:val="superscript"/>
          <w:bCs/>
          <w:b/>
        </w:rPr>
        <w:t xml:space="preserve">35</w:t>
      </w:r>
      <w:r>
        <w:t xml:space="preserve"> </w:t>
      </w:r>
      <w:r>
        <w:t xml:space="preserve">jest odrębną rodziną. Stwierdzenia poczynione tutaj odnoszą się również do pozostałych ksiąg.</w:t>
      </w:r>
    </w:p>
    <w:p>
      <w:pPr>
        <w:pStyle w:val="BodyText"/>
      </w:pPr>
      <w:r>
        <w:rPr>
          <w:bCs/>
          <w:b/>
        </w:rPr>
        <w:t xml:space="preserve">Ewangelia Marka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1:12</w:t>
            </w:r>
          </w:p>
        </w:tc>
        <w:tc>
          <w:tcPr/>
          <w:p>
            <w:pPr>
              <w:pStyle w:val="Compact"/>
              <w:jc w:val="left"/>
            </w:pPr>
            <w:r>
              <w:t xml:space="preserve">ευθεως [40%] || ευθυς [60%]</w:t>
            </w:r>
          </w:p>
        </w:tc>
      </w:tr>
      <w:tr>
        <w:tc>
          <w:tcPr/>
          <w:p>
            <w:pPr>
              <w:pStyle w:val="Compact"/>
              <w:jc w:val="left"/>
            </w:pPr>
            <w:r>
              <w:t xml:space="preserve">++</w:t>
            </w:r>
          </w:p>
        </w:tc>
        <w:tc>
          <w:tcPr/>
          <w:p>
            <w:pPr>
              <w:pStyle w:val="Compact"/>
              <w:jc w:val="left"/>
            </w:pPr>
            <w:r>
              <w:t xml:space="preserve">1:30</w:t>
            </w:r>
          </w:p>
        </w:tc>
        <w:tc>
          <w:tcPr/>
          <w:p>
            <w:pPr>
              <w:pStyle w:val="Compact"/>
              <w:jc w:val="left"/>
            </w:pPr>
            <w:r>
              <w:t xml:space="preserve">του [30%] || — [70%]</w:t>
            </w:r>
          </w:p>
        </w:tc>
      </w:tr>
      <w:tr>
        <w:tc>
          <w:tcPr/>
          <w:p>
            <w:pPr>
              <w:pStyle w:val="Compact"/>
              <w:jc w:val="left"/>
            </w:pPr>
            <w:r>
              <w:t xml:space="preserve">++</w:t>
            </w:r>
          </w:p>
        </w:tc>
        <w:tc>
          <w:tcPr/>
          <w:p>
            <w:pPr>
              <w:pStyle w:val="Compact"/>
              <w:jc w:val="left"/>
            </w:pPr>
            <w:r>
              <w:t xml:space="preserve">1:34</w:t>
            </w:r>
          </w:p>
        </w:tc>
        <w:tc>
          <w:tcPr/>
          <w:p>
            <w:pPr>
              <w:pStyle w:val="Compact"/>
              <w:jc w:val="left"/>
            </w:pPr>
            <w:r>
              <w:t xml:space="preserve">χριστον ειναι (28%) || — (58.9%) || τον 12 (11.6%)</w:t>
            </w:r>
          </w:p>
        </w:tc>
      </w:tr>
      <w:tr>
        <w:tc>
          <w:tcPr/>
          <w:p>
            <w:pPr>
              <w:pStyle w:val="Compact"/>
              <w:jc w:val="left"/>
            </w:pPr>
            <w:r>
              <w:t xml:space="preserve">+</w:t>
            </w:r>
          </w:p>
        </w:tc>
        <w:tc>
          <w:tcPr/>
          <w:p>
            <w:pPr>
              <w:pStyle w:val="Compact"/>
              <w:jc w:val="left"/>
            </w:pPr>
            <w:r>
              <w:t xml:space="preserve">1:38</w:t>
            </w:r>
          </w:p>
        </w:tc>
        <w:tc>
          <w:tcPr/>
          <w:p>
            <w:pPr>
              <w:pStyle w:val="Compact"/>
              <w:jc w:val="left"/>
            </w:pPr>
            <w:r>
              <w:t xml:space="preserve">εληλυθα [40%] || εξεληλυθα [59%]</w:t>
            </w:r>
          </w:p>
        </w:tc>
      </w:tr>
      <w:tr>
        <w:tc>
          <w:tcPr/>
          <w:p>
            <w:pPr>
              <w:pStyle w:val="Compact"/>
              <w:jc w:val="left"/>
            </w:pPr>
            <w:r>
              <w:t xml:space="preserve">++–</w:t>
            </w:r>
          </w:p>
        </w:tc>
        <w:tc>
          <w:tcPr/>
          <w:p>
            <w:pPr>
              <w:pStyle w:val="Compact"/>
              <w:jc w:val="left"/>
            </w:pPr>
            <w:r>
              <w:t xml:space="preserve">1:44</w:t>
            </w:r>
          </w:p>
        </w:tc>
        <w:tc>
          <w:tcPr/>
          <w:p>
            <w:pPr>
              <w:pStyle w:val="Compact"/>
              <w:jc w:val="left"/>
            </w:pPr>
            <w:r>
              <w:t xml:space="preserve">προσενεγκαι [25%] || προσενεγκε [75%]</w:t>
            </w:r>
          </w:p>
        </w:tc>
      </w:tr>
      <w:tr>
        <w:tc>
          <w:tcPr/>
          <w:p>
            <w:pPr>
              <w:pStyle w:val="Compact"/>
              <w:jc w:val="left"/>
            </w:pPr>
            <w:r>
              <w:t xml:space="preserve">+</w:t>
            </w:r>
          </w:p>
        </w:tc>
        <w:tc>
          <w:tcPr/>
          <w:p>
            <w:pPr>
              <w:pStyle w:val="Compact"/>
              <w:jc w:val="left"/>
            </w:pPr>
            <w:r>
              <w:t xml:space="preserve">2:9</w:t>
            </w:r>
          </w:p>
        </w:tc>
        <w:tc>
          <w:tcPr/>
          <w:p>
            <w:pPr>
              <w:pStyle w:val="Compact"/>
              <w:jc w:val="left"/>
            </w:pPr>
            <w:r>
              <w:t xml:space="preserve">τον κραββατον σου [40%] || ~ 312 [59%]</w:t>
            </w:r>
          </w:p>
        </w:tc>
      </w:tr>
      <w:tr>
        <w:tc>
          <w:tcPr/>
          <w:p>
            <w:pPr>
              <w:pStyle w:val="Compact"/>
              <w:jc w:val="left"/>
            </w:pPr>
            <w:r>
              <w:t xml:space="preserve">++</w:t>
            </w:r>
          </w:p>
        </w:tc>
        <w:tc>
          <w:tcPr/>
          <w:p>
            <w:pPr>
              <w:pStyle w:val="Compact"/>
              <w:jc w:val="left"/>
            </w:pPr>
            <w:r>
              <w:t xml:space="preserve">3:20</w:t>
            </w:r>
          </w:p>
        </w:tc>
        <w:tc>
          <w:tcPr/>
          <w:p>
            <w:pPr>
              <w:pStyle w:val="Compact"/>
              <w:jc w:val="left"/>
            </w:pPr>
            <w:r>
              <w:t xml:space="preserve">μηδε [30%] || μητε [70%]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4:24</w:t>
            </w:r>
          </w:p>
        </w:tc>
        <w:tc>
          <w:tcPr/>
          <w:p>
            <w:pPr>
              <w:pStyle w:val="Compact"/>
              <w:jc w:val="left"/>
            </w:pPr>
            <w:r>
              <w:t xml:space="preserve">αντιμετρηθησεται [30%] || μετρηθησεται [69%]</w:t>
            </w:r>
          </w:p>
        </w:tc>
      </w:tr>
      <w:tr>
        <w:tc>
          <w:tcPr/>
          <w:p>
            <w:pPr>
              <w:pStyle w:val="Compact"/>
              <w:jc w:val="left"/>
            </w:pPr>
            <w:r>
              <w:t xml:space="preserve">++</w:t>
            </w:r>
          </w:p>
        </w:tc>
        <w:tc>
          <w:tcPr/>
          <w:p>
            <w:pPr>
              <w:pStyle w:val="Compact"/>
              <w:jc w:val="left"/>
            </w:pPr>
            <w:r>
              <w:t xml:space="preserve">5:3</w:t>
            </w:r>
            <w:r>
              <w:rPr>
                <w:vertAlign w:val="superscript"/>
              </w:rPr>
              <w:t xml:space="preserve">a</w:t>
            </w:r>
          </w:p>
        </w:tc>
        <w:tc>
          <w:tcPr/>
          <w:p>
            <w:pPr>
              <w:pStyle w:val="Compact"/>
              <w:jc w:val="left"/>
            </w:pPr>
            <w:r>
              <w:t xml:space="preserve">οικησιν [30%] || κατοικησιν [70%]</w:t>
            </w:r>
          </w:p>
        </w:tc>
      </w:tr>
      <w:tr>
        <w:tc>
          <w:tcPr/>
          <w:p>
            <w:pPr>
              <w:pStyle w:val="Compact"/>
              <w:jc w:val="left"/>
            </w:pPr>
            <w:r>
              <w:t xml:space="preserve">+</w:t>
            </w:r>
          </w:p>
        </w:tc>
        <w:tc>
          <w:tcPr/>
          <w:p>
            <w:pPr>
              <w:pStyle w:val="Compact"/>
              <w:jc w:val="left"/>
            </w:pPr>
            <w:r>
              <w:t xml:space="preserve">5:3</w:t>
            </w:r>
            <w:r>
              <w:rPr>
                <w:vertAlign w:val="superscript"/>
              </w:rPr>
              <w:t xml:space="preserve">b</w:t>
            </w:r>
          </w:p>
        </w:tc>
        <w:tc>
          <w:tcPr/>
          <w:p>
            <w:pPr>
              <w:pStyle w:val="Compact"/>
              <w:jc w:val="left"/>
            </w:pPr>
            <w:r>
              <w:t xml:space="preserve">ηδυνατο [40%] || εδυνατο [60%]</w:t>
            </w:r>
          </w:p>
        </w:tc>
      </w:tr>
      <w:tr>
        <w:tc>
          <w:tcPr/>
          <w:p>
            <w:pPr>
              <w:pStyle w:val="Compact"/>
              <w:jc w:val="left"/>
            </w:pPr>
            <w:r>
              <w:t xml:space="preserve">++–</w:t>
            </w:r>
          </w:p>
        </w:tc>
        <w:tc>
          <w:tcPr/>
          <w:p>
            <w:pPr>
              <w:pStyle w:val="Compact"/>
              <w:jc w:val="left"/>
            </w:pPr>
            <w:r>
              <w:t xml:space="preserve">5:4</w:t>
            </w:r>
          </w:p>
        </w:tc>
        <w:tc>
          <w:tcPr/>
          <w:p>
            <w:pPr>
              <w:pStyle w:val="Compact"/>
              <w:jc w:val="left"/>
            </w:pPr>
            <w:r>
              <w:t xml:space="preserve">ισχυσεν [26%] || ισχυεν [74%]</w:t>
            </w:r>
          </w:p>
        </w:tc>
      </w:tr>
      <w:tr>
        <w:tc>
          <w:tcPr/>
          <w:p>
            <w:pPr>
              <w:pStyle w:val="Compact"/>
              <w:jc w:val="left"/>
            </w:pPr>
            <w:r>
              <w:t xml:space="preserve">+</w:t>
            </w:r>
          </w:p>
        </w:tc>
        <w:tc>
          <w:tcPr/>
          <w:p>
            <w:pPr>
              <w:pStyle w:val="Compact"/>
              <w:jc w:val="left"/>
            </w:pPr>
            <w:r>
              <w:t xml:space="preserve">5:5</w:t>
            </w:r>
          </w:p>
        </w:tc>
        <w:tc>
          <w:tcPr/>
          <w:p>
            <w:pPr>
              <w:pStyle w:val="Compact"/>
              <w:jc w:val="left"/>
            </w:pPr>
            <w:r>
              <w:t xml:space="preserve">μνημασιν και εν τοις ορεσιν [40%] || ~ 52341 [57%]</w:t>
            </w:r>
          </w:p>
        </w:tc>
      </w:tr>
      <w:tr>
        <w:tc>
          <w:tcPr/>
          <w:p>
            <w:pPr>
              <w:pStyle w:val="Compact"/>
              <w:jc w:val="left"/>
            </w:pPr>
            <w:r>
              <w:t xml:space="preserve">+++</w:t>
            </w:r>
          </w:p>
        </w:tc>
        <w:tc>
          <w:tcPr/>
          <w:p>
            <w:pPr>
              <w:pStyle w:val="Compact"/>
              <w:jc w:val="left"/>
            </w:pPr>
            <w:r>
              <w:t xml:space="preserve">6:20</w:t>
            </w:r>
          </w:p>
        </w:tc>
        <w:tc>
          <w:tcPr/>
          <w:p>
            <w:pPr>
              <w:pStyle w:val="Compact"/>
              <w:jc w:val="left"/>
            </w:pPr>
            <w:r>
              <w:t xml:space="preserve">ακουων [20%] || ακουσας [80%]</w:t>
            </w:r>
          </w:p>
        </w:tc>
      </w:tr>
      <w:tr>
        <w:tc>
          <w:tcPr/>
          <w:p>
            <w:pPr>
              <w:pStyle w:val="Compact"/>
              <w:jc w:val="left"/>
            </w:pPr>
            <w:r>
              <w:t xml:space="preserve">+</w:t>
            </w:r>
          </w:p>
        </w:tc>
        <w:tc>
          <w:tcPr/>
          <w:p>
            <w:pPr>
              <w:pStyle w:val="Compact"/>
              <w:jc w:val="left"/>
            </w:pPr>
            <w:r>
              <w:t xml:space="preserve">6:45</w:t>
            </w:r>
          </w:p>
        </w:tc>
        <w:tc>
          <w:tcPr/>
          <w:p>
            <w:pPr>
              <w:pStyle w:val="Compact"/>
              <w:jc w:val="left"/>
            </w:pPr>
            <w:r>
              <w:t xml:space="preserve">απολυσει [40%] || απολυση [59%]</w:t>
            </w:r>
          </w:p>
        </w:tc>
      </w:tr>
      <w:tr>
        <w:tc>
          <w:tcPr/>
          <w:p>
            <w:pPr>
              <w:pStyle w:val="Compact"/>
              <w:jc w:val="left"/>
            </w:pPr>
            <w:r>
              <w:t xml:space="preserve">++</w:t>
            </w:r>
          </w:p>
        </w:tc>
        <w:tc>
          <w:tcPr/>
          <w:p>
            <w:pPr>
              <w:pStyle w:val="Compact"/>
              <w:jc w:val="left"/>
            </w:pPr>
            <w:r>
              <w:t xml:space="preserve">6:53</w:t>
            </w:r>
          </w:p>
        </w:tc>
        <w:tc>
          <w:tcPr/>
          <w:p>
            <w:pPr>
              <w:pStyle w:val="Compact"/>
              <w:jc w:val="left"/>
            </w:pPr>
            <w:r>
              <w:t xml:space="preserve">γενησαρετ [30%] || γεννησαρετ [53%]</w:t>
            </w:r>
          </w:p>
        </w:tc>
      </w:tr>
      <w:tr>
        <w:tc>
          <w:tcPr/>
          <w:p>
            <w:pPr>
              <w:pStyle w:val="Compact"/>
              <w:jc w:val="left"/>
            </w:pPr>
            <w:r>
              <w:t xml:space="preserve">++</w:t>
            </w:r>
          </w:p>
        </w:tc>
        <w:tc>
          <w:tcPr/>
          <w:p>
            <w:pPr>
              <w:pStyle w:val="Compact"/>
              <w:jc w:val="left"/>
            </w:pPr>
            <w:r>
              <w:t xml:space="preserve">7:4</w:t>
            </w:r>
          </w:p>
        </w:tc>
        <w:tc>
          <w:tcPr/>
          <w:p>
            <w:pPr>
              <w:pStyle w:val="Compact"/>
              <w:jc w:val="left"/>
            </w:pPr>
            <w:r>
              <w:t xml:space="preserve">χαλκειων [30%] || χαλκιων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νηστις [30%] || νηστεις [70%]</w:t>
            </w:r>
          </w:p>
        </w:tc>
      </w:tr>
      <w:tr>
        <w:tc>
          <w:tcPr/>
          <w:p>
            <w:pPr>
              <w:pStyle w:val="Compact"/>
              <w:jc w:val="left"/>
            </w:pPr>
            <w:r>
              <w:t xml:space="preserve">+</w:t>
            </w:r>
          </w:p>
        </w:tc>
        <w:tc>
          <w:tcPr/>
          <w:p>
            <w:pPr>
              <w:pStyle w:val="Compact"/>
              <w:jc w:val="left"/>
            </w:pPr>
            <w:r>
              <w:t xml:space="preserve">8:6</w:t>
            </w:r>
          </w:p>
        </w:tc>
        <w:tc>
          <w:tcPr/>
          <w:p>
            <w:pPr>
              <w:pStyle w:val="Compact"/>
              <w:jc w:val="left"/>
            </w:pPr>
            <w:r>
              <w:t xml:space="preserve">και [40%] || — [60%]</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οι μαθηται αυτου [35%] || — [64%]</w:t>
            </w:r>
          </w:p>
        </w:tc>
      </w:tr>
      <w:tr>
        <w:tc>
          <w:tcPr/>
          <w:p>
            <w:pPr>
              <w:pStyle w:val="Compact"/>
              <w:jc w:val="left"/>
            </w:pPr>
            <w:r>
              <w:t xml:space="preserve">+</w:t>
            </w:r>
          </w:p>
        </w:tc>
        <w:tc>
          <w:tcPr/>
          <w:p>
            <w:pPr>
              <w:pStyle w:val="Compact"/>
              <w:jc w:val="left"/>
            </w:pPr>
            <w:r>
              <w:t xml:space="preserve">8:21</w:t>
            </w:r>
          </w:p>
        </w:tc>
        <w:tc>
          <w:tcPr/>
          <w:p>
            <w:pPr>
              <w:pStyle w:val="Compact"/>
              <w:jc w:val="left"/>
            </w:pPr>
            <w:r>
              <w:t xml:space="preserve">ουπω [41%] || ου [59%]</w:t>
            </w:r>
          </w:p>
        </w:tc>
      </w:tr>
      <w:tr>
        <w:tc>
          <w:tcPr/>
          <w:p>
            <w:pPr>
              <w:pStyle w:val="Compact"/>
              <w:jc w:val="left"/>
            </w:pPr>
            <w:r>
              <w:t xml:space="preserve">++–</w:t>
            </w:r>
          </w:p>
        </w:tc>
        <w:tc>
          <w:tcPr/>
          <w:p>
            <w:pPr>
              <w:pStyle w:val="Compact"/>
              <w:jc w:val="left"/>
            </w:pPr>
            <w:r>
              <w:t xml:space="preserve">9:3</w:t>
            </w:r>
          </w:p>
        </w:tc>
        <w:tc>
          <w:tcPr/>
          <w:p>
            <w:pPr>
              <w:pStyle w:val="Compact"/>
              <w:jc w:val="left"/>
            </w:pPr>
            <w:r>
              <w:t xml:space="preserve">κναφευς [25%] || γναφευς [75%]</w:t>
            </w:r>
          </w:p>
        </w:tc>
      </w:tr>
      <w:tr>
        <w:tc>
          <w:tcPr/>
          <w:p>
            <w:pPr>
              <w:pStyle w:val="Compact"/>
              <w:jc w:val="left"/>
            </w:pPr>
            <w:r>
              <w:t xml:space="preserve">++</w:t>
            </w:r>
          </w:p>
        </w:tc>
        <w:tc>
          <w:tcPr/>
          <w:p>
            <w:pPr>
              <w:pStyle w:val="Compact"/>
              <w:jc w:val="left"/>
            </w:pPr>
            <w:r>
              <w:t xml:space="preserve">9:20</w:t>
            </w:r>
          </w:p>
        </w:tc>
        <w:tc>
          <w:tcPr/>
          <w:p>
            <w:pPr>
              <w:pStyle w:val="Compact"/>
              <w:jc w:val="left"/>
            </w:pPr>
            <w:r>
              <w:t xml:space="preserve">ιδον [30%] || ιδων [70%]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σκωληξ [30%] || 1 αυτων [70%]</w:t>
            </w:r>
          </w:p>
        </w:tc>
      </w:tr>
      <w:tr>
        <w:tc>
          <w:tcPr/>
          <w:p>
            <w:pPr>
              <w:pStyle w:val="Compact"/>
              <w:jc w:val="left"/>
            </w:pPr>
            <w:r>
              <w:t xml:space="preserve">+–</w:t>
            </w:r>
          </w:p>
        </w:tc>
        <w:tc>
          <w:tcPr/>
          <w:p>
            <w:pPr>
              <w:pStyle w:val="Compact"/>
              <w:jc w:val="left"/>
            </w:pPr>
            <w:r>
              <w:t xml:space="preserve">10:8</w:t>
            </w:r>
          </w:p>
        </w:tc>
        <w:tc>
          <w:tcPr/>
          <w:p>
            <w:pPr>
              <w:pStyle w:val="Compact"/>
              <w:jc w:val="left"/>
            </w:pPr>
            <w:r>
              <w:t xml:space="preserve">σαρξ μια [35%] || ~ 21 [65%]</w:t>
            </w:r>
          </w:p>
        </w:tc>
      </w:tr>
      <w:tr>
        <w:tc>
          <w:tcPr/>
          <w:p>
            <w:pPr>
              <w:pStyle w:val="Compact"/>
              <w:jc w:val="left"/>
            </w:pPr>
            <w:r>
              <w:t xml:space="preserve">+++</w:t>
            </w:r>
          </w:p>
        </w:tc>
        <w:tc>
          <w:tcPr/>
          <w:p>
            <w:pPr>
              <w:pStyle w:val="Compact"/>
              <w:jc w:val="left"/>
            </w:pPr>
            <w:r>
              <w:t xml:space="preserve">10:17</w:t>
            </w:r>
          </w:p>
        </w:tc>
        <w:tc>
          <w:tcPr/>
          <w:p>
            <w:pPr>
              <w:pStyle w:val="Compact"/>
              <w:jc w:val="left"/>
            </w:pPr>
            <w:r>
              <w:t xml:space="preserve">τις [20%] || εις [70%] || — [10%]</w:t>
            </w:r>
          </w:p>
        </w:tc>
      </w:tr>
      <w:tr>
        <w:tc>
          <w:tcPr/>
          <w:p>
            <w:pPr>
              <w:pStyle w:val="Compact"/>
              <w:jc w:val="left"/>
            </w:pPr>
            <w:r>
              <w:t xml:space="preserve">+++</w:t>
            </w:r>
          </w:p>
        </w:tc>
        <w:tc>
          <w:tcPr/>
          <w:p>
            <w:pPr>
              <w:pStyle w:val="Compact"/>
              <w:jc w:val="left"/>
            </w:pPr>
            <w:r>
              <w:t xml:space="preserve">10:25</w:t>
            </w:r>
          </w:p>
        </w:tc>
        <w:tc>
          <w:tcPr/>
          <w:p>
            <w:pPr>
              <w:pStyle w:val="Compact"/>
              <w:jc w:val="left"/>
            </w:pPr>
            <w:r>
              <w:t xml:space="preserve">γαρ [20%] || — [80%]</w:t>
            </w:r>
          </w:p>
        </w:tc>
      </w:tr>
      <w:tr>
        <w:tc>
          <w:tcPr/>
          <w:p>
            <w:pPr>
              <w:pStyle w:val="Compact"/>
              <w:jc w:val="left"/>
            </w:pPr>
            <w:r>
              <w:t xml:space="preserve">+</w:t>
            </w:r>
          </w:p>
        </w:tc>
        <w:tc>
          <w:tcPr/>
          <w:p>
            <w:pPr>
              <w:pStyle w:val="Compact"/>
              <w:jc w:val="left"/>
            </w:pPr>
            <w:r>
              <w:t xml:space="preserve">10:30</w:t>
            </w:r>
          </w:p>
        </w:tc>
        <w:tc>
          <w:tcPr/>
          <w:p>
            <w:pPr>
              <w:pStyle w:val="Compact"/>
              <w:jc w:val="left"/>
            </w:pPr>
            <w:r>
              <w:t xml:space="preserve">πατερα και μητερα [40%] || μητερας [55%]</w:t>
            </w:r>
          </w:p>
        </w:tc>
      </w:tr>
      <w:tr>
        <w:tc>
          <w:tcPr/>
          <w:p>
            <w:pPr>
              <w:pStyle w:val="Compact"/>
              <w:jc w:val="left"/>
            </w:pPr>
            <w:r>
              <w:t xml:space="preserve">+</w:t>
            </w:r>
          </w:p>
        </w:tc>
        <w:tc>
          <w:tcPr/>
          <w:p>
            <w:pPr>
              <w:pStyle w:val="Compact"/>
              <w:jc w:val="left"/>
            </w:pPr>
            <w:r>
              <w:t xml:space="preserve">10:33</w:t>
            </w:r>
          </w:p>
        </w:tc>
        <w:tc>
          <w:tcPr/>
          <w:p>
            <w:pPr>
              <w:pStyle w:val="Compact"/>
              <w:jc w:val="left"/>
            </w:pPr>
            <w:r>
              <w:t xml:space="preserve">τοις [40%] || — [60%]</w:t>
            </w:r>
          </w:p>
        </w:tc>
      </w:tr>
      <w:tr>
        <w:tc>
          <w:tcPr/>
          <w:p>
            <w:pPr>
              <w:pStyle w:val="Compact"/>
              <w:jc w:val="left"/>
            </w:pPr>
            <w:r>
              <w:t xml:space="preserve">+–</w:t>
            </w:r>
          </w:p>
        </w:tc>
        <w:tc>
          <w:tcPr/>
          <w:p>
            <w:pPr>
              <w:pStyle w:val="Compact"/>
              <w:jc w:val="left"/>
            </w:pPr>
            <w:r>
              <w:t xml:space="preserve">10:40</w:t>
            </w:r>
          </w:p>
        </w:tc>
        <w:tc>
          <w:tcPr/>
          <w:p>
            <w:pPr>
              <w:pStyle w:val="Compact"/>
              <w:jc w:val="left"/>
            </w:pPr>
            <w:r>
              <w:t xml:space="preserve">μου [35%] || — [65%]</w:t>
            </w:r>
          </w:p>
        </w:tc>
      </w:tr>
      <w:tr>
        <w:tc>
          <w:tcPr/>
          <w:p>
            <w:pPr>
              <w:pStyle w:val="Compact"/>
              <w:jc w:val="left"/>
            </w:pPr>
            <w:r>
              <w:t xml:space="preserve">+–</w:t>
            </w:r>
          </w:p>
        </w:tc>
        <w:tc>
          <w:tcPr/>
          <w:p>
            <w:pPr>
              <w:pStyle w:val="Compact"/>
              <w:jc w:val="left"/>
            </w:pPr>
            <w:r>
              <w:t xml:space="preserve">10:51</w:t>
            </w:r>
          </w:p>
        </w:tc>
        <w:tc>
          <w:tcPr/>
          <w:p>
            <w:pPr>
              <w:pStyle w:val="Compact"/>
              <w:jc w:val="left"/>
            </w:pPr>
            <w:r>
              <w:t xml:space="preserve">ραβουνι [35%] || ραββουνι [59%]</w:t>
            </w:r>
          </w:p>
        </w:tc>
      </w:tr>
      <w:tr>
        <w:tc>
          <w:tcPr/>
          <w:p>
            <w:pPr>
              <w:pStyle w:val="Compact"/>
              <w:jc w:val="left"/>
            </w:pPr>
            <w:r>
              <w:t xml:space="preserve">++</w:t>
            </w:r>
          </w:p>
        </w:tc>
        <w:tc>
          <w:tcPr/>
          <w:p>
            <w:pPr>
              <w:pStyle w:val="Compact"/>
              <w:jc w:val="left"/>
            </w:pPr>
            <w:r>
              <w:t xml:space="preserve">10:52</w:t>
            </w:r>
          </w:p>
        </w:tc>
        <w:tc>
          <w:tcPr/>
          <w:p>
            <w:pPr>
              <w:pStyle w:val="Compact"/>
              <w:jc w:val="left"/>
            </w:pPr>
            <w:r>
              <w:t xml:space="preserve">ηκολουθησεν [30%] || ηκολουθει [69%]</w:t>
            </w:r>
          </w:p>
        </w:tc>
      </w:tr>
      <w:tr>
        <w:tc>
          <w:tcPr/>
          <w:p>
            <w:pPr>
              <w:pStyle w:val="Compact"/>
              <w:jc w:val="left"/>
            </w:pPr>
            <w:r>
              <w:t xml:space="preserve">++</w:t>
            </w:r>
          </w:p>
        </w:tc>
        <w:tc>
          <w:tcPr/>
          <w:p>
            <w:pPr>
              <w:pStyle w:val="Compact"/>
              <w:jc w:val="left"/>
            </w:pPr>
            <w:r>
              <w:t xml:space="preserve">11:5</w:t>
            </w:r>
          </w:p>
        </w:tc>
        <w:tc>
          <w:tcPr/>
          <w:p>
            <w:pPr>
              <w:pStyle w:val="Compact"/>
              <w:jc w:val="left"/>
            </w:pPr>
            <w:r>
              <w:t xml:space="preserve">εστωτων [30%] || εστηκοτων [70%]</w:t>
            </w:r>
          </w:p>
        </w:tc>
      </w:tr>
      <w:tr>
        <w:tc>
          <w:tcPr/>
          <w:p>
            <w:pPr>
              <w:pStyle w:val="Compact"/>
              <w:jc w:val="left"/>
            </w:pPr>
            <w:r>
              <w:t xml:space="preserve">+–</w:t>
            </w:r>
          </w:p>
        </w:tc>
        <w:tc>
          <w:tcPr/>
          <w:p>
            <w:pPr>
              <w:pStyle w:val="Compact"/>
              <w:jc w:val="left"/>
            </w:pPr>
            <w:r>
              <w:t xml:space="preserve">11:14</w:t>
            </w:r>
          </w:p>
        </w:tc>
        <w:tc>
          <w:tcPr/>
          <w:p>
            <w:pPr>
              <w:pStyle w:val="Compact"/>
              <w:jc w:val="left"/>
            </w:pPr>
            <w:r>
              <w:t xml:space="preserve">φαγη [35%] || φαγοι [65%]</w:t>
            </w:r>
          </w:p>
        </w:tc>
      </w:tr>
      <w:tr>
        <w:tc>
          <w:tcPr/>
          <w:p>
            <w:pPr>
              <w:pStyle w:val="Compact"/>
              <w:jc w:val="left"/>
            </w:pPr>
            <w:r>
              <w:t xml:space="preserve">+–</w:t>
            </w:r>
          </w:p>
        </w:tc>
        <w:tc>
          <w:tcPr/>
          <w:p>
            <w:pPr>
              <w:pStyle w:val="Compact"/>
              <w:jc w:val="left"/>
            </w:pPr>
            <w:r>
              <w:t xml:space="preserve">11:18</w:t>
            </w:r>
          </w:p>
        </w:tc>
        <w:tc>
          <w:tcPr/>
          <w:p>
            <w:pPr>
              <w:pStyle w:val="Compact"/>
              <w:jc w:val="left"/>
            </w:pPr>
            <w:r>
              <w:t xml:space="preserve">απολεσουσιν [35%] || απολεσωσιν [65%]</w:t>
            </w:r>
          </w:p>
        </w:tc>
      </w:tr>
      <w:tr>
        <w:tc>
          <w:tcPr/>
          <w:p>
            <w:pPr>
              <w:pStyle w:val="Compact"/>
              <w:jc w:val="left"/>
            </w:pPr>
            <w:r>
              <w:t xml:space="preserve">+++</w:t>
            </w:r>
          </w:p>
        </w:tc>
        <w:tc>
          <w:tcPr/>
          <w:p>
            <w:pPr>
              <w:pStyle w:val="Compact"/>
              <w:jc w:val="left"/>
            </w:pPr>
            <w:r>
              <w:t xml:space="preserve">11:30</w:t>
            </w:r>
          </w:p>
        </w:tc>
        <w:tc>
          <w:tcPr/>
          <w:p>
            <w:pPr>
              <w:pStyle w:val="Compact"/>
              <w:jc w:val="left"/>
            </w:pPr>
            <w:r>
              <w:t xml:space="preserve">ανθρωπων [20%] || 1 αποκριθητε μοι [80%]</w:t>
            </w:r>
          </w:p>
        </w:tc>
      </w:tr>
      <w:tr>
        <w:tc>
          <w:tcPr/>
          <w:p>
            <w:pPr>
              <w:pStyle w:val="Compact"/>
              <w:jc w:val="left"/>
            </w:pPr>
            <w:r>
              <w:t xml:space="preserve">++</w:t>
            </w:r>
          </w:p>
        </w:tc>
        <w:tc>
          <w:tcPr/>
          <w:p>
            <w:pPr>
              <w:pStyle w:val="Compact"/>
              <w:jc w:val="left"/>
            </w:pPr>
            <w:r>
              <w:t xml:space="preserve">12:3</w:t>
            </w:r>
          </w:p>
        </w:tc>
        <w:tc>
          <w:tcPr/>
          <w:p>
            <w:pPr>
              <w:pStyle w:val="Compact"/>
              <w:jc w:val="left"/>
            </w:pPr>
            <w:r>
              <w:t xml:space="preserve">εδηραν [30%] || εδειραν [70%]</w:t>
            </w:r>
          </w:p>
        </w:tc>
      </w:tr>
      <w:tr>
        <w:tc>
          <w:tcPr/>
          <w:p>
            <w:pPr>
              <w:pStyle w:val="Compact"/>
              <w:jc w:val="left"/>
            </w:pPr>
            <w:r>
              <w:t xml:space="preserve">++</w:t>
            </w:r>
          </w:p>
        </w:tc>
        <w:tc>
          <w:tcPr/>
          <w:p>
            <w:pPr>
              <w:pStyle w:val="Compact"/>
              <w:jc w:val="left"/>
            </w:pPr>
            <w:r>
              <w:t xml:space="preserve">12:5</w:t>
            </w:r>
          </w:p>
        </w:tc>
        <w:tc>
          <w:tcPr/>
          <w:p>
            <w:pPr>
              <w:pStyle w:val="Compact"/>
              <w:jc w:val="left"/>
            </w:pPr>
            <w:r>
              <w:t xml:space="preserve">δαιροντες [30%] || δεροντες [70%]</w:t>
            </w:r>
          </w:p>
        </w:tc>
      </w:tr>
      <w:tr>
        <w:tc>
          <w:tcPr/>
          <w:p>
            <w:pPr>
              <w:pStyle w:val="Compact"/>
              <w:jc w:val="left"/>
            </w:pPr>
            <w:r>
              <w:t xml:space="preserve">+++</w:t>
            </w:r>
          </w:p>
        </w:tc>
        <w:tc>
          <w:tcPr/>
          <w:p>
            <w:pPr>
              <w:pStyle w:val="Compact"/>
              <w:jc w:val="left"/>
            </w:pPr>
            <w:r>
              <w:t xml:space="preserve">12:26</w:t>
            </w:r>
          </w:p>
        </w:tc>
        <w:tc>
          <w:tcPr/>
          <w:p>
            <w:pPr>
              <w:pStyle w:val="Compact"/>
              <w:jc w:val="left"/>
            </w:pPr>
            <w:r>
              <w:t xml:space="preserve">μωυσεος [20%] || μωσεως [50%] || μωυσεως [30%]</w:t>
            </w:r>
          </w:p>
        </w:tc>
      </w:tr>
      <w:tr>
        <w:tc>
          <w:tcPr/>
          <w:p>
            <w:pPr>
              <w:pStyle w:val="Compact"/>
              <w:jc w:val="left"/>
            </w:pPr>
            <w:r>
              <w:t xml:space="preserve">++–</w:t>
            </w:r>
          </w:p>
        </w:tc>
        <w:tc>
          <w:tcPr/>
          <w:p>
            <w:pPr>
              <w:pStyle w:val="Compact"/>
              <w:jc w:val="left"/>
            </w:pPr>
            <w:r>
              <w:t xml:space="preserve">12:28</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a</w:t>
            </w:r>
          </w:p>
        </w:tc>
        <w:tc>
          <w:tcPr/>
          <w:p>
            <w:pPr>
              <w:pStyle w:val="Compact"/>
              <w:jc w:val="left"/>
            </w:pPr>
            <w:r>
              <w:t xml:space="preserve">πασων [25%] || παντων [72%]</w:t>
            </w:r>
          </w:p>
        </w:tc>
      </w:tr>
      <w:tr>
        <w:tc>
          <w:tcPr/>
          <w:p>
            <w:pPr>
              <w:pStyle w:val="Compact"/>
              <w:jc w:val="left"/>
            </w:pPr>
            <w:r>
              <w:t xml:space="preserve">++–</w:t>
            </w:r>
          </w:p>
        </w:tc>
        <w:tc>
          <w:tcPr/>
          <w:p>
            <w:pPr>
              <w:pStyle w:val="Compact"/>
              <w:jc w:val="left"/>
            </w:pPr>
            <w:r>
              <w:t xml:space="preserve">12:29</w:t>
            </w:r>
            <w:r>
              <w:rPr>
                <w:vertAlign w:val="superscript"/>
              </w:rPr>
              <w:t xml:space="preserve">b</w:t>
            </w:r>
          </w:p>
        </w:tc>
        <w:tc>
          <w:tcPr/>
          <w:p>
            <w:pPr>
              <w:pStyle w:val="Compact"/>
              <w:jc w:val="left"/>
            </w:pPr>
            <w:r>
              <w:t xml:space="preserve">υμων [25%] || ημων [74%]</w:t>
            </w:r>
          </w:p>
        </w:tc>
      </w:tr>
      <w:tr>
        <w:tc>
          <w:tcPr/>
          <w:p>
            <w:pPr>
              <w:pStyle w:val="Compact"/>
              <w:jc w:val="left"/>
            </w:pPr>
            <w:r>
              <w:t xml:space="preserve">+–</w:t>
            </w:r>
          </w:p>
        </w:tc>
        <w:tc>
          <w:tcPr/>
          <w:p>
            <w:pPr>
              <w:pStyle w:val="Compact"/>
              <w:jc w:val="left"/>
            </w:pPr>
            <w:r>
              <w:t xml:space="preserve">12:41</w:t>
            </w:r>
          </w:p>
        </w:tc>
        <w:tc>
          <w:tcPr/>
          <w:p>
            <w:pPr>
              <w:pStyle w:val="Compact"/>
              <w:jc w:val="left"/>
            </w:pPr>
            <w:r>
              <w:t xml:space="preserve">εβαλον [35%] || εβαλλον [65%]</w:t>
            </w:r>
          </w:p>
        </w:tc>
      </w:tr>
      <w:tr>
        <w:tc>
          <w:tcPr/>
          <w:p>
            <w:pPr>
              <w:pStyle w:val="Compact"/>
              <w:jc w:val="left"/>
            </w:pPr>
            <w:r>
              <w:t xml:space="preserve">++</w:t>
            </w:r>
          </w:p>
        </w:tc>
        <w:tc>
          <w:tcPr/>
          <w:p>
            <w:pPr>
              <w:pStyle w:val="Compact"/>
              <w:jc w:val="left"/>
            </w:pPr>
            <w:r>
              <w:t xml:space="preserve">13:2</w:t>
            </w:r>
            <w:r>
              <w:rPr>
                <w:vertAlign w:val="superscript"/>
              </w:rPr>
              <w:t xml:space="preserve">a</w:t>
            </w:r>
          </w:p>
        </w:tc>
        <w:tc>
          <w:tcPr/>
          <w:p>
            <w:pPr>
              <w:pStyle w:val="Compact"/>
              <w:jc w:val="left"/>
            </w:pPr>
            <w:r>
              <w:t xml:space="preserve">αποκριθεις ο ιησους [30%] || ~ 231 [68%]</w:t>
            </w:r>
          </w:p>
        </w:tc>
      </w:tr>
      <w:tr>
        <w:tc>
          <w:tcPr/>
          <w:p>
            <w:pPr>
              <w:pStyle w:val="Compact"/>
              <w:jc w:val="left"/>
            </w:pPr>
            <w:r>
              <w:t xml:space="preserve">+++</w:t>
            </w:r>
          </w:p>
        </w:tc>
        <w:tc>
          <w:tcPr/>
          <w:p>
            <w:pPr>
              <w:pStyle w:val="Compact"/>
              <w:jc w:val="left"/>
            </w:pPr>
            <w:r>
              <w:t xml:space="preserve">13:2</w:t>
            </w:r>
            <w:r>
              <w:rPr>
                <w:vertAlign w:val="superscript"/>
              </w:rPr>
              <w:t xml:space="preserve">b</w:t>
            </w:r>
          </w:p>
        </w:tc>
        <w:tc>
          <w:tcPr/>
          <w:p>
            <w:pPr>
              <w:pStyle w:val="Compact"/>
              <w:jc w:val="left"/>
            </w:pPr>
            <w:r>
              <w:t xml:space="preserve">ωδε (21.1%) || — (78.9%)</w:t>
            </w:r>
          </w:p>
        </w:tc>
      </w:tr>
      <w:tr>
        <w:tc>
          <w:tcPr/>
          <w:p>
            <w:pPr>
              <w:pStyle w:val="Compact"/>
              <w:jc w:val="left"/>
            </w:pPr>
            <w:r>
              <w:t xml:space="preserve">++</w:t>
            </w:r>
          </w:p>
        </w:tc>
        <w:tc>
          <w:tcPr/>
          <w:p>
            <w:pPr>
              <w:pStyle w:val="Compact"/>
              <w:jc w:val="left"/>
            </w:pPr>
            <w:r>
              <w:t xml:space="preserve">13:9</w:t>
            </w:r>
          </w:p>
        </w:tc>
        <w:tc>
          <w:tcPr/>
          <w:p>
            <w:pPr>
              <w:pStyle w:val="Compact"/>
              <w:jc w:val="left"/>
            </w:pPr>
            <w:r>
              <w:t xml:space="preserve">αχθησεσθε [30%] || σταθησεσθε [70%]</w:t>
            </w:r>
          </w:p>
        </w:tc>
      </w:tr>
      <w:tr>
        <w:tc>
          <w:tcPr/>
          <w:p>
            <w:pPr>
              <w:pStyle w:val="Compact"/>
              <w:jc w:val="left"/>
            </w:pPr>
            <w:r>
              <w:t xml:space="preserve">+–</w:t>
            </w:r>
          </w:p>
        </w:tc>
        <w:tc>
          <w:tcPr/>
          <w:p>
            <w:pPr>
              <w:pStyle w:val="Compact"/>
              <w:jc w:val="left"/>
            </w:pPr>
            <w:r>
              <w:t xml:space="preserve">13:11</w:t>
            </w:r>
            <w:r>
              <w:rPr>
                <w:vertAlign w:val="superscript"/>
              </w:rPr>
              <w:t xml:space="preserve">a</w:t>
            </w:r>
          </w:p>
        </w:tc>
        <w:tc>
          <w:tcPr/>
          <w:p>
            <w:pPr>
              <w:pStyle w:val="Compact"/>
              <w:jc w:val="left"/>
            </w:pPr>
            <w:r>
              <w:t xml:space="preserve">αγωσιν [35%] || αγαγωσιν [65%]</w:t>
            </w:r>
          </w:p>
        </w:tc>
      </w:tr>
      <w:tr>
        <w:tc>
          <w:tcPr/>
          <w:p>
            <w:pPr>
              <w:pStyle w:val="Compact"/>
              <w:jc w:val="left"/>
            </w:pPr>
            <w:r>
              <w:t xml:space="preserve">+–</w:t>
            </w:r>
          </w:p>
        </w:tc>
        <w:tc>
          <w:tcPr/>
          <w:p>
            <w:pPr>
              <w:pStyle w:val="Compact"/>
              <w:jc w:val="left"/>
            </w:pPr>
            <w:r>
              <w:t xml:space="preserve">13:11</w:t>
            </w:r>
            <w:r>
              <w:rPr>
                <w:vertAlign w:val="superscript"/>
              </w:rPr>
              <w:t xml:space="preserve">b</w:t>
            </w:r>
          </w:p>
        </w:tc>
        <w:tc>
          <w:tcPr/>
          <w:p>
            <w:pPr>
              <w:pStyle w:val="Compact"/>
              <w:jc w:val="left"/>
            </w:pPr>
            <w:r>
              <w:t xml:space="preserve">λαλησετε [35%] || λαλησητε [65%]</w:t>
            </w:r>
          </w:p>
        </w:tc>
      </w:tr>
      <w:tr>
        <w:tc>
          <w:tcPr/>
          <w:p>
            <w:pPr>
              <w:pStyle w:val="Compact"/>
              <w:jc w:val="left"/>
            </w:pPr>
            <w:r>
              <w:t xml:space="preserve">++</w:t>
            </w:r>
          </w:p>
        </w:tc>
        <w:tc>
          <w:tcPr/>
          <w:p>
            <w:pPr>
              <w:pStyle w:val="Compact"/>
              <w:jc w:val="left"/>
            </w:pPr>
            <w:r>
              <w:t xml:space="preserve">13:21</w:t>
            </w:r>
            <w:r>
              <w:rPr>
                <w:vertAlign w:val="superscript"/>
              </w:rPr>
              <w:t xml:space="preserve">a</w:t>
            </w:r>
          </w:p>
        </w:tc>
        <w:tc>
          <w:tcPr/>
          <w:p>
            <w:pPr>
              <w:pStyle w:val="Compact"/>
              <w:jc w:val="left"/>
            </w:pPr>
            <w:r>
              <w:t xml:space="preserve">τοτε [30%] || και 1 [70%]</w:t>
            </w:r>
          </w:p>
        </w:tc>
      </w:tr>
      <w:tr>
        <w:tc>
          <w:tcPr/>
          <w:p>
            <w:pPr>
              <w:pStyle w:val="Compact"/>
              <w:jc w:val="left"/>
            </w:pPr>
            <w:r>
              <w:t xml:space="preserve">+</w:t>
            </w:r>
          </w:p>
        </w:tc>
        <w:tc>
          <w:tcPr/>
          <w:p>
            <w:pPr>
              <w:pStyle w:val="Compact"/>
              <w:jc w:val="left"/>
            </w:pPr>
            <w:r>
              <w:t xml:space="preserve">13:21</w:t>
            </w:r>
            <w:r>
              <w:rPr>
                <w:vertAlign w:val="superscript"/>
              </w:rPr>
              <w:t xml:space="preserve">b</w:t>
            </w:r>
          </w:p>
        </w:tc>
        <w:tc>
          <w:tcPr/>
          <w:p>
            <w:pPr>
              <w:pStyle w:val="Compact"/>
              <w:jc w:val="left"/>
            </w:pPr>
            <w:r>
              <w:t xml:space="preserve">χριστος [40%] || 1 η [60%]</w:t>
            </w:r>
          </w:p>
        </w:tc>
      </w:tr>
      <w:tr>
        <w:tc>
          <w:tcPr/>
          <w:p>
            <w:pPr>
              <w:pStyle w:val="Compact"/>
              <w:jc w:val="left"/>
            </w:pPr>
            <w:r>
              <w:t xml:space="preserve">++</w:t>
            </w:r>
          </w:p>
        </w:tc>
        <w:tc>
          <w:tcPr/>
          <w:p>
            <w:pPr>
              <w:pStyle w:val="Compact"/>
              <w:jc w:val="left"/>
            </w:pPr>
            <w:r>
              <w:t xml:space="preserve">13:28</w:t>
            </w:r>
            <w:r>
              <w:rPr>
                <w:vertAlign w:val="superscript"/>
              </w:rPr>
              <w:t xml:space="preserve">a</w:t>
            </w:r>
          </w:p>
        </w:tc>
        <w:tc>
          <w:tcPr/>
          <w:p>
            <w:pPr>
              <w:pStyle w:val="Compact"/>
              <w:jc w:val="left"/>
            </w:pPr>
            <w:r>
              <w:t xml:space="preserve">ηδη ο κλαδος αυτης (29%) || ~ 4123 (50.2%)</w:t>
            </w:r>
          </w:p>
        </w:tc>
      </w:tr>
      <w:tr>
        <w:tc>
          <w:tcPr/>
          <w:p>
            <w:pPr>
              <w:pStyle w:val="Compact"/>
              <w:jc w:val="left"/>
            </w:pPr>
            <w:r>
              <w:t xml:space="preserve">++–</w:t>
            </w:r>
          </w:p>
        </w:tc>
        <w:tc>
          <w:tcPr/>
          <w:p>
            <w:pPr>
              <w:pStyle w:val="Compact"/>
              <w:jc w:val="left"/>
            </w:pPr>
            <w:r>
              <w:t xml:space="preserve">13:28</w:t>
            </w:r>
            <w:r>
              <w:rPr>
                <w:vertAlign w:val="superscript"/>
              </w:rPr>
              <w:t xml:space="preserve">b</w:t>
            </w:r>
          </w:p>
        </w:tc>
        <w:tc>
          <w:tcPr/>
          <w:p>
            <w:pPr>
              <w:pStyle w:val="Compact"/>
              <w:jc w:val="left"/>
            </w:pPr>
            <w:r>
              <w:t xml:space="preserve">γινωσκεται [25%] || γινωσκετε [75%]</w:t>
            </w:r>
          </w:p>
        </w:tc>
      </w:tr>
      <w:tr>
        <w:tc>
          <w:tcPr/>
          <w:p>
            <w:pPr>
              <w:pStyle w:val="Compact"/>
              <w:jc w:val="left"/>
            </w:pPr>
            <w:r>
              <w:t xml:space="preserve">+++</w:t>
            </w:r>
          </w:p>
        </w:tc>
        <w:tc>
          <w:tcPr/>
          <w:p>
            <w:pPr>
              <w:pStyle w:val="Compact"/>
              <w:jc w:val="left"/>
            </w:pPr>
            <w:r>
              <w:t xml:space="preserve">13:33</w:t>
            </w:r>
          </w:p>
        </w:tc>
        <w:tc>
          <w:tcPr/>
          <w:p>
            <w:pPr>
              <w:pStyle w:val="Compact"/>
              <w:jc w:val="left"/>
            </w:pPr>
            <w:r>
              <w:t xml:space="preserve">προσευχεσθε [20%] || και 1 [77%]</w:t>
            </w:r>
          </w:p>
        </w:tc>
      </w:tr>
      <w:tr>
        <w:tc>
          <w:tcPr/>
          <w:p>
            <w:pPr>
              <w:pStyle w:val="Compact"/>
              <w:jc w:val="left"/>
            </w:pPr>
            <w:r>
              <w:t xml:space="preserve">+</w:t>
            </w:r>
          </w:p>
        </w:tc>
        <w:tc>
          <w:tcPr/>
          <w:p>
            <w:pPr>
              <w:pStyle w:val="Compact"/>
              <w:jc w:val="left"/>
            </w:pPr>
            <w:r>
              <w:t xml:space="preserve">14:11</w:t>
            </w:r>
          </w:p>
        </w:tc>
        <w:tc>
          <w:tcPr/>
          <w:p>
            <w:pPr>
              <w:pStyle w:val="Compact"/>
              <w:jc w:val="left"/>
            </w:pPr>
            <w:r>
              <w:t xml:space="preserve">αγρυρια [40%] || αγρυριον [60%]</w:t>
            </w:r>
          </w:p>
        </w:tc>
      </w:tr>
      <w:tr>
        <w:tc>
          <w:tcPr/>
          <w:p>
            <w:pPr>
              <w:pStyle w:val="Compact"/>
              <w:jc w:val="left"/>
            </w:pPr>
            <w:r>
              <w:t xml:space="preserve">++</w:t>
            </w:r>
          </w:p>
        </w:tc>
        <w:tc>
          <w:tcPr/>
          <w:p>
            <w:pPr>
              <w:pStyle w:val="Compact"/>
              <w:jc w:val="left"/>
            </w:pPr>
            <w:r>
              <w:t xml:space="preserve">14:15</w:t>
            </w:r>
          </w:p>
        </w:tc>
        <w:tc>
          <w:tcPr/>
          <w:p>
            <w:pPr>
              <w:pStyle w:val="Compact"/>
              <w:jc w:val="left"/>
            </w:pPr>
            <w:r>
              <w:t xml:space="preserve">ανωγεων [30%] || ανωγεον [39%] || ανωγαιον [25%]</w:t>
            </w:r>
          </w:p>
        </w:tc>
      </w:tr>
      <w:tr>
        <w:tc>
          <w:tcPr/>
          <w:p>
            <w:pPr>
              <w:pStyle w:val="Compact"/>
              <w:jc w:val="left"/>
            </w:pPr>
            <w:r>
              <w:t xml:space="preserve">++–</w:t>
            </w:r>
          </w:p>
        </w:tc>
        <w:tc>
          <w:tcPr/>
          <w:p>
            <w:pPr>
              <w:pStyle w:val="Compact"/>
              <w:jc w:val="left"/>
            </w:pPr>
            <w:r>
              <w:t xml:space="preserve">14:22</w:t>
            </w:r>
          </w:p>
        </w:tc>
        <w:tc>
          <w:tcPr/>
          <w:p>
            <w:pPr>
              <w:pStyle w:val="Compact"/>
              <w:jc w:val="left"/>
            </w:pPr>
            <w:r>
              <w:t xml:space="preserve">και [25%] || — [75%]</w:t>
            </w:r>
          </w:p>
        </w:tc>
      </w:tr>
      <w:tr>
        <w:tc>
          <w:tcPr/>
          <w:p>
            <w:pPr>
              <w:pStyle w:val="Compact"/>
              <w:jc w:val="left"/>
            </w:pPr>
            <w:r>
              <w:t xml:space="preserve">+++</w:t>
            </w:r>
          </w:p>
        </w:tc>
        <w:tc>
          <w:tcPr/>
          <w:p>
            <w:pPr>
              <w:pStyle w:val="Compact"/>
              <w:jc w:val="left"/>
            </w:pPr>
            <w:r>
              <w:t xml:space="preserve">14:28</w:t>
            </w:r>
          </w:p>
        </w:tc>
        <w:tc>
          <w:tcPr/>
          <w:p>
            <w:pPr>
              <w:pStyle w:val="Compact"/>
              <w:jc w:val="left"/>
            </w:pPr>
            <w:r>
              <w:t xml:space="preserve">μετα δε [20%] || αλλα 1 [79%]</w:t>
            </w:r>
          </w:p>
        </w:tc>
      </w:tr>
      <w:tr>
        <w:tc>
          <w:tcPr/>
          <w:p>
            <w:pPr>
              <w:pStyle w:val="Compact"/>
              <w:jc w:val="left"/>
            </w:pPr>
            <w:r>
              <w:t xml:space="preserve">+–</w:t>
            </w:r>
          </w:p>
        </w:tc>
        <w:tc>
          <w:tcPr/>
          <w:p>
            <w:pPr>
              <w:pStyle w:val="Compact"/>
              <w:jc w:val="left"/>
            </w:pPr>
            <w:r>
              <w:t xml:space="preserve">14:32</w:t>
            </w:r>
          </w:p>
        </w:tc>
        <w:tc>
          <w:tcPr/>
          <w:p>
            <w:pPr>
              <w:pStyle w:val="Compact"/>
              <w:jc w:val="left"/>
            </w:pPr>
            <w:r>
              <w:t xml:space="preserve">προσευξομαι [35%] || προσευξωμαι [65%]</w:t>
            </w:r>
          </w:p>
        </w:tc>
      </w:tr>
      <w:tr>
        <w:tc>
          <w:tcPr/>
          <w:p>
            <w:pPr>
              <w:pStyle w:val="Compact"/>
              <w:jc w:val="left"/>
            </w:pPr>
            <w:r>
              <w:t xml:space="preserve">++</w:t>
            </w:r>
          </w:p>
        </w:tc>
        <w:tc>
          <w:tcPr/>
          <w:p>
            <w:pPr>
              <w:pStyle w:val="Compact"/>
              <w:jc w:val="left"/>
            </w:pPr>
            <w:r>
              <w:t xml:space="preserve">14:36</w:t>
            </w:r>
          </w:p>
        </w:tc>
        <w:tc>
          <w:tcPr/>
          <w:p>
            <w:pPr>
              <w:pStyle w:val="Compact"/>
              <w:jc w:val="left"/>
            </w:pPr>
            <w:r>
              <w:t xml:space="preserve">παρενεγκαι [30%] || παρενεγκε [70%]</w:t>
            </w:r>
          </w:p>
        </w:tc>
      </w:tr>
      <w:tr>
        <w:tc>
          <w:tcPr/>
          <w:p>
            <w:pPr>
              <w:pStyle w:val="Compact"/>
              <w:jc w:val="left"/>
            </w:pPr>
            <w:r>
              <w:t xml:space="preserve">+–</w:t>
            </w:r>
          </w:p>
        </w:tc>
        <w:tc>
          <w:tcPr/>
          <w:p>
            <w:pPr>
              <w:pStyle w:val="Compact"/>
              <w:jc w:val="left"/>
            </w:pPr>
            <w:r>
              <w:t xml:space="preserve">14:40</w:t>
            </w:r>
          </w:p>
        </w:tc>
        <w:tc>
          <w:tcPr/>
          <w:p>
            <w:pPr>
              <w:pStyle w:val="Compact"/>
              <w:jc w:val="left"/>
            </w:pPr>
            <w:r>
              <w:t xml:space="preserve">καταβαρυνομενοι [35%] || βεβαρημενοι [64%]</w:t>
            </w:r>
          </w:p>
        </w:tc>
      </w:tr>
      <w:tr>
        <w:tc>
          <w:tcPr/>
          <w:p>
            <w:pPr>
              <w:pStyle w:val="Compact"/>
              <w:jc w:val="left"/>
            </w:pPr>
            <w:r>
              <w:t xml:space="preserve">++</w:t>
            </w:r>
          </w:p>
        </w:tc>
        <w:tc>
          <w:tcPr/>
          <w:p>
            <w:pPr>
              <w:pStyle w:val="Compact"/>
              <w:jc w:val="left"/>
            </w:pPr>
            <w:r>
              <w:t xml:space="preserve">15:18</w:t>
            </w:r>
          </w:p>
        </w:tc>
        <w:tc>
          <w:tcPr/>
          <w:p>
            <w:pPr>
              <w:pStyle w:val="Compact"/>
              <w:jc w:val="left"/>
            </w:pPr>
            <w:r>
              <w:t xml:space="preserve">και λεγειν [30%] || — [68%]</w:t>
            </w:r>
          </w:p>
        </w:tc>
      </w:tr>
      <w:tr>
        <w:tc>
          <w:tcPr/>
          <w:p>
            <w:pPr>
              <w:pStyle w:val="Compact"/>
              <w:jc w:val="left"/>
            </w:pPr>
            <w:r>
              <w:t xml:space="preserve">++–</w:t>
            </w:r>
          </w:p>
        </w:tc>
        <w:tc>
          <w:tcPr/>
          <w:p>
            <w:pPr>
              <w:pStyle w:val="Compact"/>
              <w:jc w:val="left"/>
            </w:pPr>
            <w:r>
              <w:t xml:space="preserve">15:42</w:t>
            </w:r>
          </w:p>
        </w:tc>
        <w:tc>
          <w:tcPr/>
          <w:p>
            <w:pPr>
              <w:pStyle w:val="Compact"/>
              <w:jc w:val="left"/>
            </w:pPr>
            <w:r>
              <w:t xml:space="preserve">παρασκευη ην [25%] || ~ 21 [75%]</w:t>
            </w:r>
          </w:p>
        </w:tc>
      </w:tr>
      <w:tr>
        <w:tc>
          <w:tcPr/>
          <w:p>
            <w:pPr>
              <w:pStyle w:val="Compact"/>
              <w:jc w:val="left"/>
            </w:pPr>
            <w:r>
              <w:t xml:space="preserve">+–</w:t>
            </w:r>
          </w:p>
        </w:tc>
        <w:tc>
          <w:tcPr/>
          <w:p>
            <w:pPr>
              <w:pStyle w:val="Compact"/>
              <w:jc w:val="left"/>
            </w:pPr>
            <w:r>
              <w:t xml:space="preserve">15:43</w:t>
            </w:r>
          </w:p>
        </w:tc>
        <w:tc>
          <w:tcPr/>
          <w:p>
            <w:pPr>
              <w:pStyle w:val="Compact"/>
              <w:jc w:val="left"/>
            </w:pPr>
            <w:r>
              <w:t xml:space="preserve">ελθων [35%] || ηλθεν [65%]</w:t>
            </w:r>
          </w:p>
        </w:tc>
      </w:tr>
      <w:tr>
        <w:tc>
          <w:tcPr/>
          <w:p>
            <w:pPr>
              <w:pStyle w:val="Compact"/>
              <w:jc w:val="left"/>
            </w:pPr>
            <w:r>
              <w:t xml:space="preserve">++</w:t>
            </w:r>
          </w:p>
        </w:tc>
        <w:tc>
          <w:tcPr/>
          <w:p>
            <w:pPr>
              <w:pStyle w:val="Compact"/>
              <w:jc w:val="left"/>
            </w:pPr>
            <w:r>
              <w:t xml:space="preserve">16:1</w:t>
            </w:r>
          </w:p>
        </w:tc>
        <w:tc>
          <w:tcPr/>
          <w:p>
            <w:pPr>
              <w:pStyle w:val="Compact"/>
              <w:jc w:val="left"/>
            </w:pPr>
            <w:r>
              <w:t xml:space="preserve">τον ιησουν [30%] || αυτον [70%]</w:t>
            </w:r>
          </w:p>
        </w:tc>
      </w:tr>
      <w:tr>
        <w:tc>
          <w:tcPr/>
          <w:p>
            <w:pPr>
              <w:pStyle w:val="Compact"/>
              <w:jc w:val="left"/>
            </w:pPr>
            <w:r>
              <w:t xml:space="preserve">++</w:t>
            </w:r>
          </w:p>
        </w:tc>
        <w:tc>
          <w:tcPr/>
          <w:p>
            <w:pPr>
              <w:pStyle w:val="Compact"/>
              <w:jc w:val="left"/>
            </w:pPr>
            <w:r>
              <w:t xml:space="preserve">16:9</w:t>
            </w:r>
          </w:p>
        </w:tc>
        <w:tc>
          <w:tcPr/>
          <w:p>
            <w:pPr>
              <w:pStyle w:val="Compact"/>
              <w:jc w:val="left"/>
            </w:pPr>
            <w:r>
              <w:t xml:space="preserve">ο ιησους [30%] || —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(8)</w:t>
            </w:r>
          </w:p>
        </w:tc>
      </w:tr>
      <w:tr>
        <w:tc>
          <w:tcPr/>
          <w:p>
            <w:pPr>
              <w:pStyle w:val="Compact"/>
              <w:jc w:val="left"/>
            </w:pPr>
            <w:r>
              <w:t xml:space="preserve">++–</w:t>
            </w:r>
          </w:p>
        </w:tc>
        <w:tc>
          <w:tcPr/>
          <w:p>
            <w:pPr>
              <w:pStyle w:val="Compact"/>
              <w:jc w:val="left"/>
            </w:pPr>
            <w:r>
              <w:t xml:space="preserve">około 25% = całkiem dobre (9)</w:t>
            </w:r>
          </w:p>
        </w:tc>
      </w:tr>
      <w:tr>
        <w:tc>
          <w:tcPr/>
          <w:p>
            <w:pPr>
              <w:pStyle w:val="Compact"/>
              <w:jc w:val="left"/>
            </w:pPr>
            <w:r>
              <w:t xml:space="preserve">++</w:t>
            </w:r>
          </w:p>
        </w:tc>
        <w:tc>
          <w:tcPr/>
          <w:p>
            <w:pPr>
              <w:pStyle w:val="Compact"/>
              <w:jc w:val="left"/>
            </w:pPr>
            <w:r>
              <w:t xml:space="preserve">około 30% = niezłe (23)</w:t>
            </w:r>
          </w:p>
        </w:tc>
      </w:tr>
      <w:tr>
        <w:tc>
          <w:tcPr/>
          <w:p>
            <w:pPr>
              <w:pStyle w:val="Compact"/>
              <w:jc w:val="left"/>
            </w:pPr>
            <w:r>
              <w:t xml:space="preserve">+–</w:t>
            </w:r>
          </w:p>
        </w:tc>
        <w:tc>
          <w:tcPr/>
          <w:p>
            <w:pPr>
              <w:pStyle w:val="Compact"/>
              <w:jc w:val="left"/>
            </w:pPr>
            <w:r>
              <w:t xml:space="preserve">około 35% (13)</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65</w:t>
      </w:r>
    </w:p>
    <w:p>
      <w:pPr>
        <w:pStyle w:val="BodyText"/>
      </w:pPr>
      <w:r>
        <w:rPr>
          <w:bCs/>
          <w:b/>
        </w:rPr>
        <w:t xml:space="preserve">Ewangelia Łukasza</w:t>
      </w:r>
    </w:p>
    <w:tbl>
      <w:tblPr>
        <w:tblStyle w:val="Table"/>
        <w:tblW w:type="auto" w:w="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1:55</w:t>
            </w:r>
          </w:p>
        </w:tc>
        <w:tc>
          <w:tcPr/>
          <w:p>
            <w:pPr>
              <w:pStyle w:val="Compact"/>
              <w:jc w:val="left"/>
            </w:pPr>
            <w:r>
              <w:t xml:space="preserve">εως αιωνος [35%] || εις τον αιωνα [64%]</w:t>
            </w:r>
          </w:p>
        </w:tc>
      </w:tr>
      <w:tr>
        <w:tc>
          <w:tcPr/>
          <w:p>
            <w:pPr>
              <w:pStyle w:val="Compact"/>
              <w:jc w:val="left"/>
            </w:pPr>
            <w:r>
              <w:t xml:space="preserve">++–</w:t>
            </w:r>
          </w:p>
        </w:tc>
        <w:tc>
          <w:tcPr/>
          <w:p>
            <w:pPr>
              <w:pStyle w:val="Compact"/>
              <w:jc w:val="left"/>
            </w:pPr>
            <w:r>
              <w:t xml:space="preserve">1:63</w:t>
            </w:r>
          </w:p>
        </w:tc>
        <w:tc>
          <w:tcPr/>
          <w:p>
            <w:pPr>
              <w:pStyle w:val="Compact"/>
              <w:jc w:val="left"/>
            </w:pPr>
            <w:r>
              <w:t xml:space="preserve">εσται [26%] || εστιν [74%]</w:t>
            </w:r>
          </w:p>
        </w:tc>
      </w:tr>
      <w:tr>
        <w:tc>
          <w:tcPr/>
          <w:p>
            <w:pPr>
              <w:pStyle w:val="Compact"/>
              <w:jc w:val="left"/>
            </w:pPr>
            <w:r>
              <w:t xml:space="preserve">+</w:t>
            </w:r>
          </w:p>
        </w:tc>
        <w:tc>
          <w:tcPr/>
          <w:p>
            <w:pPr>
              <w:pStyle w:val="Compact"/>
              <w:jc w:val="left"/>
            </w:pPr>
            <w:r>
              <w:t xml:space="preserve">2:40</w:t>
            </w:r>
          </w:p>
        </w:tc>
        <w:tc>
          <w:tcPr/>
          <w:p>
            <w:pPr>
              <w:pStyle w:val="Compact"/>
              <w:jc w:val="left"/>
            </w:pPr>
            <w:r>
              <w:t xml:space="preserve">αυτω [41%] || αυτο [58%]</w:t>
            </w:r>
          </w:p>
        </w:tc>
      </w:tr>
      <w:tr>
        <w:tc>
          <w:tcPr/>
          <w:p>
            <w:pPr>
              <w:pStyle w:val="Compact"/>
              <w:jc w:val="left"/>
            </w:pPr>
            <w:r>
              <w:t xml:space="preserve">+</w:t>
            </w:r>
          </w:p>
        </w:tc>
        <w:tc>
          <w:tcPr/>
          <w:p>
            <w:pPr>
              <w:pStyle w:val="Compact"/>
              <w:jc w:val="left"/>
            </w:pPr>
            <w:r>
              <w:t xml:space="preserve">3:12</w:t>
            </w:r>
          </w:p>
        </w:tc>
        <w:tc>
          <w:tcPr/>
          <w:p>
            <w:pPr>
              <w:pStyle w:val="Compact"/>
              <w:jc w:val="left"/>
            </w:pPr>
            <w:r>
              <w:t xml:space="preserve">υπ αυτου [40%] || — [60%]</w:t>
            </w:r>
          </w:p>
        </w:tc>
      </w:tr>
      <w:tr>
        <w:tc>
          <w:tcPr/>
          <w:p>
            <w:pPr>
              <w:pStyle w:val="Compact"/>
              <w:jc w:val="left"/>
            </w:pPr>
            <w:r>
              <w:t xml:space="preserve">++++</w:t>
            </w:r>
          </w:p>
        </w:tc>
        <w:tc>
          <w:tcPr/>
          <w:p>
            <w:pPr>
              <w:pStyle w:val="Compact"/>
              <w:jc w:val="left"/>
            </w:pPr>
            <w:r>
              <w:t xml:space="preserve">3:18</w:t>
            </w:r>
          </w:p>
        </w:tc>
        <w:tc>
          <w:tcPr/>
          <w:p>
            <w:pPr>
              <w:pStyle w:val="Compact"/>
              <w:jc w:val="left"/>
            </w:pPr>
            <w:r>
              <w:t xml:space="preserve">τω λαω [15%] || τον λαον [85%]</w:t>
            </w:r>
          </w:p>
        </w:tc>
      </w:tr>
      <w:tr>
        <w:tc>
          <w:tcPr/>
          <w:p>
            <w:pPr>
              <w:pStyle w:val="Compact"/>
              <w:jc w:val="left"/>
            </w:pPr>
            <w:r>
              <w:t xml:space="preserve">++–</w:t>
            </w:r>
          </w:p>
        </w:tc>
        <w:tc>
          <w:tcPr/>
          <w:p>
            <w:pPr>
              <w:pStyle w:val="Compact"/>
              <w:jc w:val="left"/>
            </w:pPr>
            <w:r>
              <w:t xml:space="preserve">3:30</w:t>
            </w:r>
          </w:p>
        </w:tc>
        <w:tc>
          <w:tcPr/>
          <w:p>
            <w:pPr>
              <w:pStyle w:val="Compact"/>
              <w:jc w:val="left"/>
            </w:pPr>
            <w:r>
              <w:t xml:space="preserve">ιωναμ [25%] || ιωναν [48%]</w:t>
            </w:r>
          </w:p>
        </w:tc>
      </w:tr>
      <w:tr>
        <w:tc>
          <w:tcPr/>
          <w:p>
            <w:pPr>
              <w:pStyle w:val="Compact"/>
              <w:jc w:val="left"/>
            </w:pPr>
            <w:r>
              <w:t xml:space="preserve">+</w:t>
            </w:r>
          </w:p>
        </w:tc>
        <w:tc>
          <w:tcPr/>
          <w:p>
            <w:pPr>
              <w:pStyle w:val="Compact"/>
              <w:jc w:val="left"/>
            </w:pPr>
            <w:r>
              <w:t xml:space="preserve">3:34</w:t>
            </w:r>
          </w:p>
        </w:tc>
        <w:tc>
          <w:tcPr/>
          <w:p>
            <w:pPr>
              <w:pStyle w:val="Compact"/>
              <w:jc w:val="left"/>
            </w:pPr>
            <w:r>
              <w:t xml:space="preserve">θαρρα [40%] || θαρα [60%]</w:t>
            </w:r>
          </w:p>
        </w:tc>
      </w:tr>
      <w:tr>
        <w:tc>
          <w:tcPr/>
          <w:p>
            <w:pPr>
              <w:pStyle w:val="Compact"/>
              <w:jc w:val="left"/>
            </w:pPr>
            <w:r>
              <w:t xml:space="preserve">++–</w:t>
            </w:r>
          </w:p>
        </w:tc>
        <w:tc>
          <w:tcPr/>
          <w:p>
            <w:pPr>
              <w:pStyle w:val="Compact"/>
              <w:jc w:val="left"/>
            </w:pPr>
            <w:r>
              <w:t xml:space="preserve">3:35</w:t>
            </w:r>
          </w:p>
        </w:tc>
        <w:tc>
          <w:tcPr/>
          <w:p>
            <w:pPr>
              <w:pStyle w:val="Compact"/>
              <w:jc w:val="left"/>
            </w:pPr>
            <w:r>
              <w:t xml:space="preserve">ραγαβ [25%] || ραγαυ [70%]</w:t>
            </w:r>
          </w:p>
        </w:tc>
      </w:tr>
      <w:tr>
        <w:tc>
          <w:tcPr/>
          <w:p>
            <w:pPr>
              <w:pStyle w:val="Compact"/>
              <w:jc w:val="left"/>
            </w:pPr>
            <w:r>
              <w:t xml:space="preserve">++–</w:t>
            </w:r>
          </w:p>
        </w:tc>
        <w:tc>
          <w:tcPr/>
          <w:p>
            <w:pPr>
              <w:pStyle w:val="Compact"/>
              <w:jc w:val="left"/>
            </w:pPr>
            <w:r>
              <w:t xml:space="preserve">4:7</w:t>
            </w:r>
          </w:p>
        </w:tc>
        <w:tc>
          <w:tcPr/>
          <w:p>
            <w:pPr>
              <w:pStyle w:val="Compact"/>
              <w:jc w:val="left"/>
            </w:pPr>
            <w:r>
              <w:t xml:space="preserve">σοι [25%] || σου [75%]</w:t>
            </w:r>
          </w:p>
        </w:tc>
      </w:tr>
      <w:tr>
        <w:tc>
          <w:tcPr/>
          <w:p>
            <w:pPr>
              <w:pStyle w:val="Compact"/>
              <w:jc w:val="left"/>
            </w:pPr>
            <w:r>
              <w:t xml:space="preserve">+</w:t>
            </w:r>
          </w:p>
        </w:tc>
        <w:tc>
          <w:tcPr/>
          <w:p>
            <w:pPr>
              <w:pStyle w:val="Compact"/>
              <w:jc w:val="left"/>
            </w:pPr>
            <w:r>
              <w:t xml:space="preserve">4:42</w:t>
            </w:r>
          </w:p>
        </w:tc>
        <w:tc>
          <w:tcPr/>
          <w:p>
            <w:pPr>
              <w:pStyle w:val="Compact"/>
              <w:jc w:val="left"/>
            </w:pPr>
            <w:r>
              <w:t xml:space="preserve">εζητουν [40%] || επεζητουν [60%]</w:t>
            </w:r>
          </w:p>
        </w:tc>
      </w:tr>
      <w:tr>
        <w:tc>
          <w:tcPr/>
          <w:p>
            <w:pPr>
              <w:pStyle w:val="Compact"/>
              <w:jc w:val="left"/>
            </w:pPr>
            <w:r>
              <w:t xml:space="preserve">++++</w:t>
            </w:r>
          </w:p>
        </w:tc>
        <w:tc>
          <w:tcPr/>
          <w:p>
            <w:pPr>
              <w:pStyle w:val="Compact"/>
              <w:jc w:val="left"/>
            </w:pPr>
            <w:r>
              <w:t xml:space="preserve">5:1</w:t>
            </w:r>
            <w:r>
              <w:rPr>
                <w:vertAlign w:val="superscript"/>
              </w:rPr>
              <w:t xml:space="preserve">a</w:t>
            </w:r>
          </w:p>
        </w:tc>
        <w:tc>
          <w:tcPr/>
          <w:p>
            <w:pPr>
              <w:pStyle w:val="Compact"/>
              <w:jc w:val="left"/>
            </w:pPr>
            <w:r>
              <w:t xml:space="preserve">περι [18%] || παρα [82%]</w:t>
            </w:r>
          </w:p>
        </w:tc>
      </w:tr>
      <w:tr>
        <w:tc>
          <w:tcPr/>
          <w:p>
            <w:pPr>
              <w:pStyle w:val="Compact"/>
              <w:jc w:val="left"/>
            </w:pPr>
            <w:r>
              <w:t xml:space="preserve">++</w:t>
            </w:r>
          </w:p>
        </w:tc>
        <w:tc>
          <w:tcPr/>
          <w:p>
            <w:pPr>
              <w:pStyle w:val="Compact"/>
              <w:jc w:val="left"/>
            </w:pPr>
            <w:r>
              <w:t xml:space="preserve">5:1</w:t>
            </w:r>
            <w:r>
              <w:rPr>
                <w:vertAlign w:val="superscript"/>
              </w:rPr>
              <w:t xml:space="preserve">b</w:t>
            </w:r>
          </w:p>
        </w:tc>
        <w:tc>
          <w:tcPr/>
          <w:p>
            <w:pPr>
              <w:pStyle w:val="Compact"/>
              <w:jc w:val="left"/>
            </w:pPr>
            <w:r>
              <w:t xml:space="preserve">γενησαρετ [29%] || γεννησαρετ [60%]</w:t>
            </w:r>
          </w:p>
        </w:tc>
      </w:tr>
      <w:tr>
        <w:tc>
          <w:tcPr/>
          <w:p>
            <w:pPr>
              <w:pStyle w:val="Compact"/>
              <w:jc w:val="left"/>
            </w:pPr>
            <w:r>
              <w:t xml:space="preserve">++</w:t>
            </w:r>
          </w:p>
        </w:tc>
        <w:tc>
          <w:tcPr/>
          <w:p>
            <w:pPr>
              <w:pStyle w:val="Compact"/>
              <w:jc w:val="left"/>
            </w:pPr>
            <w:r>
              <w:t xml:space="preserve">5:14</w:t>
            </w:r>
          </w:p>
        </w:tc>
        <w:tc>
          <w:tcPr/>
          <w:p>
            <w:pPr>
              <w:pStyle w:val="Compact"/>
              <w:jc w:val="left"/>
            </w:pPr>
            <w:r>
              <w:t xml:space="preserve">προσενεγκαι [30%] || προσενεγκε [70%]</w:t>
            </w:r>
          </w:p>
        </w:tc>
      </w:tr>
      <w:tr>
        <w:tc>
          <w:tcPr/>
          <w:p>
            <w:pPr>
              <w:pStyle w:val="Compact"/>
              <w:jc w:val="left"/>
            </w:pPr>
            <w:r>
              <w:t xml:space="preserve">+–</w:t>
            </w:r>
          </w:p>
        </w:tc>
        <w:tc>
          <w:tcPr/>
          <w:p>
            <w:pPr>
              <w:pStyle w:val="Compact"/>
              <w:jc w:val="left"/>
            </w:pPr>
            <w:r>
              <w:t xml:space="preserve">5:19</w:t>
            </w:r>
          </w:p>
        </w:tc>
        <w:tc>
          <w:tcPr/>
          <w:p>
            <w:pPr>
              <w:pStyle w:val="Compact"/>
              <w:jc w:val="left"/>
            </w:pPr>
            <w:r>
              <w:t xml:space="preserve">πως [35%] || ποιας [57%]</w:t>
            </w:r>
          </w:p>
        </w:tc>
      </w:tr>
      <w:tr>
        <w:tc>
          <w:tcPr/>
          <w:p>
            <w:pPr>
              <w:pStyle w:val="Compact"/>
              <w:jc w:val="left"/>
            </w:pPr>
            <w:r>
              <w:t xml:space="preserve">++–</w:t>
            </w:r>
          </w:p>
        </w:tc>
        <w:tc>
          <w:tcPr/>
          <w:p>
            <w:pPr>
              <w:pStyle w:val="Compact"/>
              <w:jc w:val="left"/>
            </w:pPr>
            <w:r>
              <w:t xml:space="preserve">5:35</w:t>
            </w:r>
          </w:p>
        </w:tc>
        <w:tc>
          <w:tcPr/>
          <w:p>
            <w:pPr>
              <w:pStyle w:val="Compact"/>
              <w:jc w:val="left"/>
            </w:pPr>
            <w:r>
              <w:t xml:space="preserve">ημεραι [25%] || 1 και [75%]</w:t>
            </w:r>
          </w:p>
        </w:tc>
      </w:tr>
      <w:tr>
        <w:tc>
          <w:tcPr/>
          <w:p>
            <w:pPr>
              <w:pStyle w:val="Compact"/>
              <w:jc w:val="left"/>
            </w:pPr>
            <w:r>
              <w:t xml:space="preserve">++–</w:t>
            </w:r>
          </w:p>
        </w:tc>
        <w:tc>
          <w:tcPr/>
          <w:p>
            <w:pPr>
              <w:pStyle w:val="Compact"/>
              <w:jc w:val="left"/>
            </w:pPr>
            <w:r>
              <w:t xml:space="preserve">6:7</w:t>
            </w:r>
          </w:p>
        </w:tc>
        <w:tc>
          <w:tcPr/>
          <w:p>
            <w:pPr>
              <w:pStyle w:val="Compact"/>
              <w:jc w:val="left"/>
            </w:pPr>
            <w:r>
              <w:t xml:space="preserve">ει [25%] || 1 εν [75%]</w:t>
            </w:r>
          </w:p>
        </w:tc>
      </w:tr>
      <w:tr>
        <w:tc>
          <w:tcPr/>
          <w:p>
            <w:pPr>
              <w:pStyle w:val="Compact"/>
              <w:jc w:val="left"/>
            </w:pPr>
            <w:r>
              <w:t xml:space="preserve">+</w:t>
            </w:r>
          </w:p>
        </w:tc>
        <w:tc>
          <w:tcPr/>
          <w:p>
            <w:pPr>
              <w:pStyle w:val="Compact"/>
              <w:jc w:val="left"/>
            </w:pPr>
            <w:r>
              <w:t xml:space="preserve">6:10</w:t>
            </w:r>
          </w:p>
        </w:tc>
        <w:tc>
          <w:tcPr/>
          <w:p>
            <w:pPr>
              <w:pStyle w:val="Compact"/>
              <w:jc w:val="left"/>
            </w:pPr>
            <w:r>
              <w:t xml:space="preserve">ουτως [42%] || — [54.5%]</w:t>
            </w:r>
          </w:p>
        </w:tc>
      </w:tr>
      <w:tr>
        <w:tc>
          <w:tcPr/>
          <w:p>
            <w:pPr>
              <w:pStyle w:val="Compact"/>
              <w:jc w:val="left"/>
            </w:pPr>
            <w:r>
              <w:t xml:space="preserve">+++</w:t>
            </w:r>
          </w:p>
        </w:tc>
        <w:tc>
          <w:tcPr/>
          <w:p>
            <w:pPr>
              <w:pStyle w:val="Compact"/>
              <w:jc w:val="left"/>
            </w:pPr>
            <w:r>
              <w:t xml:space="preserve">6:26</w:t>
            </w:r>
            <w:r>
              <w:rPr>
                <w:vertAlign w:val="superscript"/>
              </w:rPr>
              <w:t xml:space="preserve">a</w:t>
            </w:r>
          </w:p>
        </w:tc>
        <w:tc>
          <w:tcPr/>
          <w:p>
            <w:pPr>
              <w:pStyle w:val="Compact"/>
              <w:jc w:val="left"/>
            </w:pPr>
            <w:r>
              <w:t xml:space="preserve">καλως ειπωσιν υμας (22%) || ~ 132 (76.1%)</w:t>
            </w:r>
          </w:p>
        </w:tc>
      </w:tr>
      <w:tr>
        <w:tc>
          <w:tcPr/>
          <w:p>
            <w:pPr>
              <w:pStyle w:val="Compact"/>
              <w:jc w:val="left"/>
            </w:pPr>
            <w:r>
              <w:t xml:space="preserve">+</w:t>
            </w:r>
          </w:p>
        </w:tc>
        <w:tc>
          <w:tcPr/>
          <w:p>
            <w:pPr>
              <w:pStyle w:val="Compact"/>
              <w:jc w:val="left"/>
            </w:pPr>
            <w:r>
              <w:t xml:space="preserve">6:26</w:t>
            </w:r>
            <w:r>
              <w:rPr>
                <w:vertAlign w:val="superscript"/>
              </w:rPr>
              <w:t xml:space="preserve">b</w:t>
            </w:r>
          </w:p>
        </w:tc>
        <w:tc>
          <w:tcPr/>
          <w:p>
            <w:pPr>
              <w:pStyle w:val="Compact"/>
              <w:jc w:val="left"/>
            </w:pPr>
            <w:r>
              <w:t xml:space="preserve">παντες (39.1%) || — (60.5%)</w:t>
            </w:r>
          </w:p>
        </w:tc>
      </w:tr>
      <w:tr>
        <w:tc>
          <w:tcPr/>
          <w:p>
            <w:pPr>
              <w:pStyle w:val="Compact"/>
              <w:jc w:val="left"/>
            </w:pPr>
            <w:r>
              <w:t xml:space="preserve">++</w:t>
            </w:r>
          </w:p>
        </w:tc>
        <w:tc>
          <w:tcPr/>
          <w:p>
            <w:pPr>
              <w:pStyle w:val="Compact"/>
              <w:jc w:val="left"/>
            </w:pPr>
            <w:r>
              <w:t xml:space="preserve">6:49</w:t>
            </w:r>
          </w:p>
        </w:tc>
        <w:tc>
          <w:tcPr/>
          <w:p>
            <w:pPr>
              <w:pStyle w:val="Compact"/>
              <w:jc w:val="left"/>
            </w:pPr>
            <w:r>
              <w:t xml:space="preserve">την [30%] || — [70%]</w:t>
            </w:r>
          </w:p>
        </w:tc>
      </w:tr>
      <w:tr>
        <w:tc>
          <w:tcPr/>
          <w:p>
            <w:pPr>
              <w:pStyle w:val="Compact"/>
              <w:jc w:val="left"/>
            </w:pPr>
            <w:r>
              <w:t xml:space="preserve">+–</w:t>
            </w:r>
          </w:p>
        </w:tc>
        <w:tc>
          <w:tcPr/>
          <w:p>
            <w:pPr>
              <w:pStyle w:val="Compact"/>
              <w:jc w:val="left"/>
            </w:pPr>
            <w:r>
              <w:t xml:space="preserve">8:3</w:t>
            </w:r>
          </w:p>
        </w:tc>
        <w:tc>
          <w:tcPr/>
          <w:p>
            <w:pPr>
              <w:pStyle w:val="Compact"/>
              <w:jc w:val="left"/>
            </w:pPr>
            <w:r>
              <w:t xml:space="preserve">σωσαννα [35%] || σουσαννα [65%]</w:t>
            </w:r>
          </w:p>
        </w:tc>
      </w:tr>
      <w:tr>
        <w:tc>
          <w:tcPr/>
          <w:p>
            <w:pPr>
              <w:pStyle w:val="Compact"/>
              <w:jc w:val="left"/>
            </w:pPr>
            <w:r>
              <w:t xml:space="preserve">++</w:t>
            </w:r>
          </w:p>
        </w:tc>
        <w:tc>
          <w:tcPr/>
          <w:p>
            <w:pPr>
              <w:pStyle w:val="Compact"/>
              <w:jc w:val="left"/>
            </w:pPr>
            <w:r>
              <w:t xml:space="preserve">8:24</w:t>
            </w:r>
          </w:p>
        </w:tc>
        <w:tc>
          <w:tcPr/>
          <w:p>
            <w:pPr>
              <w:pStyle w:val="Compact"/>
              <w:jc w:val="left"/>
            </w:pPr>
            <w:r>
              <w:t xml:space="preserve">και προσελθοντες [32%] || ~ 2 δε [68%]</w:t>
            </w:r>
          </w:p>
        </w:tc>
      </w:tr>
      <w:tr>
        <w:tc>
          <w:tcPr/>
          <w:p>
            <w:pPr>
              <w:pStyle w:val="Compact"/>
              <w:jc w:val="left"/>
            </w:pPr>
            <w:r>
              <w:t xml:space="preserve">+–</w:t>
            </w:r>
          </w:p>
        </w:tc>
        <w:tc>
          <w:tcPr/>
          <w:p>
            <w:pPr>
              <w:pStyle w:val="Compact"/>
              <w:jc w:val="left"/>
            </w:pPr>
            <w:r>
              <w:t xml:space="preserve">8:26</w:t>
            </w:r>
          </w:p>
        </w:tc>
        <w:tc>
          <w:tcPr/>
          <w:p>
            <w:pPr>
              <w:pStyle w:val="Compact"/>
              <w:jc w:val="left"/>
            </w:pPr>
            <w:r>
              <w:t xml:space="preserve">αντιπεραν [33%] || αντιπερα [60%]</w:t>
            </w:r>
          </w:p>
        </w:tc>
      </w:tr>
      <w:tr>
        <w:tc>
          <w:tcPr/>
          <w:p>
            <w:pPr>
              <w:pStyle w:val="Compact"/>
              <w:jc w:val="left"/>
            </w:pPr>
            <w:r>
              <w:t xml:space="preserve">++++</w:t>
            </w:r>
          </w:p>
        </w:tc>
        <w:tc>
          <w:tcPr/>
          <w:p>
            <w:pPr>
              <w:pStyle w:val="Compact"/>
              <w:jc w:val="left"/>
            </w:pPr>
            <w:r>
              <w:t xml:space="preserve">9:4</w:t>
            </w:r>
          </w:p>
        </w:tc>
        <w:tc>
          <w:tcPr/>
          <w:p>
            <w:pPr>
              <w:pStyle w:val="Compact"/>
              <w:jc w:val="left"/>
            </w:pPr>
            <w:r>
              <w:t xml:space="preserve">ην [15%] || 1 αν [85%]</w:t>
            </w:r>
          </w:p>
        </w:tc>
      </w:tr>
      <w:tr>
        <w:tc>
          <w:tcPr/>
          <w:p>
            <w:pPr>
              <w:pStyle w:val="Compact"/>
              <w:jc w:val="left"/>
            </w:pPr>
            <w:r>
              <w:t xml:space="preserve">++</w:t>
            </w:r>
          </w:p>
        </w:tc>
        <w:tc>
          <w:tcPr/>
          <w:p>
            <w:pPr>
              <w:pStyle w:val="Compact"/>
              <w:jc w:val="left"/>
            </w:pPr>
            <w:r>
              <w:t xml:space="preserve">9:13</w:t>
            </w:r>
          </w:p>
        </w:tc>
        <w:tc>
          <w:tcPr/>
          <w:p>
            <w:pPr>
              <w:pStyle w:val="Compact"/>
              <w:jc w:val="left"/>
            </w:pPr>
            <w:r>
              <w:t xml:space="preserve">αγορασομεν [30%] || αγορασωμεν [70%]</w:t>
            </w:r>
          </w:p>
        </w:tc>
      </w:tr>
      <w:tr>
        <w:tc>
          <w:tcPr/>
          <w:p>
            <w:pPr>
              <w:pStyle w:val="Compact"/>
              <w:jc w:val="left"/>
            </w:pPr>
            <w:r>
              <w:t xml:space="preserve">+</w:t>
            </w:r>
          </w:p>
        </w:tc>
        <w:tc>
          <w:tcPr/>
          <w:p>
            <w:pPr>
              <w:pStyle w:val="Compact"/>
              <w:jc w:val="left"/>
            </w:pPr>
            <w:r>
              <w:t xml:space="preserve">9:33</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9:48</w:t>
            </w:r>
          </w:p>
        </w:tc>
        <w:tc>
          <w:tcPr/>
          <w:p>
            <w:pPr>
              <w:pStyle w:val="Compact"/>
              <w:jc w:val="left"/>
            </w:pPr>
            <w:r>
              <w:t xml:space="preserve">υμων [20%] || υμιν [79%]</w:t>
            </w:r>
          </w:p>
        </w:tc>
      </w:tr>
      <w:tr>
        <w:tc>
          <w:tcPr/>
          <w:p>
            <w:pPr>
              <w:pStyle w:val="Compact"/>
              <w:jc w:val="left"/>
            </w:pPr>
            <w:r>
              <w:t xml:space="preserve">+</w:t>
            </w:r>
          </w:p>
        </w:tc>
        <w:tc>
          <w:tcPr/>
          <w:p>
            <w:pPr>
              <w:pStyle w:val="Compact"/>
              <w:jc w:val="left"/>
            </w:pPr>
            <w:r>
              <w:t xml:space="preserve">9:52</w:t>
            </w:r>
          </w:p>
        </w:tc>
        <w:tc>
          <w:tcPr/>
          <w:p>
            <w:pPr>
              <w:pStyle w:val="Compact"/>
              <w:jc w:val="left"/>
            </w:pPr>
            <w:r>
              <w:t xml:space="preserve">εαυτου [40%] || αυτου [60%]</w:t>
            </w:r>
          </w:p>
        </w:tc>
      </w:tr>
      <w:tr>
        <w:tc>
          <w:tcPr/>
          <w:p>
            <w:pPr>
              <w:pStyle w:val="Compact"/>
              <w:jc w:val="left"/>
            </w:pPr>
            <w:r>
              <w:t xml:space="preserve">++–</w:t>
            </w:r>
          </w:p>
        </w:tc>
        <w:tc>
          <w:tcPr/>
          <w:p>
            <w:pPr>
              <w:pStyle w:val="Compact"/>
              <w:jc w:val="left"/>
            </w:pPr>
            <w:r>
              <w:t xml:space="preserve">10:4</w:t>
            </w:r>
          </w:p>
        </w:tc>
        <w:tc>
          <w:tcPr/>
          <w:p>
            <w:pPr>
              <w:pStyle w:val="Compact"/>
              <w:jc w:val="left"/>
            </w:pPr>
            <w:r>
              <w:t xml:space="preserve">μη [26%] || μηδε [74%]</w:t>
            </w:r>
          </w:p>
        </w:tc>
      </w:tr>
      <w:tr>
        <w:tc>
          <w:tcPr/>
          <w:p>
            <w:pPr>
              <w:pStyle w:val="Compact"/>
              <w:jc w:val="left"/>
            </w:pPr>
            <w:r>
              <w:t xml:space="preserve">++–</w:t>
            </w:r>
          </w:p>
        </w:tc>
        <w:tc>
          <w:tcPr/>
          <w:p>
            <w:pPr>
              <w:pStyle w:val="Compact"/>
              <w:jc w:val="left"/>
            </w:pPr>
            <w:r>
              <w:t xml:space="preserve">10:6</w:t>
            </w:r>
          </w:p>
        </w:tc>
        <w:tc>
          <w:tcPr/>
          <w:p>
            <w:pPr>
              <w:pStyle w:val="Compact"/>
              <w:jc w:val="left"/>
            </w:pPr>
            <w:r>
              <w:t xml:space="preserve">μεν [25%] || — [75%]</w:t>
            </w:r>
          </w:p>
        </w:tc>
      </w:tr>
      <w:tr>
        <w:tc>
          <w:tcPr/>
          <w:p>
            <w:pPr>
              <w:pStyle w:val="Compact"/>
              <w:jc w:val="left"/>
            </w:pPr>
            <w:r>
              <w:t xml:space="preserve">+–</w:t>
            </w:r>
          </w:p>
        </w:tc>
        <w:tc>
          <w:tcPr/>
          <w:p>
            <w:pPr>
              <w:pStyle w:val="Compact"/>
              <w:jc w:val="left"/>
            </w:pPr>
            <w:r>
              <w:t xml:space="preserve">10:13</w:t>
            </w:r>
          </w:p>
        </w:tc>
        <w:tc>
          <w:tcPr/>
          <w:p>
            <w:pPr>
              <w:pStyle w:val="Compact"/>
              <w:jc w:val="left"/>
            </w:pPr>
            <w:r>
              <w:t xml:space="preserve">χωραζιν [35%] || χοραζιν [29%] || χοραζειν [20%]</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των λογων [37%] || τον λογον [63%]</w:t>
            </w:r>
          </w:p>
        </w:tc>
      </w:tr>
      <w:tr>
        <w:tc>
          <w:tcPr/>
          <w:p>
            <w:pPr>
              <w:pStyle w:val="Compact"/>
              <w:jc w:val="left"/>
            </w:pPr>
            <w:r>
              <w:t xml:space="preserve">+</w:t>
            </w:r>
          </w:p>
        </w:tc>
        <w:tc>
          <w:tcPr/>
          <w:p>
            <w:pPr>
              <w:pStyle w:val="Compact"/>
              <w:jc w:val="left"/>
            </w:pPr>
            <w:r>
              <w:t xml:space="preserve">10:41</w:t>
            </w:r>
          </w:p>
        </w:tc>
        <w:tc>
          <w:tcPr/>
          <w:p>
            <w:pPr>
              <w:pStyle w:val="Compact"/>
              <w:jc w:val="left"/>
            </w:pPr>
            <w:r>
              <w:t xml:space="preserve">ο ιησους ειπεν αυτη [40%] || ~ 3412 [59%]</w:t>
            </w:r>
          </w:p>
        </w:tc>
      </w:tr>
      <w:tr>
        <w:tc>
          <w:tcPr/>
          <w:p>
            <w:pPr>
              <w:pStyle w:val="Compact"/>
              <w:jc w:val="left"/>
            </w:pPr>
            <w:r>
              <w:t xml:space="preserve">++++</w:t>
            </w:r>
          </w:p>
        </w:tc>
        <w:tc>
          <w:tcPr/>
          <w:p>
            <w:pPr>
              <w:pStyle w:val="Compact"/>
              <w:jc w:val="left"/>
            </w:pPr>
            <w:r>
              <w:t xml:space="preserve">11:19</w:t>
            </w:r>
          </w:p>
        </w:tc>
        <w:tc>
          <w:tcPr/>
          <w:p>
            <w:pPr>
              <w:pStyle w:val="Compact"/>
              <w:jc w:val="left"/>
            </w:pPr>
            <w:r>
              <w:t xml:space="preserve">αυτοι υμων [18%] || ~ 21 [52%] ||</w:t>
            </w:r>
          </w:p>
        </w:tc>
      </w:tr>
      <w:tr>
        <w:tc>
          <w:tcPr/>
          <w:p>
            <w:pPr>
              <w:pStyle w:val="Compact"/>
              <w:jc w:val="left"/>
            </w:pPr>
            <w:r>
              <w:t xml:space="preserve">++</w:t>
            </w:r>
          </w:p>
        </w:tc>
        <w:tc>
          <w:tcPr/>
          <w:p>
            <w:pPr>
              <w:pStyle w:val="Compact"/>
              <w:jc w:val="left"/>
            </w:pPr>
            <w:r>
              <w:t xml:space="preserve">11:32</w:t>
            </w:r>
          </w:p>
        </w:tc>
        <w:tc>
          <w:tcPr/>
          <w:p>
            <w:pPr>
              <w:pStyle w:val="Compact"/>
              <w:jc w:val="left"/>
            </w:pPr>
            <w:r>
              <w:t xml:space="preserve">νινευι [32%] || νινευιται [35%] || ||</w:t>
            </w:r>
          </w:p>
        </w:tc>
      </w:tr>
      <w:tr>
        <w:tc>
          <w:tcPr/>
          <w:p>
            <w:pPr>
              <w:pStyle w:val="Compact"/>
              <w:jc w:val="left"/>
            </w:pPr>
            <w:r>
              <w:t xml:space="preserve">+–</w:t>
            </w:r>
          </w:p>
        </w:tc>
        <w:tc>
          <w:tcPr/>
          <w:p>
            <w:pPr>
              <w:pStyle w:val="Compact"/>
              <w:jc w:val="left"/>
            </w:pPr>
            <w:r>
              <w:t xml:space="preserve">11:34</w:t>
            </w:r>
          </w:p>
        </w:tc>
        <w:tc>
          <w:tcPr/>
          <w:p>
            <w:pPr>
              <w:pStyle w:val="Compact"/>
              <w:jc w:val="left"/>
            </w:pPr>
            <w:r>
              <w:t xml:space="preserve">η [35%] || 1 και [65%]</w:t>
            </w:r>
          </w:p>
        </w:tc>
      </w:tr>
      <w:tr>
        <w:tc>
          <w:tcPr/>
          <w:p>
            <w:pPr>
              <w:pStyle w:val="Compact"/>
              <w:jc w:val="left"/>
            </w:pPr>
            <w:r>
              <w:t xml:space="preserve">++–</w:t>
            </w:r>
          </w:p>
        </w:tc>
        <w:tc>
          <w:tcPr/>
          <w:p>
            <w:pPr>
              <w:pStyle w:val="Compact"/>
              <w:jc w:val="left"/>
            </w:pPr>
            <w:r>
              <w:t xml:space="preserve">11:53</w:t>
            </w:r>
          </w:p>
        </w:tc>
        <w:tc>
          <w:tcPr/>
          <w:p>
            <w:pPr>
              <w:pStyle w:val="Compact"/>
              <w:jc w:val="left"/>
            </w:pPr>
            <w:r>
              <w:t xml:space="preserve">συνεχειν [26%] || ενεχειν [70%]</w:t>
            </w:r>
          </w:p>
        </w:tc>
      </w:tr>
      <w:tr>
        <w:tc>
          <w:tcPr/>
          <w:p>
            <w:pPr>
              <w:pStyle w:val="Compact"/>
              <w:jc w:val="left"/>
            </w:pPr>
            <w:r>
              <w:t xml:space="preserve">++++</w:t>
            </w:r>
          </w:p>
        </w:tc>
        <w:tc>
          <w:tcPr/>
          <w:p>
            <w:pPr>
              <w:pStyle w:val="Compact"/>
              <w:jc w:val="left"/>
            </w:pPr>
            <w:r>
              <w:t xml:space="preserve">12:7</w:t>
            </w:r>
          </w:p>
        </w:tc>
        <w:tc>
          <w:tcPr/>
          <w:p>
            <w:pPr>
              <w:pStyle w:val="Compact"/>
              <w:jc w:val="left"/>
            </w:pPr>
            <w:r>
              <w:t xml:space="preserve">πολλω [15%] || πολλων [85%]</w:t>
            </w:r>
          </w:p>
        </w:tc>
      </w:tr>
      <w:tr>
        <w:tc>
          <w:tcPr/>
          <w:p>
            <w:pPr>
              <w:pStyle w:val="Compact"/>
              <w:jc w:val="left"/>
            </w:pPr>
            <w:r>
              <w:t xml:space="preserve">+–</w:t>
            </w:r>
          </w:p>
        </w:tc>
        <w:tc>
          <w:tcPr/>
          <w:p>
            <w:pPr>
              <w:pStyle w:val="Compact"/>
              <w:jc w:val="left"/>
            </w:pPr>
            <w:r>
              <w:t xml:space="preserve">12:11</w:t>
            </w:r>
          </w:p>
        </w:tc>
        <w:tc>
          <w:tcPr/>
          <w:p>
            <w:pPr>
              <w:pStyle w:val="Compact"/>
              <w:jc w:val="left"/>
            </w:pPr>
            <w:r>
              <w:t xml:space="preserve">απλογησεσθε [35%] || απλογησησθε [63%]</w:t>
            </w:r>
          </w:p>
        </w:tc>
      </w:tr>
      <w:tr>
        <w:tc>
          <w:tcPr/>
          <w:p>
            <w:pPr>
              <w:pStyle w:val="Compact"/>
              <w:jc w:val="left"/>
            </w:pPr>
            <w:r>
              <w:t xml:space="preserve">++</w:t>
            </w:r>
          </w:p>
        </w:tc>
        <w:tc>
          <w:tcPr/>
          <w:p>
            <w:pPr>
              <w:pStyle w:val="Compact"/>
              <w:jc w:val="left"/>
            </w:pPr>
            <w:r>
              <w:t xml:space="preserve">12:22</w:t>
            </w:r>
            <w:r>
              <w:rPr>
                <w:vertAlign w:val="superscript"/>
              </w:rPr>
              <w:t xml:space="preserve">a</w:t>
            </w:r>
          </w:p>
        </w:tc>
        <w:tc>
          <w:tcPr/>
          <w:p>
            <w:pPr>
              <w:pStyle w:val="Compact"/>
              <w:jc w:val="left"/>
            </w:pPr>
            <w:r>
              <w:t xml:space="preserve">λεγω υμιν [28%] || ~ 21 [72%]</w:t>
            </w:r>
          </w:p>
        </w:tc>
      </w:tr>
      <w:tr>
        <w:tc>
          <w:tcPr/>
          <w:p>
            <w:pPr>
              <w:pStyle w:val="Compact"/>
              <w:jc w:val="left"/>
            </w:pPr>
            <w:r>
              <w:t xml:space="preserve">++–</w:t>
            </w:r>
          </w:p>
        </w:tc>
        <w:tc>
          <w:tcPr/>
          <w:p>
            <w:pPr>
              <w:pStyle w:val="Compact"/>
              <w:jc w:val="left"/>
            </w:pPr>
            <w:r>
              <w:t xml:space="preserve">12:22</w:t>
            </w:r>
            <w:r>
              <w:rPr>
                <w:vertAlign w:val="superscript"/>
              </w:rPr>
              <w:t xml:space="preserve">b</w:t>
            </w:r>
          </w:p>
        </w:tc>
        <w:tc>
          <w:tcPr/>
          <w:p>
            <w:pPr>
              <w:pStyle w:val="Compact"/>
              <w:jc w:val="left"/>
            </w:pPr>
            <w:r>
              <w:t xml:space="preserve">ενδυσεσθε [25%] || ενδυσησθε [74%]</w:t>
            </w:r>
          </w:p>
        </w:tc>
      </w:tr>
      <w:tr>
        <w:tc>
          <w:tcPr/>
          <w:p>
            <w:pPr>
              <w:pStyle w:val="Compact"/>
              <w:jc w:val="left"/>
            </w:pPr>
            <w:r>
              <w:t xml:space="preserve">++–</w:t>
            </w:r>
          </w:p>
        </w:tc>
        <w:tc>
          <w:tcPr/>
          <w:p>
            <w:pPr>
              <w:pStyle w:val="Compact"/>
              <w:jc w:val="left"/>
            </w:pPr>
            <w:r>
              <w:t xml:space="preserve">12:23</w:t>
            </w:r>
          </w:p>
        </w:tc>
        <w:tc>
          <w:tcPr/>
          <w:p>
            <w:pPr>
              <w:pStyle w:val="Compact"/>
              <w:jc w:val="left"/>
            </w:pPr>
            <w:r>
              <w:t xml:space="preserve">πλειων [23%] || πλειον [77]</w:t>
            </w:r>
          </w:p>
        </w:tc>
      </w:tr>
      <w:tr>
        <w:tc>
          <w:tcPr/>
          <w:p>
            <w:pPr>
              <w:pStyle w:val="Compact"/>
              <w:jc w:val="left"/>
            </w:pPr>
            <w:r>
              <w:t xml:space="preserve">+++</w:t>
            </w:r>
          </w:p>
        </w:tc>
        <w:tc>
          <w:tcPr/>
          <w:p>
            <w:pPr>
              <w:pStyle w:val="Compact"/>
              <w:jc w:val="left"/>
            </w:pPr>
            <w:r>
              <w:t xml:space="preserve">12:27</w:t>
            </w:r>
          </w:p>
        </w:tc>
        <w:tc>
          <w:tcPr/>
          <w:p>
            <w:pPr>
              <w:pStyle w:val="Compact"/>
              <w:jc w:val="left"/>
            </w:pPr>
            <w:r>
              <w:t xml:space="preserve">λεγω [20%] || 1 δε [80%]</w:t>
            </w:r>
          </w:p>
        </w:tc>
      </w:tr>
      <w:tr>
        <w:tc>
          <w:tcPr/>
          <w:p>
            <w:pPr>
              <w:pStyle w:val="Compact"/>
              <w:jc w:val="left"/>
            </w:pPr>
            <w:r>
              <w:t xml:space="preserve">+</w:t>
            </w:r>
          </w:p>
        </w:tc>
        <w:tc>
          <w:tcPr/>
          <w:p>
            <w:pPr>
              <w:pStyle w:val="Compact"/>
              <w:jc w:val="left"/>
            </w:pPr>
            <w:r>
              <w:t xml:space="preserve">12:56</w:t>
            </w:r>
          </w:p>
        </w:tc>
        <w:tc>
          <w:tcPr/>
          <w:p>
            <w:pPr>
              <w:pStyle w:val="Compact"/>
              <w:jc w:val="left"/>
            </w:pPr>
            <w:r>
              <w:t xml:space="preserve">του ουρανου και της γης [40%] || ~ 45312 [60%]</w:t>
            </w:r>
          </w:p>
        </w:tc>
      </w:tr>
      <w:tr>
        <w:tc>
          <w:tcPr/>
          <w:p>
            <w:pPr>
              <w:pStyle w:val="Compact"/>
              <w:jc w:val="left"/>
            </w:pPr>
            <w:r>
              <w:t xml:space="preserve">++–</w:t>
            </w:r>
          </w:p>
        </w:tc>
        <w:tc>
          <w:tcPr/>
          <w:p>
            <w:pPr>
              <w:pStyle w:val="Compact"/>
              <w:jc w:val="left"/>
            </w:pPr>
            <w:r>
              <w:t xml:space="preserve">12:58</w:t>
            </w:r>
          </w:p>
        </w:tc>
        <w:tc>
          <w:tcPr/>
          <w:p>
            <w:pPr>
              <w:pStyle w:val="Compact"/>
              <w:jc w:val="left"/>
            </w:pPr>
            <w:r>
              <w:t xml:space="preserve">βαλη σε [24%] || ~ 21 [76%]</w:t>
            </w:r>
          </w:p>
        </w:tc>
      </w:tr>
      <w:tr>
        <w:tc>
          <w:tcPr/>
          <w:p>
            <w:pPr>
              <w:pStyle w:val="Compact"/>
              <w:jc w:val="left"/>
            </w:pPr>
            <w:r>
              <w:t xml:space="preserve">++–</w:t>
            </w:r>
          </w:p>
        </w:tc>
        <w:tc>
          <w:tcPr/>
          <w:p>
            <w:pPr>
              <w:pStyle w:val="Compact"/>
              <w:jc w:val="left"/>
            </w:pPr>
            <w:r>
              <w:t xml:space="preserve">13:28</w:t>
            </w:r>
          </w:p>
        </w:tc>
        <w:tc>
          <w:tcPr/>
          <w:p>
            <w:pPr>
              <w:pStyle w:val="Compact"/>
              <w:jc w:val="left"/>
            </w:pPr>
            <w:r>
              <w:t xml:space="preserve">οψεσθε [27%] || οψησθε [73%]</w:t>
            </w:r>
          </w:p>
        </w:tc>
      </w:tr>
      <w:tr>
        <w:tc>
          <w:tcPr/>
          <w:p>
            <w:pPr>
              <w:pStyle w:val="Compact"/>
              <w:jc w:val="left"/>
            </w:pPr>
            <w:r>
              <w:t xml:space="preserve">+++</w:t>
            </w:r>
          </w:p>
        </w:tc>
        <w:tc>
          <w:tcPr/>
          <w:p>
            <w:pPr>
              <w:pStyle w:val="Compact"/>
              <w:jc w:val="left"/>
            </w:pPr>
            <w:r>
              <w:t xml:space="preserve">14:9</w:t>
            </w:r>
          </w:p>
        </w:tc>
        <w:tc>
          <w:tcPr/>
          <w:p>
            <w:pPr>
              <w:pStyle w:val="Compact"/>
              <w:jc w:val="left"/>
            </w:pPr>
            <w:r>
              <w:t xml:space="preserve">συ [20%] || σοι [80%]</w:t>
            </w:r>
          </w:p>
        </w:tc>
      </w:tr>
      <w:tr>
        <w:tc>
          <w:tcPr/>
          <w:p>
            <w:pPr>
              <w:pStyle w:val="Compact"/>
              <w:jc w:val="left"/>
            </w:pPr>
            <w:r>
              <w:t xml:space="preserve">+</w:t>
            </w:r>
          </w:p>
        </w:tc>
        <w:tc>
          <w:tcPr/>
          <w:p>
            <w:pPr>
              <w:pStyle w:val="Compact"/>
              <w:jc w:val="left"/>
            </w:pPr>
            <w:r>
              <w:t xml:space="preserve">14:21</w:t>
            </w:r>
          </w:p>
        </w:tc>
        <w:tc>
          <w:tcPr/>
          <w:p>
            <w:pPr>
              <w:pStyle w:val="Compact"/>
              <w:jc w:val="left"/>
            </w:pPr>
            <w:r>
              <w:t xml:space="preserve">τυφλους και χωλους [42%] || ~ 321 [57%]</w:t>
            </w:r>
          </w:p>
        </w:tc>
      </w:tr>
      <w:tr>
        <w:tc>
          <w:tcPr/>
          <w:p>
            <w:pPr>
              <w:pStyle w:val="Compact"/>
              <w:jc w:val="left"/>
            </w:pPr>
            <w:r>
              <w:t xml:space="preserve">+–</w:t>
            </w:r>
          </w:p>
        </w:tc>
        <w:tc>
          <w:tcPr/>
          <w:p>
            <w:pPr>
              <w:pStyle w:val="Compact"/>
              <w:jc w:val="left"/>
            </w:pPr>
            <w:r>
              <w:t xml:space="preserve">14:26</w:t>
            </w:r>
          </w:p>
        </w:tc>
        <w:tc>
          <w:tcPr/>
          <w:p>
            <w:pPr>
              <w:pStyle w:val="Compact"/>
              <w:jc w:val="left"/>
            </w:pPr>
            <w:r>
              <w:t xml:space="preserve">μου ειναι μαθητης [36%] || ~ 132 [60%]</w:t>
            </w:r>
          </w:p>
        </w:tc>
      </w:tr>
      <w:tr>
        <w:tc>
          <w:tcPr/>
          <w:p>
            <w:pPr>
              <w:pStyle w:val="Compact"/>
              <w:jc w:val="left"/>
            </w:pPr>
            <w:r>
              <w:t xml:space="preserve">+</w:t>
            </w:r>
          </w:p>
        </w:tc>
        <w:tc>
          <w:tcPr/>
          <w:p>
            <w:pPr>
              <w:pStyle w:val="Compact"/>
              <w:jc w:val="left"/>
            </w:pPr>
            <w:r>
              <w:t xml:space="preserve">15:20</w:t>
            </w:r>
          </w:p>
        </w:tc>
        <w:tc>
          <w:tcPr/>
          <w:p>
            <w:pPr>
              <w:pStyle w:val="Compact"/>
              <w:jc w:val="left"/>
            </w:pPr>
            <w:r>
              <w:t xml:space="preserve">εαυτου [42%] || αυτου [58%]</w:t>
            </w:r>
          </w:p>
        </w:tc>
      </w:tr>
      <w:tr>
        <w:tc>
          <w:tcPr/>
          <w:p>
            <w:pPr>
              <w:pStyle w:val="Compact"/>
              <w:jc w:val="left"/>
            </w:pPr>
            <w:r>
              <w:t xml:space="preserve">++–</w:t>
            </w:r>
          </w:p>
        </w:tc>
        <w:tc>
          <w:tcPr/>
          <w:p>
            <w:pPr>
              <w:pStyle w:val="Compact"/>
              <w:jc w:val="left"/>
            </w:pPr>
            <w:r>
              <w:t xml:space="preserve">16:22</w:t>
            </w:r>
          </w:p>
        </w:tc>
        <w:tc>
          <w:tcPr/>
          <w:p>
            <w:pPr>
              <w:pStyle w:val="Compact"/>
              <w:jc w:val="left"/>
            </w:pPr>
            <w:r>
              <w:t xml:space="preserve">του [26%] || — [74%]</w:t>
            </w:r>
          </w:p>
        </w:tc>
      </w:tr>
      <w:tr>
        <w:tc>
          <w:tcPr/>
          <w:p>
            <w:pPr>
              <w:pStyle w:val="Compact"/>
              <w:jc w:val="left"/>
            </w:pPr>
            <w:r>
              <w:t xml:space="preserve">++</w:t>
            </w:r>
          </w:p>
        </w:tc>
        <w:tc>
          <w:tcPr/>
          <w:p>
            <w:pPr>
              <w:pStyle w:val="Compact"/>
              <w:jc w:val="left"/>
            </w:pPr>
            <w:r>
              <w:t xml:space="preserve">16:25</w:t>
            </w:r>
          </w:p>
        </w:tc>
        <w:tc>
          <w:tcPr/>
          <w:p>
            <w:pPr>
              <w:pStyle w:val="Compact"/>
              <w:jc w:val="left"/>
            </w:pPr>
            <w:r>
              <w:t xml:space="preserve">οδε [30%] || ωδε [70%]</w:t>
            </w:r>
          </w:p>
        </w:tc>
      </w:tr>
      <w:tr>
        <w:tc>
          <w:tcPr/>
          <w:p>
            <w:pPr>
              <w:pStyle w:val="Compact"/>
              <w:jc w:val="left"/>
            </w:pPr>
            <w:r>
              <w:t xml:space="preserve">++</w:t>
            </w:r>
          </w:p>
        </w:tc>
        <w:tc>
          <w:tcPr/>
          <w:p>
            <w:pPr>
              <w:pStyle w:val="Compact"/>
              <w:jc w:val="left"/>
            </w:pPr>
            <w:r>
              <w:t xml:space="preserve">17:37</w:t>
            </w:r>
          </w:p>
        </w:tc>
        <w:tc>
          <w:tcPr/>
          <w:p>
            <w:pPr>
              <w:pStyle w:val="Compact"/>
              <w:jc w:val="left"/>
            </w:pPr>
            <w:r>
              <w:t xml:space="preserve">και [29%] || — [68%]</w:t>
            </w:r>
          </w:p>
        </w:tc>
      </w:tr>
      <w:tr>
        <w:tc>
          <w:tcPr/>
          <w:p>
            <w:pPr>
              <w:pStyle w:val="Compact"/>
              <w:jc w:val="left"/>
            </w:pPr>
            <w:r>
              <w:t xml:space="preserve">+–</w:t>
            </w:r>
          </w:p>
        </w:tc>
        <w:tc>
          <w:tcPr/>
          <w:p>
            <w:pPr>
              <w:pStyle w:val="Compact"/>
              <w:jc w:val="left"/>
            </w:pPr>
            <w:r>
              <w:t xml:space="preserve">19:15</w:t>
            </w:r>
          </w:p>
        </w:tc>
        <w:tc>
          <w:tcPr/>
          <w:p>
            <w:pPr>
              <w:pStyle w:val="Compact"/>
              <w:jc w:val="left"/>
            </w:pPr>
            <w:r>
              <w:t xml:space="preserve">βασιλειαν [37%] || 1 και [63%]</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την [23%] || — [77%]</w:t>
            </w:r>
          </w:p>
        </w:tc>
      </w:tr>
      <w:tr>
        <w:tc>
          <w:tcPr/>
          <w:p>
            <w:pPr>
              <w:pStyle w:val="Compact"/>
              <w:jc w:val="left"/>
            </w:pPr>
            <w:r>
              <w:t xml:space="preserve">+++</w:t>
            </w:r>
          </w:p>
        </w:tc>
        <w:tc>
          <w:tcPr/>
          <w:p>
            <w:pPr>
              <w:pStyle w:val="Compact"/>
              <w:jc w:val="left"/>
            </w:pPr>
            <w:r>
              <w:t xml:space="preserve">20:10</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20:11</w:t>
            </w:r>
          </w:p>
        </w:tc>
        <w:tc>
          <w:tcPr/>
          <w:p>
            <w:pPr>
              <w:pStyle w:val="Compact"/>
              <w:jc w:val="left"/>
            </w:pPr>
            <w:r>
              <w:t xml:space="preserve">δηραντες [20%] || δειραντες [80%]</w:t>
            </w:r>
          </w:p>
        </w:tc>
      </w:tr>
      <w:tr>
        <w:tc>
          <w:tcPr/>
          <w:p>
            <w:pPr>
              <w:pStyle w:val="Compact"/>
              <w:jc w:val="left"/>
            </w:pPr>
            <w:r>
              <w:t xml:space="preserve">++–</w:t>
            </w:r>
          </w:p>
        </w:tc>
        <w:tc>
          <w:tcPr/>
          <w:p>
            <w:pPr>
              <w:pStyle w:val="Compact"/>
              <w:jc w:val="left"/>
            </w:pPr>
            <w:r>
              <w:t xml:space="preserve">20:15</w:t>
            </w:r>
          </w:p>
        </w:tc>
        <w:tc>
          <w:tcPr/>
          <w:p>
            <w:pPr>
              <w:pStyle w:val="Compact"/>
              <w:jc w:val="left"/>
            </w:pPr>
            <w:r>
              <w:t xml:space="preserve">εκβαλοντες [24%] || 1 αυτον [76%]</w:t>
            </w:r>
          </w:p>
        </w:tc>
      </w:tr>
      <w:tr>
        <w:tc>
          <w:tcPr/>
          <w:p>
            <w:pPr>
              <w:pStyle w:val="Compact"/>
              <w:jc w:val="left"/>
            </w:pPr>
            <w:r>
              <w:t xml:space="preserve">+++</w:t>
            </w:r>
          </w:p>
        </w:tc>
        <w:tc>
          <w:tcPr/>
          <w:p>
            <w:pPr>
              <w:pStyle w:val="Compact"/>
              <w:jc w:val="left"/>
            </w:pPr>
            <w:r>
              <w:t xml:space="preserve">20:28</w:t>
            </w:r>
          </w:p>
        </w:tc>
        <w:tc>
          <w:tcPr/>
          <w:p>
            <w:pPr>
              <w:pStyle w:val="Compact"/>
              <w:jc w:val="left"/>
            </w:pPr>
            <w:r>
              <w:t xml:space="preserve">ο αδελφος αυτου λαβη [20%] || ~ 4123 [80%]</w:t>
            </w:r>
          </w:p>
        </w:tc>
      </w:tr>
      <w:tr>
        <w:tc>
          <w:tcPr/>
          <w:p>
            <w:pPr>
              <w:pStyle w:val="Compact"/>
              <w:jc w:val="left"/>
            </w:pPr>
            <w:r>
              <w:t xml:space="preserve">++</w:t>
            </w:r>
          </w:p>
        </w:tc>
        <w:tc>
          <w:tcPr/>
          <w:p>
            <w:pPr>
              <w:pStyle w:val="Compact"/>
              <w:jc w:val="left"/>
            </w:pPr>
            <w:r>
              <w:t xml:space="preserve">21:6</w:t>
            </w:r>
          </w:p>
        </w:tc>
        <w:tc>
          <w:tcPr/>
          <w:p>
            <w:pPr>
              <w:pStyle w:val="Compact"/>
              <w:jc w:val="left"/>
            </w:pPr>
            <w:r>
              <w:t xml:space="preserve">λιθον (32.2%) || λιθω (65.1%)</w:t>
            </w:r>
          </w:p>
        </w:tc>
      </w:tr>
      <w:tr>
        <w:tc>
          <w:tcPr/>
          <w:p>
            <w:pPr>
              <w:pStyle w:val="Compact"/>
              <w:jc w:val="left"/>
            </w:pPr>
            <w:r>
              <w:t xml:space="preserve">+–</w:t>
            </w:r>
          </w:p>
        </w:tc>
        <w:tc>
          <w:tcPr/>
          <w:p>
            <w:pPr>
              <w:pStyle w:val="Compact"/>
              <w:jc w:val="left"/>
            </w:pPr>
            <w:r>
              <w:t xml:space="preserve">21:12</w:t>
            </w:r>
          </w:p>
        </w:tc>
        <w:tc>
          <w:tcPr/>
          <w:p>
            <w:pPr>
              <w:pStyle w:val="Compact"/>
              <w:jc w:val="left"/>
            </w:pPr>
            <w:r>
              <w:t xml:space="preserve">απαντων [34%] || παντων [66%]</w:t>
            </w:r>
          </w:p>
        </w:tc>
      </w:tr>
      <w:tr>
        <w:tc>
          <w:tcPr/>
          <w:p>
            <w:pPr>
              <w:pStyle w:val="Compact"/>
              <w:jc w:val="left"/>
            </w:pPr>
            <w:r>
              <w:t xml:space="preserve">++</w:t>
            </w:r>
          </w:p>
        </w:tc>
        <w:tc>
          <w:tcPr/>
          <w:p>
            <w:pPr>
              <w:pStyle w:val="Compact"/>
              <w:jc w:val="left"/>
            </w:pPr>
            <w:r>
              <w:t xml:space="preserve">21:15</w:t>
            </w:r>
          </w:p>
        </w:tc>
        <w:tc>
          <w:tcPr/>
          <w:p>
            <w:pPr>
              <w:pStyle w:val="Compact"/>
              <w:jc w:val="left"/>
            </w:pPr>
            <w:r>
              <w:t xml:space="preserve">η [30%] || ουδε [68%]</w:t>
            </w:r>
          </w:p>
        </w:tc>
      </w:tr>
      <w:tr>
        <w:tc>
          <w:tcPr/>
          <w:p>
            <w:pPr>
              <w:pStyle w:val="Compact"/>
              <w:jc w:val="left"/>
            </w:pPr>
            <w:r>
              <w:t xml:space="preserve">++</w:t>
            </w:r>
          </w:p>
        </w:tc>
        <w:tc>
          <w:tcPr/>
          <w:p>
            <w:pPr>
              <w:pStyle w:val="Compact"/>
              <w:jc w:val="left"/>
            </w:pPr>
            <w:r>
              <w:t xml:space="preserve">21:30</w:t>
            </w:r>
          </w:p>
        </w:tc>
        <w:tc>
          <w:tcPr/>
          <w:p>
            <w:pPr>
              <w:pStyle w:val="Compact"/>
              <w:jc w:val="left"/>
            </w:pPr>
            <w:r>
              <w:t xml:space="preserve">προβαλλωσιν [28%] || προβαλωσιν [66%]</w:t>
            </w:r>
          </w:p>
        </w:tc>
      </w:tr>
      <w:tr>
        <w:tc>
          <w:tcPr/>
          <w:p>
            <w:pPr>
              <w:pStyle w:val="Compact"/>
              <w:jc w:val="left"/>
            </w:pPr>
            <w:r>
              <w:t xml:space="preserve">++</w:t>
            </w:r>
          </w:p>
        </w:tc>
        <w:tc>
          <w:tcPr/>
          <w:p>
            <w:pPr>
              <w:pStyle w:val="Compact"/>
              <w:jc w:val="left"/>
            </w:pPr>
            <w:r>
              <w:t xml:space="preserve">21:33</w:t>
            </w:r>
          </w:p>
        </w:tc>
        <w:tc>
          <w:tcPr/>
          <w:p>
            <w:pPr>
              <w:pStyle w:val="Compact"/>
              <w:jc w:val="left"/>
            </w:pPr>
            <w:r>
              <w:t xml:space="preserve">παρελευσεται [32%] || παρελευσονται [68%]</w:t>
            </w:r>
          </w:p>
        </w:tc>
      </w:tr>
      <w:tr>
        <w:tc>
          <w:tcPr/>
          <w:p>
            <w:pPr>
              <w:pStyle w:val="Compact"/>
              <w:jc w:val="left"/>
            </w:pPr>
            <w:r>
              <w:t xml:space="preserve">+–</w:t>
            </w:r>
          </w:p>
        </w:tc>
        <w:tc>
          <w:tcPr/>
          <w:p>
            <w:pPr>
              <w:pStyle w:val="Compact"/>
              <w:jc w:val="left"/>
            </w:pPr>
            <w:r>
              <w:t xml:space="preserve">22:27</w:t>
            </w:r>
          </w:p>
        </w:tc>
        <w:tc>
          <w:tcPr/>
          <w:p>
            <w:pPr>
              <w:pStyle w:val="Compact"/>
              <w:jc w:val="left"/>
            </w:pPr>
            <w:r>
              <w:t xml:space="preserve">ουχ [33%] || ουχι [67%]</w:t>
            </w:r>
          </w:p>
        </w:tc>
      </w:tr>
      <w:tr>
        <w:tc>
          <w:tcPr/>
          <w:p>
            <w:pPr>
              <w:pStyle w:val="Compact"/>
              <w:jc w:val="left"/>
            </w:pPr>
            <w:r>
              <w:t xml:space="preserve">+–</w:t>
            </w:r>
          </w:p>
        </w:tc>
        <w:tc>
          <w:tcPr/>
          <w:p>
            <w:pPr>
              <w:pStyle w:val="Compact"/>
              <w:jc w:val="left"/>
            </w:pPr>
            <w:r>
              <w:t xml:space="preserve">22:52</w:t>
            </w:r>
          </w:p>
        </w:tc>
        <w:tc>
          <w:tcPr/>
          <w:p>
            <w:pPr>
              <w:pStyle w:val="Compact"/>
              <w:jc w:val="left"/>
            </w:pPr>
            <w:r>
              <w:t xml:space="preserve">προς [33%] || επ [67%]</w:t>
            </w:r>
          </w:p>
        </w:tc>
      </w:tr>
      <w:tr>
        <w:tc>
          <w:tcPr/>
          <w:p>
            <w:pPr>
              <w:pStyle w:val="Compact"/>
              <w:jc w:val="left"/>
            </w:pPr>
            <w:r>
              <w:t xml:space="preserve">+–</w:t>
            </w:r>
          </w:p>
        </w:tc>
        <w:tc>
          <w:tcPr/>
          <w:p>
            <w:pPr>
              <w:pStyle w:val="Compact"/>
              <w:jc w:val="left"/>
            </w:pPr>
            <w:r>
              <w:t xml:space="preserve">22:54</w:t>
            </w:r>
          </w:p>
        </w:tc>
        <w:tc>
          <w:tcPr/>
          <w:p>
            <w:pPr>
              <w:pStyle w:val="Compact"/>
              <w:jc w:val="left"/>
            </w:pPr>
            <w:r>
              <w:t xml:space="preserve">εισηγαγον [37%] || 1 αυτον [55%]</w:t>
            </w:r>
          </w:p>
        </w:tc>
      </w:tr>
      <w:tr>
        <w:tc>
          <w:tcPr/>
          <w:p>
            <w:pPr>
              <w:pStyle w:val="Compact"/>
              <w:jc w:val="left"/>
            </w:pPr>
            <w:r>
              <w:t xml:space="preserve">+–</w:t>
            </w:r>
          </w:p>
        </w:tc>
        <w:tc>
          <w:tcPr/>
          <w:p>
            <w:pPr>
              <w:pStyle w:val="Compact"/>
              <w:jc w:val="left"/>
            </w:pPr>
            <w:r>
              <w:t xml:space="preserve">22:63</w:t>
            </w:r>
          </w:p>
        </w:tc>
        <w:tc>
          <w:tcPr/>
          <w:p>
            <w:pPr>
              <w:pStyle w:val="Compact"/>
              <w:jc w:val="left"/>
            </w:pPr>
            <w:r>
              <w:t xml:space="preserve">δαιροντες [35%] || δεροντες [65%]</w:t>
            </w:r>
          </w:p>
        </w:tc>
      </w:tr>
      <w:tr>
        <w:tc>
          <w:tcPr/>
          <w:p>
            <w:pPr>
              <w:pStyle w:val="Compact"/>
              <w:jc w:val="left"/>
            </w:pPr>
            <w:r>
              <w:t xml:space="preserve">++–</w:t>
            </w:r>
          </w:p>
        </w:tc>
        <w:tc>
          <w:tcPr/>
          <w:p>
            <w:pPr>
              <w:pStyle w:val="Compact"/>
              <w:jc w:val="left"/>
            </w:pPr>
            <w:r>
              <w:t xml:space="preserve">22:66</w:t>
            </w:r>
          </w:p>
        </w:tc>
        <w:tc>
          <w:tcPr/>
          <w:p>
            <w:pPr>
              <w:pStyle w:val="Compact"/>
              <w:jc w:val="left"/>
            </w:pPr>
            <w:r>
              <w:t xml:space="preserve">απηγαγον [24%] || ανηγαγον [75%]</w:t>
            </w:r>
          </w:p>
        </w:tc>
      </w:tr>
      <w:tr>
        <w:tc>
          <w:tcPr/>
          <w:p>
            <w:pPr>
              <w:pStyle w:val="Compact"/>
              <w:jc w:val="left"/>
            </w:pPr>
            <w:r>
              <w:t xml:space="preserve">++</w:t>
            </w:r>
          </w:p>
        </w:tc>
        <w:tc>
          <w:tcPr/>
          <w:p>
            <w:pPr>
              <w:pStyle w:val="Compact"/>
              <w:jc w:val="left"/>
            </w:pPr>
            <w:r>
              <w:t xml:space="preserve">23:51</w:t>
            </w:r>
          </w:p>
        </w:tc>
        <w:tc>
          <w:tcPr/>
          <w:p>
            <w:pPr>
              <w:pStyle w:val="Compact"/>
              <w:jc w:val="left"/>
            </w:pPr>
            <w:r>
              <w:t xml:space="preserve">ος [32%] || 1 και [67%]</w:t>
            </w:r>
          </w:p>
        </w:tc>
      </w:tr>
      <w:tr>
        <w:tc>
          <w:tcPr/>
          <w:p>
            <w:pPr>
              <w:pStyle w:val="Compact"/>
              <w:jc w:val="left"/>
            </w:pPr>
            <w:r>
              <w:t xml:space="preserve">++</w:t>
            </w:r>
          </w:p>
        </w:tc>
        <w:tc>
          <w:tcPr/>
          <w:p>
            <w:pPr>
              <w:pStyle w:val="Compact"/>
              <w:jc w:val="left"/>
            </w:pPr>
            <w:r>
              <w:t xml:space="preserve">24:19</w:t>
            </w:r>
          </w:p>
        </w:tc>
        <w:tc>
          <w:tcPr/>
          <w:p>
            <w:pPr>
              <w:pStyle w:val="Compact"/>
              <w:jc w:val="left"/>
            </w:pPr>
            <w:r>
              <w:t xml:space="preserve">ως [32%] || ος [68%]</w:t>
            </w:r>
          </w:p>
        </w:tc>
      </w:tr>
      <w:tr>
        <w:tc>
          <w:tcPr/>
          <w:p>
            <w:pPr>
              <w:pStyle w:val="Compact"/>
              <w:jc w:val="left"/>
            </w:pPr>
            <w:r>
              <w:t xml:space="preserve">++</w:t>
            </w:r>
          </w:p>
        </w:tc>
        <w:tc>
          <w:tcPr/>
          <w:p>
            <w:pPr>
              <w:pStyle w:val="Compact"/>
              <w:jc w:val="left"/>
            </w:pPr>
            <w:r>
              <w:t xml:space="preserve">24:36</w:t>
            </w:r>
          </w:p>
        </w:tc>
        <w:tc>
          <w:tcPr/>
          <w:p>
            <w:pPr>
              <w:pStyle w:val="Compact"/>
              <w:jc w:val="left"/>
            </w:pPr>
            <w:r>
              <w:t xml:space="preserve">και [32%] || — [68%]</w:t>
            </w:r>
          </w:p>
        </w:tc>
      </w:tr>
      <w:tr>
        <w:tc>
          <w:tcPr/>
          <w:p>
            <w:pPr>
              <w:pStyle w:val="Compact"/>
              <w:jc w:val="left"/>
            </w:pPr>
            <w:r>
              <w:t xml:space="preserve">++</w:t>
            </w:r>
          </w:p>
        </w:tc>
        <w:tc>
          <w:tcPr/>
          <w:p>
            <w:pPr>
              <w:pStyle w:val="Compact"/>
              <w:jc w:val="left"/>
            </w:pPr>
            <w:r>
              <w:t xml:space="preserve">24:42</w:t>
            </w:r>
          </w:p>
        </w:tc>
        <w:tc>
          <w:tcPr/>
          <w:p>
            <w:pPr>
              <w:pStyle w:val="Compact"/>
              <w:jc w:val="left"/>
            </w:pPr>
            <w:r>
              <w:t xml:space="preserve">μελισσειου [30%] || μελισσιου [70%]</w:t>
            </w:r>
          </w:p>
        </w:tc>
      </w:tr>
    </w:tbl>
    <w:p>
      <w:pPr>
        <w:pStyle w:val="BodyText"/>
      </w:pPr>
      <w:r>
        <w:rPr>
          <w:bCs/>
          <w:b/>
        </w:rPr>
        <w:t xml:space="preserve">Klucz:</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w:t>
            </w:r>
          </w:p>
        </w:tc>
        <w:tc>
          <w:tcPr/>
          <w:p>
            <w:pPr>
              <w:pStyle w:val="Compact"/>
              <w:jc w:val="left"/>
            </w:pPr>
            <w:r>
              <w:t xml:space="preserve">około 20% = praktycznie tylko</w:t>
            </w:r>
            <w:r>
              <w:t xml:space="preserve"> </w:t>
            </w:r>
            <w:r>
              <w:rPr>
                <w:bCs/>
                <w:b/>
              </w:rPr>
              <w:t xml:space="preserve">f</w:t>
            </w:r>
            <w:r>
              <w:rPr>
                <w:vertAlign w:val="superscript"/>
                <w:bCs/>
                <w:b/>
              </w:rPr>
              <w:t xml:space="preserve">35</w:t>
            </w:r>
            <w:r>
              <w:t xml:space="preserve"> </w:t>
            </w:r>
            <w:r>
              <w:t xml:space="preserve">= diagnostyczne (12)</w:t>
            </w:r>
          </w:p>
        </w:tc>
      </w:tr>
      <w:tr>
        <w:tc>
          <w:tcPr/>
          <w:p>
            <w:pPr>
              <w:pStyle w:val="Compact"/>
              <w:jc w:val="left"/>
            </w:pPr>
            <w:r>
              <w:t xml:space="preserve">++–</w:t>
            </w:r>
          </w:p>
        </w:tc>
        <w:tc>
          <w:tcPr/>
          <w:p>
            <w:pPr>
              <w:pStyle w:val="Compact"/>
              <w:jc w:val="left"/>
            </w:pPr>
            <w:r>
              <w:t xml:space="preserve">około 25% = całkiem dobre (17)</w:t>
            </w:r>
          </w:p>
        </w:tc>
      </w:tr>
      <w:tr>
        <w:tc>
          <w:tcPr/>
          <w:p>
            <w:pPr>
              <w:pStyle w:val="Compact"/>
              <w:jc w:val="left"/>
            </w:pPr>
            <w:r>
              <w:t xml:space="preserve">++</w:t>
            </w:r>
          </w:p>
        </w:tc>
        <w:tc>
          <w:tcPr/>
          <w:p>
            <w:pPr>
              <w:pStyle w:val="Compact"/>
              <w:jc w:val="left"/>
            </w:pPr>
            <w:r>
              <w:t xml:space="preserve">około 30% = niezłe (17)</w:t>
            </w:r>
          </w:p>
        </w:tc>
      </w:tr>
      <w:tr>
        <w:tc>
          <w:tcPr/>
          <w:p>
            <w:pPr>
              <w:pStyle w:val="Compact"/>
              <w:jc w:val="left"/>
            </w:pPr>
            <w:r>
              <w:t xml:space="preserve">+–</w:t>
            </w:r>
          </w:p>
        </w:tc>
        <w:tc>
          <w:tcPr/>
          <w:p>
            <w:pPr>
              <w:pStyle w:val="Compact"/>
              <w:jc w:val="left"/>
            </w:pPr>
            <w:r>
              <w:t xml:space="preserve">około 35% (15)</w:t>
            </w:r>
          </w:p>
        </w:tc>
      </w:tr>
      <w:tr>
        <w:tc>
          <w:tcPr/>
          <w:p>
            <w:pPr>
              <w:pStyle w:val="Compact"/>
              <w:jc w:val="left"/>
            </w:pPr>
            <w:r>
              <w:t xml:space="preserve">+</w:t>
            </w:r>
          </w:p>
        </w:tc>
        <w:tc>
          <w:tcPr/>
          <w:p>
            <w:pPr>
              <w:pStyle w:val="Compact"/>
              <w:jc w:val="left"/>
            </w:pPr>
            <w:r>
              <w:t xml:space="preserve">około 40% (12)</w:t>
            </w:r>
          </w:p>
        </w:tc>
      </w:tr>
    </w:tbl>
    <w:p>
      <w:pPr>
        <w:pStyle w:val="BodyText"/>
      </w:pPr>
      <w:r>
        <w:t xml:space="preserve">Łącznie: 73</w:t>
      </w:r>
    </w:p>
    <w:p>
      <w:pPr>
        <w:pStyle w:val="BodyText"/>
      </w:pPr>
      <w:r>
        <w:rPr>
          <w:bCs/>
          <w:b/>
        </w:rPr>
        <w:t xml:space="preserve">Ewangelia Jana</w:t>
      </w:r>
    </w:p>
    <w:tbl>
      <w:tblPr>
        <w:tblStyle w:val="Table"/>
        <w:tblW w:type="pct" w:w="5000"/>
        <w:tblLook w:firstRow="0" w:lastRow="0" w:firstColumn="0" w:lastColumn="0" w:noHBand="0" w:noVBand="0" w:val="0000"/>
        <w:jc w:val="start"/>
      </w:tblPr>
      <w:tblGrid>
        <w:gridCol w:w="2640"/>
        <w:gridCol w:w="2640"/>
        <w:gridCol w:w="2640"/>
      </w:tblGrid>
      <w:tr>
        <w:tc>
          <w:tcPr/>
          <w:p>
            <w:pPr>
              <w:pStyle w:val="Compact"/>
              <w:jc w:val="left"/>
            </w:pPr>
            <w:r>
              <w:t xml:space="preserve">++–</w:t>
            </w:r>
          </w:p>
        </w:tc>
        <w:tc>
          <w:tcPr/>
          <w:p>
            <w:pPr>
              <w:pStyle w:val="Compact"/>
              <w:jc w:val="left"/>
            </w:pPr>
            <w:r>
              <w:t xml:space="preserve">1:28</w:t>
            </w:r>
          </w:p>
        </w:tc>
        <w:tc>
          <w:tcPr/>
          <w:p>
            <w:pPr>
              <w:pStyle w:val="Compact"/>
              <w:jc w:val="left"/>
            </w:pPr>
            <w:r>
              <w:t xml:space="preserve">βιθαβαρα [25%] || βηθανια [65%] ||</w:t>
            </w:r>
          </w:p>
        </w:tc>
      </w:tr>
      <w:tr>
        <w:tc>
          <w:tcPr/>
          <w:p>
            <w:pPr>
              <w:pStyle w:val="Compact"/>
              <w:jc w:val="left"/>
            </w:pPr>
            <w:r>
              <w:t xml:space="preserve">+</w:t>
            </w:r>
          </w:p>
        </w:tc>
        <w:tc>
          <w:tcPr/>
          <w:p>
            <w:pPr>
              <w:pStyle w:val="Compact"/>
              <w:jc w:val="left"/>
            </w:pPr>
            <w:r>
              <w:t xml:space="preserve">1:45</w:t>
            </w:r>
          </w:p>
        </w:tc>
        <w:tc>
          <w:tcPr/>
          <w:p>
            <w:pPr>
              <w:pStyle w:val="Compact"/>
              <w:jc w:val="left"/>
            </w:pPr>
            <w:r>
              <w:t xml:space="preserve">υιον [40%] || 1 του [60%]</w:t>
            </w:r>
          </w:p>
        </w:tc>
      </w:tr>
      <w:tr>
        <w:tc>
          <w:tcPr/>
          <w:p>
            <w:pPr>
              <w:pStyle w:val="Compact"/>
              <w:jc w:val="left"/>
            </w:pPr>
            <w:r>
              <w:t xml:space="preserve">+</w:t>
            </w:r>
          </w:p>
        </w:tc>
        <w:tc>
          <w:tcPr/>
          <w:p>
            <w:pPr>
              <w:pStyle w:val="Compact"/>
              <w:jc w:val="left"/>
            </w:pPr>
            <w:r>
              <w:t xml:space="preserve">3:4</w:t>
            </w:r>
          </w:p>
        </w:tc>
        <w:tc>
          <w:tcPr/>
          <w:p>
            <w:pPr>
              <w:pStyle w:val="Compact"/>
              <w:jc w:val="left"/>
            </w:pPr>
            <w:r>
              <w:t xml:space="preserve">αυτον [40%] || 1 ο [60%]</w:t>
            </w:r>
          </w:p>
        </w:tc>
      </w:tr>
      <w:tr>
        <w:tc>
          <w:tcPr/>
          <w:p>
            <w:pPr>
              <w:pStyle w:val="Compact"/>
              <w:jc w:val="left"/>
            </w:pPr>
            <w:r>
              <w:t xml:space="preserve">+++</w:t>
            </w:r>
          </w:p>
        </w:tc>
        <w:tc>
          <w:tcPr/>
          <w:p>
            <w:pPr>
              <w:pStyle w:val="Compact"/>
              <w:jc w:val="left"/>
            </w:pPr>
            <w:r>
              <w:t xml:space="preserve">4:1</w:t>
            </w:r>
          </w:p>
        </w:tc>
        <w:tc>
          <w:tcPr/>
          <w:p>
            <w:pPr>
              <w:pStyle w:val="Compact"/>
              <w:jc w:val="left"/>
            </w:pPr>
            <w:r>
              <w:t xml:space="preserve">ιησους (21.7%) || κυριος (76.9%)</w:t>
            </w:r>
          </w:p>
        </w:tc>
      </w:tr>
      <w:tr>
        <w:tc>
          <w:tcPr/>
          <w:p>
            <w:pPr>
              <w:pStyle w:val="Compact"/>
              <w:jc w:val="left"/>
            </w:pPr>
            <w:r>
              <w:t xml:space="preserve">+</w:t>
            </w:r>
          </w:p>
        </w:tc>
        <w:tc>
          <w:tcPr/>
          <w:p>
            <w:pPr>
              <w:pStyle w:val="Compact"/>
              <w:jc w:val="left"/>
            </w:pPr>
            <w:r>
              <w:t xml:space="preserve">4:5</w:t>
            </w:r>
          </w:p>
        </w:tc>
        <w:tc>
          <w:tcPr/>
          <w:p>
            <w:pPr>
              <w:pStyle w:val="Compact"/>
              <w:jc w:val="left"/>
            </w:pPr>
            <w:r>
              <w:t xml:space="preserve">ου [40%] || ο [60%]</w:t>
            </w:r>
          </w:p>
        </w:tc>
      </w:tr>
      <w:tr>
        <w:tc>
          <w:tcPr/>
          <w:p>
            <w:pPr>
              <w:pStyle w:val="Compact"/>
              <w:jc w:val="left"/>
            </w:pPr>
            <w:r>
              <w:t xml:space="preserve">+–</w:t>
            </w:r>
          </w:p>
        </w:tc>
        <w:tc>
          <w:tcPr/>
          <w:p>
            <w:pPr>
              <w:pStyle w:val="Compact"/>
              <w:jc w:val="left"/>
            </w:pPr>
            <w:r>
              <w:t xml:space="preserve">4:35</w:t>
            </w:r>
          </w:p>
        </w:tc>
        <w:tc>
          <w:tcPr/>
          <w:p>
            <w:pPr>
              <w:pStyle w:val="Compact"/>
              <w:jc w:val="left"/>
            </w:pPr>
            <w:r>
              <w:t xml:space="preserve">οτι [35%] || 1 ετι [65%]</w:t>
            </w:r>
          </w:p>
        </w:tc>
      </w:tr>
      <w:tr>
        <w:tc>
          <w:tcPr/>
          <w:p>
            <w:pPr>
              <w:pStyle w:val="Compact"/>
              <w:jc w:val="left"/>
            </w:pPr>
            <w:r>
              <w:t xml:space="preserve">+++</w:t>
            </w:r>
          </w:p>
        </w:tc>
        <w:tc>
          <w:tcPr/>
          <w:p>
            <w:pPr>
              <w:pStyle w:val="Compact"/>
              <w:jc w:val="left"/>
            </w:pPr>
            <w:r>
              <w:t xml:space="preserve">5:44</w:t>
            </w:r>
          </w:p>
        </w:tc>
        <w:tc>
          <w:tcPr/>
          <w:p>
            <w:pPr>
              <w:pStyle w:val="Compact"/>
              <w:jc w:val="left"/>
            </w:pPr>
            <w:r>
              <w:t xml:space="preserve">ανθρωπων (22.6%) || αλληλων (77.2%)</w:t>
            </w:r>
          </w:p>
        </w:tc>
      </w:tr>
      <w:tr>
        <w:tc>
          <w:tcPr/>
          <w:p>
            <w:pPr>
              <w:pStyle w:val="Compact"/>
              <w:jc w:val="left"/>
            </w:pPr>
            <w:r>
              <w:t xml:space="preserve">++–</w:t>
            </w:r>
          </w:p>
        </w:tc>
        <w:tc>
          <w:tcPr/>
          <w:p>
            <w:pPr>
              <w:pStyle w:val="Compact"/>
              <w:jc w:val="left"/>
            </w:pPr>
            <w:r>
              <w:t xml:space="preserve">5:46</w:t>
            </w:r>
          </w:p>
        </w:tc>
        <w:tc>
          <w:tcPr/>
          <w:p>
            <w:pPr>
              <w:pStyle w:val="Compact"/>
              <w:jc w:val="left"/>
            </w:pPr>
            <w:r>
              <w:t xml:space="preserve">εμου γαρ [25%] || ~ 21 [75%]</w:t>
            </w:r>
          </w:p>
        </w:tc>
      </w:tr>
      <w:tr>
        <w:tc>
          <w:tcPr/>
          <w:p>
            <w:pPr>
              <w:pStyle w:val="Compact"/>
              <w:jc w:val="left"/>
            </w:pPr>
            <w:r>
              <w:t xml:space="preserve">++–</w:t>
            </w:r>
          </w:p>
        </w:tc>
        <w:tc>
          <w:tcPr/>
          <w:p>
            <w:pPr>
              <w:pStyle w:val="Compact"/>
              <w:jc w:val="left"/>
            </w:pPr>
            <w:r>
              <w:t xml:space="preserve">6:12</w:t>
            </w:r>
          </w:p>
        </w:tc>
        <w:tc>
          <w:tcPr/>
          <w:p>
            <w:pPr>
              <w:pStyle w:val="Compact"/>
              <w:jc w:val="left"/>
            </w:pPr>
            <w:r>
              <w:t xml:space="preserve">των κλασματων [25%] || κλασματα [75%]</w:t>
            </w:r>
          </w:p>
        </w:tc>
      </w:tr>
      <w:tr>
        <w:tc>
          <w:tcPr/>
          <w:p>
            <w:pPr>
              <w:pStyle w:val="Compact"/>
              <w:jc w:val="left"/>
            </w:pPr>
            <w:r>
              <w:t xml:space="preserve">++</w:t>
            </w:r>
          </w:p>
        </w:tc>
        <w:tc>
          <w:tcPr/>
          <w:p>
            <w:pPr>
              <w:pStyle w:val="Compact"/>
              <w:jc w:val="left"/>
            </w:pPr>
            <w:r>
              <w:t xml:space="preserve">6:58</w:t>
            </w:r>
          </w:p>
        </w:tc>
        <w:tc>
          <w:tcPr/>
          <w:p>
            <w:pPr>
              <w:pStyle w:val="Compact"/>
              <w:jc w:val="left"/>
            </w:pPr>
            <w:r>
              <w:t xml:space="preserve">μου [30%] || — [70%]</w:t>
            </w:r>
          </w:p>
        </w:tc>
      </w:tr>
      <w:tr>
        <w:tc>
          <w:tcPr/>
          <w:p>
            <w:pPr>
              <w:pStyle w:val="Compact"/>
              <w:jc w:val="left"/>
            </w:pPr>
            <w:r>
              <w:t xml:space="preserve">++</w:t>
            </w:r>
          </w:p>
        </w:tc>
        <w:tc>
          <w:tcPr/>
          <w:p>
            <w:pPr>
              <w:pStyle w:val="Compact"/>
              <w:jc w:val="left"/>
            </w:pPr>
            <w:r>
              <w:t xml:space="preserve">7:3</w:t>
            </w:r>
          </w:p>
        </w:tc>
        <w:tc>
          <w:tcPr/>
          <w:p>
            <w:pPr>
              <w:pStyle w:val="Compact"/>
              <w:jc w:val="left"/>
            </w:pPr>
            <w:r>
              <w:t xml:space="preserve">εργα [30%] || 1 σου [63.5%] ||</w:t>
            </w:r>
          </w:p>
        </w:tc>
      </w:tr>
      <w:tr>
        <w:tc>
          <w:tcPr/>
          <w:p>
            <w:pPr>
              <w:pStyle w:val="Compact"/>
              <w:jc w:val="left"/>
            </w:pPr>
            <w:r>
              <w:t xml:space="preserve">+</w:t>
            </w:r>
          </w:p>
        </w:tc>
        <w:tc>
          <w:tcPr/>
          <w:p>
            <w:pPr>
              <w:pStyle w:val="Compact"/>
              <w:jc w:val="left"/>
            </w:pPr>
            <w:r>
              <w:t xml:space="preserve">7:31</w:t>
            </w:r>
          </w:p>
        </w:tc>
        <w:tc>
          <w:tcPr/>
          <w:p>
            <w:pPr>
              <w:pStyle w:val="Compact"/>
              <w:jc w:val="left"/>
            </w:pPr>
            <w:r>
              <w:t xml:space="preserve">σημεια [40%] || 1 τουτων [55%]</w:t>
            </w:r>
          </w:p>
        </w:tc>
      </w:tr>
      <w:tr>
        <w:tc>
          <w:tcPr/>
          <w:p>
            <w:pPr>
              <w:pStyle w:val="Compact"/>
              <w:jc w:val="left"/>
            </w:pPr>
            <w:r>
              <w:t xml:space="preserve">++</w:t>
            </w:r>
          </w:p>
        </w:tc>
        <w:tc>
          <w:tcPr/>
          <w:p>
            <w:pPr>
              <w:pStyle w:val="Compact"/>
              <w:jc w:val="left"/>
            </w:pPr>
            <w:r>
              <w:t xml:space="preserve">7:39</w:t>
            </w:r>
          </w:p>
        </w:tc>
        <w:tc>
          <w:tcPr/>
          <w:p>
            <w:pPr>
              <w:pStyle w:val="Compact"/>
              <w:jc w:val="left"/>
            </w:pPr>
            <w:r>
              <w:t xml:space="preserve">ο [30%] || ου [70%]</w:t>
            </w:r>
          </w:p>
        </w:tc>
      </w:tr>
      <w:tr>
        <w:tc>
          <w:tcPr/>
          <w:p>
            <w:pPr>
              <w:pStyle w:val="Compact"/>
              <w:jc w:val="left"/>
            </w:pPr>
            <w:r>
              <w:t xml:space="preserve">+</w:t>
            </w:r>
          </w:p>
        </w:tc>
        <w:tc>
          <w:tcPr/>
          <w:p>
            <w:pPr>
              <w:pStyle w:val="Compact"/>
              <w:jc w:val="left"/>
            </w:pPr>
            <w:r>
              <w:t xml:space="preserve">8:4</w:t>
            </w:r>
          </w:p>
        </w:tc>
        <w:tc>
          <w:tcPr/>
          <w:p>
            <w:pPr>
              <w:pStyle w:val="Compact"/>
              <w:jc w:val="left"/>
            </w:pPr>
            <w:r>
              <w:t xml:space="preserve">αυτοφωρω [40%] || αυτοφορω [60%]</w:t>
            </w:r>
          </w:p>
        </w:tc>
      </w:tr>
      <w:tr>
        <w:tc>
          <w:tcPr/>
          <w:p>
            <w:pPr>
              <w:pStyle w:val="Compact"/>
              <w:jc w:val="left"/>
            </w:pPr>
            <w:r>
              <w:t xml:space="preserve">++++</w:t>
            </w:r>
          </w:p>
        </w:tc>
        <w:tc>
          <w:tcPr/>
          <w:p>
            <w:pPr>
              <w:pStyle w:val="Compact"/>
              <w:jc w:val="left"/>
            </w:pPr>
            <w:r>
              <w:t xml:space="preserve">8:7</w:t>
            </w:r>
          </w:p>
        </w:tc>
        <w:tc>
          <w:tcPr/>
          <w:p>
            <w:pPr>
              <w:pStyle w:val="Compact"/>
              <w:jc w:val="left"/>
            </w:pPr>
            <w:r>
              <w:t xml:space="preserve">τον λιθον επ αυτη βαλετω [18%] || || || || || (5-way split)</w:t>
            </w:r>
          </w:p>
        </w:tc>
      </w:tr>
      <w:tr>
        <w:tc>
          <w:tcPr/>
          <w:p>
            <w:pPr>
              <w:pStyle w:val="Compact"/>
              <w:jc w:val="left"/>
            </w:pPr>
            <w:r>
              <w:t xml:space="preserve">+</w:t>
            </w:r>
          </w:p>
        </w:tc>
        <w:tc>
          <w:tcPr/>
          <w:p>
            <w:pPr>
              <w:pStyle w:val="Compact"/>
              <w:jc w:val="left"/>
            </w:pPr>
            <w:r>
              <w:t xml:space="preserve">8:14</w:t>
            </w:r>
          </w:p>
        </w:tc>
        <w:tc>
          <w:tcPr/>
          <w:p>
            <w:pPr>
              <w:pStyle w:val="Compact"/>
              <w:jc w:val="left"/>
            </w:pPr>
            <w:r>
              <w:t xml:space="preserve">η [40%] || και [50%] ||</w:t>
            </w:r>
          </w:p>
        </w:tc>
      </w:tr>
      <w:tr>
        <w:tc>
          <w:tcPr/>
          <w:p>
            <w:pPr>
              <w:pStyle w:val="Compact"/>
              <w:jc w:val="left"/>
            </w:pPr>
            <w:r>
              <w:t xml:space="preserve">++</w:t>
            </w:r>
          </w:p>
        </w:tc>
        <w:tc>
          <w:tcPr/>
          <w:p>
            <w:pPr>
              <w:pStyle w:val="Compact"/>
              <w:jc w:val="left"/>
            </w:pPr>
            <w:r>
              <w:t xml:space="preserve">8:33</w:t>
            </w:r>
          </w:p>
        </w:tc>
        <w:tc>
          <w:tcPr/>
          <w:p>
            <w:pPr>
              <w:pStyle w:val="Compact"/>
              <w:jc w:val="left"/>
            </w:pPr>
            <w:r>
              <w:t xml:space="preserve">και ειπον [30%] || — [70%]</w:t>
            </w:r>
          </w:p>
        </w:tc>
      </w:tr>
      <w:tr>
        <w:tc>
          <w:tcPr/>
          <w:p>
            <w:pPr>
              <w:pStyle w:val="Compact"/>
              <w:jc w:val="left"/>
            </w:pPr>
            <w:r>
              <w:t xml:space="preserve">++</w:t>
            </w:r>
          </w:p>
        </w:tc>
        <w:tc>
          <w:tcPr/>
          <w:p>
            <w:pPr>
              <w:pStyle w:val="Compact"/>
              <w:jc w:val="left"/>
            </w:pPr>
            <w:r>
              <w:t xml:space="preserve">9:17</w:t>
            </w:r>
          </w:p>
        </w:tc>
        <w:tc>
          <w:tcPr/>
          <w:p>
            <w:pPr>
              <w:pStyle w:val="Compact"/>
              <w:jc w:val="left"/>
            </w:pPr>
            <w:r>
              <w:t xml:space="preserve">ουν [30%] || — [70%]</w:t>
            </w:r>
          </w:p>
        </w:tc>
      </w:tr>
      <w:tr>
        <w:tc>
          <w:tcPr/>
          <w:p>
            <w:pPr>
              <w:pStyle w:val="Compact"/>
              <w:jc w:val="left"/>
            </w:pPr>
            <w:r>
              <w:t xml:space="preserve">++</w:t>
            </w:r>
          </w:p>
        </w:tc>
        <w:tc>
          <w:tcPr/>
          <w:p>
            <w:pPr>
              <w:pStyle w:val="Compact"/>
              <w:jc w:val="left"/>
            </w:pPr>
            <w:r>
              <w:t xml:space="preserve">9:26</w:t>
            </w:r>
          </w:p>
        </w:tc>
        <w:tc>
          <w:tcPr/>
          <w:p>
            <w:pPr>
              <w:pStyle w:val="Compact"/>
              <w:jc w:val="left"/>
            </w:pPr>
            <w:r>
              <w:t xml:space="preserve">ανεωξεν [30%] || ηνοιξεν [63%]</w:t>
            </w:r>
          </w:p>
        </w:tc>
      </w:tr>
      <w:tr>
        <w:tc>
          <w:tcPr/>
          <w:p>
            <w:pPr>
              <w:pStyle w:val="Compact"/>
              <w:jc w:val="left"/>
            </w:pPr>
            <w:r>
              <w:t xml:space="preserve">++–</w:t>
            </w:r>
          </w:p>
        </w:tc>
        <w:tc>
          <w:tcPr/>
          <w:p>
            <w:pPr>
              <w:pStyle w:val="Compact"/>
              <w:jc w:val="left"/>
            </w:pPr>
            <w:r>
              <w:t xml:space="preserve">9:34</w:t>
            </w:r>
          </w:p>
        </w:tc>
        <w:tc>
          <w:tcPr/>
          <w:p>
            <w:pPr>
              <w:pStyle w:val="Compact"/>
              <w:jc w:val="left"/>
            </w:pPr>
            <w:r>
              <w:t xml:space="preserve">ολως [25%] || ολος [75%]</w:t>
            </w:r>
          </w:p>
        </w:tc>
      </w:tr>
      <w:tr>
        <w:tc>
          <w:tcPr/>
          <w:p>
            <w:pPr>
              <w:pStyle w:val="Compact"/>
              <w:jc w:val="left"/>
            </w:pPr>
            <w:r>
              <w:t xml:space="preserve">++++</w:t>
            </w:r>
          </w:p>
        </w:tc>
        <w:tc>
          <w:tcPr/>
          <w:p>
            <w:pPr>
              <w:pStyle w:val="Compact"/>
              <w:jc w:val="left"/>
            </w:pPr>
            <w:r>
              <w:t xml:space="preserve">10:39</w:t>
            </w:r>
          </w:p>
        </w:tc>
        <w:tc>
          <w:tcPr/>
          <w:p>
            <w:pPr>
              <w:pStyle w:val="Compact"/>
              <w:jc w:val="left"/>
            </w:pPr>
            <w:r>
              <w:t xml:space="preserve">ουν παλιν πιασαι αυτον (18.9%) || ~ 1243 (32.8%) || ~ 243 (30.3%) || ||</w:t>
            </w:r>
          </w:p>
        </w:tc>
      </w:tr>
      <w:tr>
        <w:tc>
          <w:tcPr/>
          <w:p>
            <w:pPr>
              <w:pStyle w:val="Compact"/>
              <w:jc w:val="left"/>
            </w:pPr>
            <w:r>
              <w:t xml:space="preserve">+</w:t>
            </w:r>
          </w:p>
        </w:tc>
        <w:tc>
          <w:tcPr/>
          <w:p>
            <w:pPr>
              <w:pStyle w:val="Compact"/>
              <w:jc w:val="left"/>
            </w:pPr>
            <w:r>
              <w:t xml:space="preserve">11:2</w:t>
            </w:r>
          </w:p>
        </w:tc>
        <w:tc>
          <w:tcPr/>
          <w:p>
            <w:pPr>
              <w:pStyle w:val="Compact"/>
              <w:jc w:val="left"/>
            </w:pPr>
            <w:r>
              <w:t xml:space="preserve">εαυτης [40%] || αυτης [60%]</w:t>
            </w:r>
          </w:p>
        </w:tc>
      </w:tr>
      <w:tr>
        <w:tc>
          <w:tcPr/>
          <w:p>
            <w:pPr>
              <w:pStyle w:val="Compact"/>
              <w:jc w:val="left"/>
            </w:pPr>
            <w:r>
              <w:t xml:space="preserve">++</w:t>
            </w:r>
          </w:p>
        </w:tc>
        <w:tc>
          <w:tcPr/>
          <w:p>
            <w:pPr>
              <w:pStyle w:val="Compact"/>
              <w:jc w:val="left"/>
            </w:pPr>
            <w:r>
              <w:t xml:space="preserve">11:46</w:t>
            </w:r>
          </w:p>
        </w:tc>
        <w:tc>
          <w:tcPr/>
          <w:p>
            <w:pPr>
              <w:pStyle w:val="Compact"/>
              <w:jc w:val="left"/>
            </w:pPr>
            <w:r>
              <w:t xml:space="preserve">οσα [29%] || α [70%]</w:t>
            </w:r>
          </w:p>
        </w:tc>
      </w:tr>
      <w:tr>
        <w:tc>
          <w:tcPr/>
          <w:p>
            <w:pPr>
              <w:pStyle w:val="Compact"/>
              <w:jc w:val="left"/>
            </w:pPr>
            <w:r>
              <w:t xml:space="preserve">+–</w:t>
            </w:r>
          </w:p>
        </w:tc>
        <w:tc>
          <w:tcPr/>
          <w:p>
            <w:pPr>
              <w:pStyle w:val="Compact"/>
              <w:jc w:val="left"/>
            </w:pPr>
            <w:r>
              <w:t xml:space="preserve">11:51</w:t>
            </w:r>
          </w:p>
        </w:tc>
        <w:tc>
          <w:tcPr/>
          <w:p>
            <w:pPr>
              <w:pStyle w:val="Compact"/>
              <w:jc w:val="left"/>
            </w:pPr>
            <w:r>
              <w:t xml:space="preserve">ο [35%] || — [65%]</w:t>
            </w:r>
          </w:p>
        </w:tc>
      </w:tr>
      <w:tr>
        <w:tc>
          <w:tcPr/>
          <w:p>
            <w:pPr>
              <w:pStyle w:val="Compact"/>
              <w:jc w:val="left"/>
            </w:pPr>
            <w:r>
              <w:t xml:space="preserve">+++</w:t>
            </w:r>
          </w:p>
        </w:tc>
        <w:tc>
          <w:tcPr/>
          <w:p>
            <w:pPr>
              <w:pStyle w:val="Compact"/>
              <w:jc w:val="left"/>
            </w:pPr>
            <w:r>
              <w:t xml:space="preserve">11:56</w:t>
            </w:r>
          </w:p>
        </w:tc>
        <w:tc>
          <w:tcPr/>
          <w:p>
            <w:pPr>
              <w:pStyle w:val="Compact"/>
              <w:jc w:val="left"/>
            </w:pPr>
            <w:r>
              <w:t xml:space="preserve">υμιν δοκει [20%] || ~ 21 [80%]</w:t>
            </w:r>
          </w:p>
        </w:tc>
      </w:tr>
      <w:tr>
        <w:tc>
          <w:tcPr/>
          <w:p>
            <w:pPr>
              <w:pStyle w:val="Compact"/>
              <w:jc w:val="left"/>
            </w:pPr>
            <w:r>
              <w:t xml:space="preserve">+</w:t>
            </w:r>
          </w:p>
        </w:tc>
        <w:tc>
          <w:tcPr/>
          <w:p>
            <w:pPr>
              <w:pStyle w:val="Compact"/>
              <w:jc w:val="left"/>
            </w:pPr>
            <w:r>
              <w:t xml:space="preserve">12:6</w:t>
            </w:r>
          </w:p>
        </w:tc>
        <w:tc>
          <w:tcPr/>
          <w:p>
            <w:pPr>
              <w:pStyle w:val="Compact"/>
              <w:jc w:val="left"/>
            </w:pPr>
            <w:r>
              <w:t xml:space="preserve">εμελεν [40%] || εμελλεν</w:t>
            </w:r>
            <w:r>
              <w:t xml:space="preserve"> </w:t>
            </w:r>
            <w:r>
              <w:rPr>
                <w:bCs/>
                <w:b/>
              </w:rPr>
              <w:t xml:space="preserve">f</w:t>
            </w:r>
            <w:r>
              <w:rPr>
                <w:vertAlign w:val="superscript"/>
                <w:bCs/>
                <w:b/>
              </w:rPr>
              <w:t xml:space="preserve">35pt</w:t>
            </w:r>
            <w:r>
              <w:t xml:space="preserve"> </w:t>
            </w:r>
            <w:r>
              <w:t xml:space="preserve">[60%]</w:t>
            </w:r>
          </w:p>
        </w:tc>
      </w:tr>
      <w:tr>
        <w:tc>
          <w:tcPr/>
          <w:p>
            <w:pPr>
              <w:pStyle w:val="Compact"/>
              <w:jc w:val="left"/>
            </w:pPr>
            <w:r>
              <w:t xml:space="preserve">+</w:t>
            </w:r>
          </w:p>
        </w:tc>
        <w:tc>
          <w:tcPr/>
          <w:p>
            <w:pPr>
              <w:pStyle w:val="Compact"/>
              <w:jc w:val="left"/>
            </w:pPr>
            <w:r>
              <w:t xml:space="preserve">12:12</w:t>
            </w:r>
          </w:p>
        </w:tc>
        <w:tc>
          <w:tcPr/>
          <w:p>
            <w:pPr>
              <w:pStyle w:val="Compact"/>
              <w:jc w:val="left"/>
            </w:pPr>
            <w:r>
              <w:t xml:space="preserve">ο [40%] || — [60%]</w:t>
            </w:r>
          </w:p>
        </w:tc>
      </w:tr>
      <w:tr>
        <w:tc>
          <w:tcPr/>
          <w:p>
            <w:pPr>
              <w:pStyle w:val="Compact"/>
              <w:jc w:val="left"/>
            </w:pPr>
            <w:r>
              <w:t xml:space="preserve">+</w:t>
            </w:r>
          </w:p>
        </w:tc>
        <w:tc>
          <w:tcPr/>
          <w:p>
            <w:pPr>
              <w:pStyle w:val="Compact"/>
              <w:jc w:val="left"/>
            </w:pPr>
            <w:r>
              <w:t xml:space="preserve">12:13</w:t>
            </w:r>
          </w:p>
        </w:tc>
        <w:tc>
          <w:tcPr/>
          <w:p>
            <w:pPr>
              <w:pStyle w:val="Compact"/>
              <w:jc w:val="left"/>
            </w:pPr>
            <w:r>
              <w:t xml:space="preserve">απαντησιν [38%] || υπαντησιν [60%]</w:t>
            </w:r>
          </w:p>
        </w:tc>
      </w:tr>
      <w:tr>
        <w:tc>
          <w:tcPr/>
          <w:p>
            <w:pPr>
              <w:pStyle w:val="Compact"/>
              <w:jc w:val="left"/>
            </w:pPr>
            <w:r>
              <w:t xml:space="preserve">++</w:t>
            </w:r>
          </w:p>
        </w:tc>
        <w:tc>
          <w:tcPr/>
          <w:p>
            <w:pPr>
              <w:pStyle w:val="Compact"/>
              <w:jc w:val="left"/>
            </w:pPr>
            <w:r>
              <w:t xml:space="preserve">12:14</w:t>
            </w:r>
          </w:p>
        </w:tc>
        <w:tc>
          <w:tcPr/>
          <w:p>
            <w:pPr>
              <w:pStyle w:val="Compact"/>
              <w:jc w:val="left"/>
            </w:pPr>
            <w:r>
              <w:t xml:space="preserve">αυτω [30%] || αυτο [70%]</w:t>
            </w:r>
          </w:p>
        </w:tc>
      </w:tr>
      <w:tr>
        <w:tc>
          <w:tcPr/>
          <w:p>
            <w:pPr>
              <w:pStyle w:val="Compact"/>
              <w:jc w:val="left"/>
            </w:pPr>
            <w:r>
              <w:t xml:space="preserve">+–</w:t>
            </w:r>
          </w:p>
        </w:tc>
        <w:tc>
          <w:tcPr/>
          <w:p>
            <w:pPr>
              <w:pStyle w:val="Compact"/>
              <w:jc w:val="left"/>
            </w:pPr>
            <w:r>
              <w:t xml:space="preserve">13:15</w:t>
            </w:r>
            <w:r>
              <w:rPr>
                <w:vertAlign w:val="superscript"/>
              </w:rPr>
              <w:t xml:space="preserve">a</w:t>
            </w:r>
          </w:p>
        </w:tc>
        <w:tc>
          <w:tcPr/>
          <w:p>
            <w:pPr>
              <w:pStyle w:val="Compact"/>
              <w:jc w:val="left"/>
            </w:pPr>
            <w:r>
              <w:t xml:space="preserve">δεδωκα [35%] || εδωκα [65%]</w:t>
            </w:r>
          </w:p>
        </w:tc>
      </w:tr>
      <w:tr>
        <w:tc>
          <w:tcPr/>
          <w:p>
            <w:pPr>
              <w:pStyle w:val="Compact"/>
              <w:jc w:val="left"/>
            </w:pPr>
            <w:r>
              <w:t xml:space="preserve">++–</w:t>
            </w:r>
          </w:p>
        </w:tc>
        <w:tc>
          <w:tcPr/>
          <w:p>
            <w:pPr>
              <w:pStyle w:val="Compact"/>
              <w:jc w:val="left"/>
            </w:pPr>
            <w:r>
              <w:t xml:space="preserve">13:15</w:t>
            </w:r>
            <w:r>
              <w:rPr>
                <w:vertAlign w:val="superscript"/>
              </w:rPr>
              <w:t xml:space="preserve">b</w:t>
            </w:r>
          </w:p>
        </w:tc>
        <w:tc>
          <w:tcPr/>
          <w:p>
            <w:pPr>
              <w:pStyle w:val="Compact"/>
              <w:jc w:val="left"/>
            </w:pPr>
            <w:r>
              <w:t xml:space="preserve">καθως [25%] || 1 εγω [75%]</w:t>
            </w:r>
          </w:p>
        </w:tc>
      </w:tr>
      <w:tr>
        <w:tc>
          <w:tcPr/>
          <w:p>
            <w:pPr>
              <w:pStyle w:val="Compact"/>
              <w:jc w:val="left"/>
            </w:pPr>
            <w:r>
              <w:t xml:space="preserve">+++</w:t>
            </w:r>
          </w:p>
        </w:tc>
        <w:tc>
          <w:tcPr/>
          <w:p>
            <w:pPr>
              <w:pStyle w:val="Compact"/>
              <w:jc w:val="left"/>
            </w:pPr>
            <w:r>
              <w:t xml:space="preserve">13:22</w:t>
            </w:r>
            <w:r>
              <w:rPr>
                <w:vertAlign w:val="superscript"/>
              </w:rPr>
              <w:t xml:space="preserve">a</w:t>
            </w:r>
          </w:p>
        </w:tc>
        <w:tc>
          <w:tcPr/>
          <w:p>
            <w:pPr>
              <w:pStyle w:val="Compact"/>
              <w:jc w:val="left"/>
            </w:pPr>
            <w:r>
              <w:t xml:space="preserve">δε [20%] || ουν [79.5%]</w:t>
            </w:r>
          </w:p>
        </w:tc>
      </w:tr>
      <w:tr>
        <w:tc>
          <w:tcPr/>
          <w:p>
            <w:pPr>
              <w:pStyle w:val="Compact"/>
              <w:jc w:val="left"/>
            </w:pPr>
            <w:r>
              <w:t xml:space="preserve">++–</w:t>
            </w:r>
          </w:p>
        </w:tc>
        <w:tc>
          <w:tcPr/>
          <w:p>
            <w:pPr>
              <w:pStyle w:val="Compact"/>
              <w:jc w:val="left"/>
            </w:pPr>
            <w:r>
              <w:t xml:space="preserve">13:22</w:t>
            </w:r>
            <w:r>
              <w:rPr>
                <w:vertAlign w:val="superscript"/>
              </w:rPr>
              <w:t xml:space="preserve">b</w:t>
            </w:r>
          </w:p>
        </w:tc>
        <w:tc>
          <w:tcPr/>
          <w:p>
            <w:pPr>
              <w:pStyle w:val="Compact"/>
              <w:jc w:val="left"/>
            </w:pPr>
            <w:r>
              <w:t xml:space="preserve">προς [25%] || εις [75%]</w:t>
            </w:r>
          </w:p>
        </w:tc>
      </w:tr>
      <w:tr>
        <w:tc>
          <w:tcPr/>
          <w:p>
            <w:pPr>
              <w:pStyle w:val="Compact"/>
              <w:jc w:val="left"/>
            </w:pPr>
            <w:r>
              <w:t xml:space="preserve">+–</w:t>
            </w:r>
          </w:p>
        </w:tc>
        <w:tc>
          <w:tcPr/>
          <w:p>
            <w:pPr>
              <w:pStyle w:val="Compact"/>
              <w:jc w:val="left"/>
            </w:pPr>
            <w:r>
              <w:t xml:space="preserve">18:23</w:t>
            </w:r>
          </w:p>
        </w:tc>
        <w:tc>
          <w:tcPr/>
          <w:p>
            <w:pPr>
              <w:pStyle w:val="Compact"/>
              <w:jc w:val="left"/>
            </w:pPr>
            <w:r>
              <w:t xml:space="preserve">δαιρεις [36%] || δερεις [64%]</w:t>
            </w:r>
          </w:p>
        </w:tc>
      </w:tr>
      <w:tr>
        <w:tc>
          <w:tcPr/>
          <w:p>
            <w:pPr>
              <w:pStyle w:val="Compact"/>
              <w:jc w:val="left"/>
            </w:pPr>
            <w:r>
              <w:t xml:space="preserve">+++</w:t>
            </w:r>
          </w:p>
        </w:tc>
        <w:tc>
          <w:tcPr/>
          <w:p>
            <w:pPr>
              <w:pStyle w:val="Compact"/>
              <w:jc w:val="left"/>
            </w:pPr>
            <w:r>
              <w:t xml:space="preserve">18:39</w:t>
            </w:r>
          </w:p>
        </w:tc>
        <w:tc>
          <w:tcPr/>
          <w:p>
            <w:pPr>
              <w:pStyle w:val="Compact"/>
              <w:jc w:val="left"/>
            </w:pPr>
            <w:r>
              <w:t xml:space="preserve">ημιν [20%] || υμιν [80%]</w:t>
            </w:r>
          </w:p>
        </w:tc>
      </w:tr>
      <w:tr>
        <w:tc>
          <w:tcPr/>
          <w:p>
            <w:pPr>
              <w:pStyle w:val="Compact"/>
              <w:jc w:val="left"/>
            </w:pPr>
            <w:r>
              <w:t xml:space="preserve">++</w:t>
            </w:r>
          </w:p>
        </w:tc>
        <w:tc>
          <w:tcPr/>
          <w:p>
            <w:pPr>
              <w:pStyle w:val="Compact"/>
              <w:jc w:val="left"/>
            </w:pPr>
            <w:r>
              <w:t xml:space="preserve">18:40</w:t>
            </w:r>
          </w:p>
        </w:tc>
        <w:tc>
          <w:tcPr/>
          <w:p>
            <w:pPr>
              <w:pStyle w:val="Compact"/>
              <w:jc w:val="left"/>
            </w:pPr>
            <w:r>
              <w:t xml:space="preserve">ουν [30%] || 1 παλιν [70%]</w:t>
            </w:r>
          </w:p>
        </w:tc>
      </w:tr>
      <w:tr>
        <w:tc>
          <w:tcPr/>
          <w:p>
            <w:pPr>
              <w:pStyle w:val="Compact"/>
              <w:jc w:val="left"/>
            </w:pPr>
            <w:r>
              <w:t xml:space="preserve">+</w:t>
            </w:r>
          </w:p>
        </w:tc>
        <w:tc>
          <w:tcPr/>
          <w:p>
            <w:pPr>
              <w:pStyle w:val="Compact"/>
              <w:jc w:val="left"/>
            </w:pPr>
            <w:r>
              <w:t xml:space="preserve">19:14</w:t>
            </w:r>
          </w:p>
        </w:tc>
        <w:tc>
          <w:tcPr/>
          <w:p>
            <w:pPr>
              <w:pStyle w:val="Compact"/>
              <w:jc w:val="left"/>
            </w:pPr>
            <w:r>
              <w:t xml:space="preserve">ην [40%] || δε [60%]</w:t>
            </w:r>
          </w:p>
        </w:tc>
      </w:tr>
      <w:tr>
        <w:tc>
          <w:tcPr/>
          <w:p>
            <w:pPr>
              <w:pStyle w:val="Compact"/>
              <w:jc w:val="left"/>
            </w:pPr>
            <w:r>
              <w:t xml:space="preserve">+</w:t>
            </w:r>
          </w:p>
        </w:tc>
        <w:tc>
          <w:tcPr/>
          <w:p>
            <w:pPr>
              <w:pStyle w:val="Compact"/>
              <w:jc w:val="left"/>
            </w:pPr>
            <w:r>
              <w:t xml:space="preserve">19:23</w:t>
            </w:r>
          </w:p>
        </w:tc>
        <w:tc>
          <w:tcPr/>
          <w:p>
            <w:pPr>
              <w:pStyle w:val="Compact"/>
              <w:jc w:val="left"/>
            </w:pPr>
            <w:r>
              <w:t xml:space="preserve">αρραφος [40%] || αραφος [60%]</w:t>
            </w:r>
          </w:p>
        </w:tc>
      </w:tr>
      <w:tr>
        <w:tc>
          <w:tcPr/>
          <w:p>
            <w:pPr>
              <w:pStyle w:val="Compact"/>
              <w:jc w:val="left"/>
            </w:pPr>
            <w:r>
              <w:t xml:space="preserve">++</w:t>
            </w:r>
          </w:p>
        </w:tc>
        <w:tc>
          <w:tcPr/>
          <w:p>
            <w:pPr>
              <w:pStyle w:val="Compact"/>
              <w:jc w:val="left"/>
            </w:pPr>
            <w:r>
              <w:t xml:space="preserve">19:28</w:t>
            </w:r>
          </w:p>
        </w:tc>
        <w:tc>
          <w:tcPr/>
          <w:p>
            <w:pPr>
              <w:pStyle w:val="Compact"/>
              <w:jc w:val="left"/>
            </w:pPr>
            <w:r>
              <w:t xml:space="preserve">ηδη παντα [30%] || ~ 21 [60%] ||</w:t>
            </w:r>
          </w:p>
        </w:tc>
      </w:tr>
      <w:tr>
        <w:tc>
          <w:tcPr/>
          <w:p>
            <w:pPr>
              <w:pStyle w:val="Compact"/>
              <w:jc w:val="left"/>
            </w:pPr>
            <w:r>
              <w:t xml:space="preserve">++</w:t>
            </w:r>
          </w:p>
        </w:tc>
        <w:tc>
          <w:tcPr/>
          <w:p>
            <w:pPr>
              <w:pStyle w:val="Compact"/>
              <w:jc w:val="left"/>
            </w:pPr>
            <w:r>
              <w:t xml:space="preserve">19:35</w:t>
            </w:r>
          </w:p>
        </w:tc>
        <w:tc>
          <w:tcPr/>
          <w:p>
            <w:pPr>
              <w:pStyle w:val="Compact"/>
              <w:jc w:val="left"/>
            </w:pPr>
            <w:r>
              <w:t xml:space="preserve">η μαρτυρια αυτου [30%] || ~ 312 [65%]</w:t>
            </w:r>
          </w:p>
        </w:tc>
      </w:tr>
      <w:tr>
        <w:tc>
          <w:tcPr/>
          <w:p>
            <w:pPr>
              <w:pStyle w:val="Compact"/>
              <w:jc w:val="left"/>
            </w:pPr>
            <w:r>
              <w:t xml:space="preserve">+++</w:t>
            </w:r>
          </w:p>
        </w:tc>
        <w:tc>
          <w:tcPr/>
          <w:p>
            <w:pPr>
              <w:pStyle w:val="Compact"/>
              <w:jc w:val="left"/>
            </w:pPr>
            <w:r>
              <w:t xml:space="preserve">21:1</w:t>
            </w:r>
            <w:r>
              <w:rPr>
                <w:vertAlign w:val="superscript"/>
              </w:rPr>
              <w:t xml:space="preserve">a</w:t>
            </w:r>
          </w:p>
        </w:tc>
        <w:tc>
          <w:tcPr/>
          <w:p>
            <w:pPr>
              <w:pStyle w:val="Compact"/>
              <w:jc w:val="left"/>
            </w:pPr>
            <w:r>
              <w:t xml:space="preserve">εαυτον [20%] || 1 παλιν [80%]</w:t>
            </w:r>
          </w:p>
        </w:tc>
      </w:tr>
      <w:tr>
        <w:tc>
          <w:tcPr/>
          <w:p>
            <w:pPr>
              <w:pStyle w:val="Compact"/>
              <w:jc w:val="left"/>
            </w:pPr>
            <w:r>
              <w:t xml:space="preserve">+</w:t>
            </w:r>
          </w:p>
        </w:tc>
        <w:tc>
          <w:tcPr/>
          <w:p>
            <w:pPr>
              <w:pStyle w:val="Compact"/>
              <w:jc w:val="left"/>
            </w:pPr>
            <w:r>
              <w:t xml:space="preserve">21:1</w:t>
            </w:r>
            <w:r>
              <w:rPr>
                <w:vertAlign w:val="superscript"/>
              </w:rPr>
              <w:t xml:space="preserve">b</w:t>
            </w:r>
          </w:p>
        </w:tc>
        <w:tc>
          <w:tcPr/>
          <w:p>
            <w:pPr>
              <w:pStyle w:val="Compact"/>
              <w:jc w:val="left"/>
            </w:pPr>
            <w:r>
              <w:t xml:space="preserve">αυτου [40%] || — [60%]</w:t>
            </w:r>
          </w:p>
        </w:tc>
      </w:tr>
      <w:tr>
        <w:tc>
          <w:tcPr/>
          <w:p>
            <w:pPr>
              <w:pStyle w:val="Compact"/>
              <w:jc w:val="left"/>
            </w:pPr>
            <w:r>
              <w:t xml:space="preserve">++–</w:t>
            </w:r>
          </w:p>
        </w:tc>
        <w:tc>
          <w:tcPr/>
          <w:p>
            <w:pPr>
              <w:pStyle w:val="Compact"/>
              <w:jc w:val="left"/>
            </w:pPr>
            <w:r>
              <w:t xml:space="preserve">21:1</w:t>
            </w:r>
            <w:r>
              <w:rPr>
                <w:vertAlign w:val="superscript"/>
              </w:rPr>
              <w:t xml:space="preserve">c</w:t>
            </w:r>
          </w:p>
        </w:tc>
        <w:tc>
          <w:tcPr/>
          <w:p>
            <w:pPr>
              <w:pStyle w:val="Compact"/>
              <w:jc w:val="left"/>
            </w:pPr>
            <w:r>
              <w:t xml:space="preserve">εγερθεις εκ νεκρων [25%] || — [75%]</w:t>
            </w:r>
          </w:p>
        </w:tc>
      </w:tr>
    </w:tbl>
    <w:p>
      <w:r>
        <w:pict>
          <v:rect style="width:0;height:1.5pt" o:hralign="center" o:hrstd="t" o:hr="t"/>
        </w:pict>
      </w:r>
    </w:p>
    <w:p>
      <w:pPr>
        <w:pStyle w:val="FirstParagraph"/>
      </w:pPr>
      <w:r>
        <w:t xml:space="preserve">Of all the books, f35 has the most distinct profile in Acts, with far and away the most diagnostic variants.</w:t>
      </w:r>
    </w:p>
    <w:p>
      <w:pPr>
        <w:pStyle w:val="BodyText"/>
      </w:pPr>
      <w:r>
        <w:t xml:space="preserve">Spośród wszystkich ksiąg</w:t>
      </w:r>
      <w:r>
        <w:t xml:space="preserve"> </w:t>
      </w:r>
      <w:r>
        <w:rPr>
          <w:bCs/>
          <w:b/>
        </w:rPr>
        <w:t xml:space="preserve">f</w:t>
      </w:r>
      <w:r>
        <w:rPr>
          <w:vertAlign w:val="superscript"/>
          <w:bCs/>
          <w:b/>
        </w:rPr>
        <w:t xml:space="preserve">35</w:t>
      </w:r>
      <w:r>
        <w:t xml:space="preserve"> </w:t>
      </w:r>
      <w:r>
        <w:t xml:space="preserve">ma najbardziej wyrazisty profil w Dziejach Apostolskich, ze zdecydowanie największą liczbą wariantów diagnostycznych.</w:t>
      </w:r>
    </w:p>
    <w:p>
      <w:r>
        <w:pict>
          <v:rect style="width:0;height:1.5pt" o:hralign="center" o:hrstd="t" o:hr="t"/>
        </w:pict>
      </w:r>
    </w:p>
    <w:p>
      <w:pPr>
        <w:pStyle w:val="FirstParagraph"/>
      </w:pPr>
      <w:r>
        <w:t xml:space="preserve">None for 2 Thessalonians. (f35 is always accompanied by at least 40% of the Byzantine bulk.)</w:t>
      </w:r>
    </w:p>
    <w:p>
      <w:pPr>
        <w:pStyle w:val="BodyText"/>
      </w:pPr>
      <w:r>
        <w:rPr>
          <w:bCs/>
          <w:b/>
        </w:rPr>
        <w:t xml:space="preserve">Brak dla 2 Listu do Tesaloniczan.</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r>
        <w:pict>
          <v:rect style="width:0;height:1.5pt" o:hralign="center" o:hrstd="t" o:hr="t"/>
        </w:pict>
      </w:r>
    </w:p>
    <w:p>
      <w:pPr>
        <w:pStyle w:val="FirstParagraph"/>
      </w:pPr>
      <w:r>
        <w:t xml:space="preserve">None for Jude. (f35 is always accompanied by at least 40% of the Byzan-tine bulk.)</w:t>
      </w:r>
    </w:p>
    <w:p>
      <w:pPr>
        <w:pStyle w:val="BodyText"/>
      </w:pPr>
      <w:r>
        <w:rPr>
          <w:bCs/>
          <w:b/>
        </w:rPr>
        <w:t xml:space="preserve">Brak dla Judy.</w:t>
      </w:r>
      <w:r>
        <w:t xml:space="preserve"> </w:t>
      </w:r>
      <w:r>
        <w:t xml:space="preserve">(</w:t>
      </w:r>
      <w:r>
        <w:rPr>
          <w:bCs/>
          <w:b/>
        </w:rPr>
        <w:t xml:space="preserve">f</w:t>
      </w:r>
      <w:r>
        <w:rPr>
          <w:vertAlign w:val="superscript"/>
          <w:bCs/>
          <w:b/>
        </w:rPr>
        <w:t xml:space="preserve">35</w:t>
      </w:r>
      <w:r>
        <w:t xml:space="preserve"> </w:t>
      </w:r>
      <w:r>
        <w:t xml:space="preserve">zawsze towarzyszy co najmniej 40% masy bizantyjskiej.)</w:t>
      </w:r>
    </w:p>
    <w:p>
      <w:r>
        <w:pict>
          <v:rect style="width:0;height:1.5pt" o:hralign="center" o:hrstd="t" o:hr="t"/>
        </w:pict>
      </w:r>
    </w:p>
    <w:p>
      <w:pPr>
        <w:pStyle w:val="FirstParagraph"/>
      </w:pPr>
      <w:r>
        <w:t xml:space="preserve">Due to Hoskier’s collations, it is possible (and better) to state the evidence in terms of families, instead of percentages, as I have done in my apparatus—please consult it for the evidence.</w:t>
      </w:r>
    </w:p>
    <w:p>
      <w:pPr>
        <w:pStyle w:val="BodyText"/>
      </w:pPr>
      <w:r>
        <w:t xml:space="preserve">Dzięki kolacjonowaniu Hoskiera możliwe jest (i lepsze) przedstawienie dowodów w kategoriach rodzin zamiast procentów, jak uczyniłem w swoim aparacie krytycznym — proszę się z nim zapoznać w kwestii dowodów.</w:t>
      </w:r>
    </w:p>
    <w:p>
      <w:r>
        <w:pict>
          <v:rect style="width:0;height:1.5pt" o:hralign="center" o:hrstd="t" o:hr="t"/>
        </w:pict>
      </w:r>
    </w:p>
    <w:p>
      <w:pPr>
        <w:pStyle w:val="FirstParagraph"/>
      </w:pPr>
      <w:r>
        <w:t xml:space="preserve">The evidence is clear. Family 35 is an objectively/empirically de-fined entity throughout the New Testament. It remains to be seen if the same can be said for any other family or line of transmission—attention please: that is for all 27 books (a number of lines are confined to the Gos-pels, such as f1 and f13).</w:t>
      </w:r>
    </w:p>
    <w:p>
      <w:pPr>
        <w:pStyle w:val="BodyText"/>
      </w:pPr>
      <w:r>
        <w:t xml:space="preserve">Family 35 is characterized by incredibly careful transmission (in con-trast to other lines). I have a perfect copy of the Family 35 archetypal text for most NT books (22); I have copies made from a perfect exemplar (pre-sumed) for another four (4); as I continue to collate MSS I hope to add the last one (Acts), but even for it the archetypal form is demonstrable. If God was preserving the original wording in some line of transmission other than Family 35, would that line be any less careful? I think not. So any line of transmission characterized by internal confusion is disqualified—this includes all the other lines of transmission that I have seen so far.</w:t>
      </w:r>
    </w:p>
    <w:p>
      <w:pPr>
        <w:pStyle w:val="BodyText"/>
      </w:pPr>
      <w:r>
        <w:t xml:space="preserve">Dowody są jasne.</w:t>
      </w:r>
      <w:r>
        <w:t xml:space="preserve"> </w:t>
      </w:r>
      <w:r>
        <w:rPr>
          <w:bCs/>
          <w:b/>
        </w:rPr>
        <w:t xml:space="preserve">Rodzina 35</w:t>
      </w:r>
      <w:r>
        <w:t xml:space="preserve"> </w:t>
      </w:r>
      <w:r>
        <w:t xml:space="preserve">jest obiektywnie/empirycznie zdefiniowaną jednostką w całym Nowym Testamencie. Pozostaje sprawdzić, czy to samo można powiedzieć o jakiejkolwiek innej rodzinie lub linii przekazu —</w:t>
      </w:r>
      <w:r>
        <w:t xml:space="preserve"> </w:t>
      </w:r>
      <w:r>
        <w:rPr>
          <w:bCs/>
          <w:b/>
        </w:rPr>
        <w:t xml:space="preserve">proszę o uwagę</w:t>
      </w:r>
      <w:r>
        <w:t xml:space="preserve">: chodzi o wszystkie 27 ksiąg (pewna liczba linii ogranicza się do Ewangelii, jak</w:t>
      </w:r>
      <w:r>
        <w:t xml:space="preserve"> </w:t>
      </w:r>
      <w:r>
        <w:rPr>
          <w:bCs/>
          <w:b/>
        </w:rPr>
        <w:t xml:space="preserve">f</w:t>
      </w:r>
      <w:r>
        <w:rPr>
          <w:vertAlign w:val="superscript"/>
          <w:bCs/>
          <w:b/>
        </w:rPr>
        <w:t xml:space="preserve">1</w:t>
      </w:r>
      <w:r>
        <w:t xml:space="preserve"> </w:t>
      </w:r>
      <w:r>
        <w:t xml:space="preserve">i</w:t>
      </w:r>
      <w:r>
        <w:t xml:space="preserve"> </w:t>
      </w:r>
      <w:r>
        <w:rPr>
          <w:bCs/>
          <w:b/>
        </w:rPr>
        <w:t xml:space="preserve">f</w:t>
      </w:r>
      <w:r>
        <w:rPr>
          <w:vertAlign w:val="superscript"/>
          <w:bCs/>
          <w:b/>
        </w:rPr>
        <w:t xml:space="preserve">13</w:t>
      </w:r>
      <w:r>
        <w:t xml:space="preserve">).</w:t>
      </w:r>
    </w:p>
    <w:p>
      <w:pPr>
        <w:pStyle w:val="BodyText"/>
      </w:pPr>
      <w:r>
        <w:t xml:space="preserve">Rodzinę 35 charakteryzuje niewiarygodnie staranny przekaz (w przeciwieństwie do innych linii). Mam doskonałą kopię archetypalnego tekstu Rodziny 35 dla większości ksiąg Nowego Testamentu (22); mam kopie sporządzone z doskonałego egzemplarza (jak się przypuszcza) dla kolejnych czterech (4); w miarę jak kontynuuję kolacjonowanie manuskryptów, mam nadzieję dodać ostatnią (Dzieje Apostolskie), ale nawet w jej przypadku formę archetypalną można wykazać. Gdyby Bóg zachowywał oryginalne brzmienie w jakiejś linii przekazu innej niż Rodzina 35, czy linia ta byłaby choć trochę mniej staranna? Nie sądzę. Tak więc każda linia przekazu charakteryzująca się wewnętrznym pomieszaniem zostaje zdyskwalifikowana — obejmuje to</w:t>
      </w:r>
      <w:r>
        <w:t xml:space="preserve"> </w:t>
      </w:r>
      <w:r>
        <w:rPr>
          <w:bCs/>
          <w:b/>
        </w:rPr>
        <w:t xml:space="preserve">wszystkie</w:t>
      </w:r>
      <w:r>
        <w:t xml:space="preserve"> </w:t>
      </w:r>
      <w:r>
        <w:t xml:space="preserve">inne linie przekazu, które dotąd widziałem.</w:t>
      </w:r>
    </w:p>
    <w:p>
      <w:r>
        <w:pict>
          <v:rect style="width:0;height:1.5pt" o:hralign="center" o:hrstd="t" o:hr="t"/>
        </w:pict>
      </w:r>
    </w:p>
    <w:bookmarkEnd w:id="206"/>
    <w:bookmarkEnd w:id="2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Lepidodendron według paleobotaniki był dominującym drzewem w okresie karbonu, mającym trwać rzekomo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wskazują, że Ziemia została stworzona natychmiastowo, w chłodnym stanie. Jest to wyraźny dowód na stworzenie i młodą Ziemię. Kontrargumenty do pracy Gentry’ego to mała liczba dowodów, że pierścienie powstały rzeczywiście przez polon, teoria, że radon (z którego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1">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2">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4">
    <w:p>
      <w:pPr>
        <w:pStyle w:val="FootnoteText"/>
      </w:pPr>
      <w:r>
        <w:rPr>
          <w:rStyle w:val="FootnoteReference"/>
        </w:rPr>
        <w:footnoteRef/>
      </w:r>
      <w:r>
        <w:t xml:space="preserve"> </w:t>
      </w:r>
      <w:r>
        <w:t xml:space="preserve">Do tej pory opublikowałem osiem, plus Tekst Grecki.</w:t>
      </w:r>
    </w:p>
  </w:footnote>
  <w:footnote w:id="65">
    <w:p>
      <w:pPr>
        <w:pStyle w:val="FootnoteText"/>
      </w:pPr>
      <w:r>
        <w:rPr>
          <w:rStyle w:val="FootnoteReference"/>
        </w:rPr>
        <w:footnoteRef/>
      </w:r>
      <w:r>
        <w:t xml:space="preserve"> </w:t>
      </w:r>
      <w:r>
        <w:t xml:space="preserve">Odniosłem się już do 1 Kronik 16,15.</w:t>
      </w:r>
    </w:p>
  </w:footnote>
  <w:footnote w:id="66">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7">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8">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69">
    <w:p>
      <w:pPr>
        <w:pStyle w:val="FootnoteText"/>
      </w:pPr>
      <w:r>
        <w:rPr>
          <w:rStyle w:val="FootnoteReference"/>
        </w:rPr>
        <w:footnoteRef/>
      </w:r>
      <w:r>
        <w:t xml:space="preserve"> </w:t>
      </w:r>
      <w:r>
        <w:t xml:space="preserve">Dostęp do Pisma jest niezbędny do duchowego wzrostu i pracy.</w:t>
      </w:r>
    </w:p>
  </w:footnote>
  <w:footnote w:id="70">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1">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2">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3">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4">
    <w:p>
      <w:pPr>
        <w:pStyle w:val="FootnoteText"/>
      </w:pPr>
      <w:r>
        <w:rPr>
          <w:rStyle w:val="FootnoteReference"/>
        </w:rPr>
        <w:footnoteRef/>
      </w:r>
      <w:r>
        <w:t xml:space="preserve"> </w:t>
      </w:r>
      <w:r>
        <w:t xml:space="preserve">Bardzo niewiele rozdziałów zostało napisanych w języku aramejskim.</w:t>
      </w:r>
    </w:p>
  </w:footnote>
  <w:footnote w:id="75">
    <w:p>
      <w:pPr>
        <w:pStyle w:val="FootnoteText"/>
      </w:pPr>
      <w:r>
        <w:rPr>
          <w:rStyle w:val="FootnoteReference"/>
        </w:rPr>
        <w:footnoteRef/>
      </w:r>
      <w:r>
        <w:t xml:space="preserve"> </w:t>
      </w:r>
      <w:r>
        <w:t xml:space="preserve">Więc nie mamy tu do czynienia z nauką w sensie obiektywnym.</w:t>
      </w:r>
    </w:p>
  </w:footnote>
  <w:footnote w:id="76">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7">
    <w:p>
      <w:pPr>
        <w:pStyle w:val="FootnoteText"/>
      </w:pPr>
      <w:r>
        <w:rPr>
          <w:rStyle w:val="FootnoteReference"/>
        </w:rPr>
        <w:footnoteRef/>
      </w:r>
      <w:r>
        <w:t xml:space="preserve"> </w:t>
      </w:r>
      <w:r>
        <w:t xml:space="preserve">Mowa o informacjach historycznych w Biblii, w porównaniu do proroctw. [przyp. tłum.]</w:t>
      </w:r>
    </w:p>
  </w:footnote>
  <w:footnote w:id="78">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0">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2">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3">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6">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7">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8">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89">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0">
    <w:p>
      <w:pPr>
        <w:pStyle w:val="FootnoteText"/>
      </w:pPr>
      <w:r>
        <w:rPr>
          <w:rStyle w:val="FootnoteReference"/>
        </w:rPr>
        <w:footnoteRef/>
      </w:r>
      <w:r>
        <w:t xml:space="preserve"> </w:t>
      </w:r>
      <w:r>
        <w:t xml:space="preserve">NKJV - Biblia, przekład New King James Version. [przyp. tłum.]</w:t>
      </w:r>
    </w:p>
  </w:footnote>
  <w:footnote w:id="91">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2">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4">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5">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6">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7">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8">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99">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0">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1">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2">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3">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4">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5">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6">
    <w:p>
      <w:pPr>
        <w:pStyle w:val="FootnoteText"/>
      </w:pPr>
      <w:r>
        <w:rPr>
          <w:rStyle w:val="FootnoteReference"/>
        </w:rPr>
        <w:footnoteRef/>
      </w:r>
      <w:r>
        <w:t xml:space="preserve"> </w:t>
      </w:r>
      <w:r>
        <w:t xml:space="preserve">Francis Glimm, ponownie.</w:t>
      </w:r>
    </w:p>
  </w:footnote>
  <w:footnote w:id="107">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8">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09">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0">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1">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2">
    <w:p>
      <w:pPr>
        <w:pStyle w:val="FootnoteText"/>
      </w:pPr>
      <w:r>
        <w:rPr>
          <w:rStyle w:val="FootnoteReference"/>
        </w:rPr>
        <w:footnoteRef/>
      </w:r>
      <w:r>
        <w:t xml:space="preserve"> </w:t>
      </w:r>
      <w:r>
        <w:t xml:space="preserve">Roberts i Donaldson, ponownie.</w:t>
      </w:r>
    </w:p>
  </w:footnote>
  <w:footnote w:id="113">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str. 23, 53), stanowiąc wymowne świadectwo skali ruchu między wczesnymi kościołami.</w:t>
      </w:r>
    </w:p>
  </w:footnote>
  <w:footnote w:id="114">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5">
    <w:p>
      <w:pPr>
        <w:pStyle w:val="FootnoteText"/>
      </w:pPr>
      <w:r>
        <w:rPr>
          <w:rStyle w:val="FootnoteReference"/>
        </w:rPr>
        <w:footnoteRef/>
      </w:r>
      <w:r>
        <w:t xml:space="preserve"> </w:t>
      </w:r>
      <w:r>
        <w:t xml:space="preserve">Skorzystałem z tłumaczenia autorstwa C.C. Richardsona z książki Early Christian Fathers.</w:t>
      </w:r>
    </w:p>
  </w:footnote>
  <w:footnote w:id="116">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7">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8">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19">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0">
    <w:p>
      <w:pPr>
        <w:pStyle w:val="FootnoteText"/>
      </w:pPr>
      <w:r>
        <w:rPr>
          <w:rStyle w:val="FootnoteReference"/>
        </w:rPr>
        <w:footnoteRef/>
      </w:r>
      <w:r>
        <w:t xml:space="preserve"> </w:t>
      </w:r>
      <w:r>
        <w:rPr>
          <w:iCs/>
          <w:i/>
        </w:rPr>
        <w:t xml:space="preserve">Ibid.</w:t>
      </w:r>
      <w:r>
        <w:t xml:space="preserve">, strona 53.</w:t>
      </w:r>
    </w:p>
  </w:footnote>
  <w:footnote w:id="122">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3">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4">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5">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6">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7">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8">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29">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0">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1">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2">
    <w:p>
      <w:pPr>
        <w:pStyle w:val="FootnoteText"/>
      </w:pPr>
      <w:r>
        <w:rPr>
          <w:rStyle w:val="FootnoteReference"/>
        </w:rPr>
        <w:footnoteRef/>
      </w:r>
      <w:r>
        <w:t xml:space="preserve"> </w:t>
      </w:r>
      <w:r>
        <w:t xml:space="preserve">Określenia</w:t>
      </w:r>
      <w:r>
        <w:t xml:space="preserve"> </w:t>
      </w:r>
      <w:r>
        <w:rPr>
          <w:iCs/>
          <w:i/>
        </w:rPr>
        <w:t xml:space="preserve">odczyt</w:t>
      </w:r>
      <w:r>
        <w:t xml:space="preserve"> </w:t>
      </w:r>
      <w:r>
        <w:t xml:space="preserve">oraz</w:t>
      </w:r>
      <w:r>
        <w:t xml:space="preserve"> </w:t>
      </w:r>
      <w:r>
        <w:rPr>
          <w:iCs/>
          <w:i/>
        </w:rPr>
        <w:t xml:space="preserve">lekcja</w:t>
      </w:r>
      <w:r>
        <w:t xml:space="preserve"> </w:t>
      </w:r>
      <w:r>
        <w:t xml:space="preserve">(łac. lectio) oznaczają w krytyce tekstu konkretny kształt słowa, zdania lub zapisu w badanym rękopisie (manuskrypcie) lub starym druku. Autograf to odczyt autentyczny (pierwotny), czyli słowo lub zapis, które faktycznie wyszły spod pióra autora. Odczyt błędny to zniekształcenie autografu. Przykład: manuskrypt A: „Jezus Chrystus”, manuskrypt B: „Chrystus Jezus”, manuskrypt C: „Pan Jezus Chrystus”, to są trzy różne odczyty tego samego fragmentu. [przyp. tłum.]</w:t>
      </w:r>
      <w:r>
        <w:br/>
      </w:r>
      <w:r>
        <w:t xml:space="preserve">https://wsjp.pl/haslo/podglad/2573/lekcja/5223614/odczytanie-edytorskie</w:t>
      </w:r>
      <w:r>
        <w:t xml:space="preserve"> </w:t>
      </w:r>
      <w:r>
        <w:t xml:space="preserve">I. Bobrowski,</w:t>
      </w:r>
      <w:r>
        <w:t xml:space="preserve"> </w:t>
      </w:r>
      <w:r>
        <w:rPr>
          <w:iCs/>
          <w:i/>
        </w:rPr>
        <w:t xml:space="preserve">O naukowej polszczyźnie humanistycznej</w:t>
      </w:r>
      <w:r>
        <w:t xml:space="preserve">, Katowice 2025, s. 29.</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 w:id="137">
    <w:p>
      <w:pPr>
        <w:pStyle w:val="FootnoteText"/>
      </w:pPr>
      <w:r>
        <w:rPr>
          <w:rStyle w:val="FootnoteReference"/>
        </w:rPr>
        <w:footnoteRef/>
      </w:r>
      <w:r>
        <w:t xml:space="preserve"> </w:t>
      </w:r>
      <w:r>
        <w:t xml:space="preserve">Aland stwierdza: „Egipt wyróżniał się spośród innych prowincji Kościoła, na ile możemy to ocenić, wczesną dominacją gnostycyzmu”. Dalej informuje nas, że „pod koniec II wieku” kościół egipski był „w przeważającej mierze gnostycki”, a następnie dodaje: „Kopie istniejące w społecznościach gnostyckich nie mogły być używane, ponieważ podejrzewano, że były zniekształcone”. No, to wszystko jest bardzo pouczające – innymi słowy, Aland mówi nam, że do 200 roku n.e. tradycji tekstowej w Egipcie</w:t>
      </w:r>
      <w:r>
        <w:t xml:space="preserve"> </w:t>
      </w:r>
      <w:r>
        <w:rPr>
          <w:bCs/>
          <w:b/>
        </w:rPr>
        <w:t xml:space="preserve">nie można było ufać</w:t>
      </w:r>
      <w:r>
        <w:t xml:space="preserve">. (K. i B. Aland, str. 59 oraz K. Aland, „The Text of the Church?”,</w:t>
      </w:r>
      <w:r>
        <w:t xml:space="preserve"> </w:t>
      </w:r>
      <w:r>
        <w:rPr>
          <w:iCs/>
          <w:i/>
        </w:rPr>
        <w:t xml:space="preserve">Trinity Journal</w:t>
      </w:r>
      <w:r>
        <w:t xml:space="preserve">, 1987, 8NS:138).</w:t>
      </w:r>
    </w:p>
  </w:footnote>
  <w:footnote w:id="138">
    <w:p>
      <w:pPr>
        <w:pStyle w:val="FootnoteText"/>
      </w:pPr>
      <w:r>
        <w:rPr>
          <w:rStyle w:val="FootnoteReference"/>
        </w:rPr>
        <w:footnoteRef/>
      </w:r>
      <w:r>
        <w:t xml:space="preserve"> </w:t>
      </w:r>
      <w:r>
        <w:t xml:space="preserve">B.M. Metzger, The Early Versions of the New Testament (Oksford: Clarendon Press, 1977), s. 104.</w:t>
      </w:r>
    </w:p>
  </w:footnote>
  <w:footnote w:id="139">
    <w:p>
      <w:pPr>
        <w:pStyle w:val="FootnoteText"/>
      </w:pPr>
      <w:r>
        <w:rPr>
          <w:rStyle w:val="FootnoteReference"/>
        </w:rPr>
        <w:footnoteRef/>
      </w:r>
      <w:r>
        <w:t xml:space="preserve"> </w:t>
      </w:r>
      <w:r>
        <w:t xml:space="preserve">Itacyzm – proces fonetyczny polegający na zwężeniu długiego /E/ otwartego (oznaczanego w języku greckim literą eta) i ujednoliceniu się jej z samogłoską /I/, w wyniku tego nazwa litery Η („eta”) zaczyna brzmieć „ita” i stąd nazwa procesu. [przyp. tłum.]</w:t>
      </w:r>
      <w:r>
        <w:br/>
      </w:r>
      <w:r>
        <w:t xml:space="preserve">https://pl.wikipedia.org/wiki/Itacyzm</w:t>
      </w:r>
    </w:p>
  </w:footnote>
  <w:footnote w:id="140">
    <w:p>
      <w:pPr>
        <w:pStyle w:val="FootnoteText"/>
      </w:pPr>
      <w:r>
        <w:rPr>
          <w:rStyle w:val="FootnoteReference"/>
        </w:rPr>
        <w:footnoteRef/>
      </w:r>
      <w:r>
        <w:t xml:space="preserve"> </w:t>
      </w:r>
      <w:r>
        <w:t xml:space="preserve">E.C. Colwell, „Scribal Habits in Early Papyri: A Study in the Corruption of the text”, The Bible in Modern Scholarship, red. J.P. Hyatt (Nowy Jork: Abingdon Press, 1955), s. 374–376, 380.</w:t>
      </w:r>
    </w:p>
  </w:footnote>
  <w:footnote w:id="141">
    <w:p>
      <w:pPr>
        <w:pStyle w:val="FootnoteText"/>
      </w:pPr>
      <w:r>
        <w:rPr>
          <w:rStyle w:val="FootnoteReference"/>
        </w:rPr>
        <w:footnoteRef/>
      </w:r>
      <w:r>
        <w:t xml:space="preserve"> </w:t>
      </w:r>
      <w:r>
        <w:t xml:space="preserve">K. i B. Aland, Tekst Nowego Testamentu (Grand Rapids: Eerdmans, 1981), s. 52–53.</w:t>
      </w:r>
    </w:p>
  </w:footnote>
  <w:footnote w:id="142">
    <w:p>
      <w:pPr>
        <w:pStyle w:val="FootnoteText"/>
      </w:pPr>
      <w:r>
        <w:rPr>
          <w:rStyle w:val="FootnoteReference"/>
        </w:rPr>
        <w:footnoteRef/>
      </w:r>
      <w:r>
        <w:t xml:space="preserve"> </w:t>
      </w:r>
      <w:r>
        <w:rPr>
          <w:iCs/>
          <w:i/>
        </w:rPr>
        <w:t xml:space="preserve">Ibid.</w:t>
      </w:r>
      <w:r>
        <w:t xml:space="preserve">, strona 53.</w:t>
      </w:r>
    </w:p>
  </w:footnote>
  <w:footnote w:id="143">
    <w:p>
      <w:pPr>
        <w:pStyle w:val="FootnoteText"/>
      </w:pPr>
      <w:r>
        <w:rPr>
          <w:rStyle w:val="FootnoteReference"/>
        </w:rPr>
        <w:footnoteRef/>
      </w:r>
      <w:r>
        <w:t xml:space="preserve"> </w:t>
      </w:r>
      <w:r>
        <w:t xml:space="preserve">C.H. Roberts,</w:t>
      </w:r>
      <w:r>
        <w:t xml:space="preserve"> </w:t>
      </w:r>
      <w:r>
        <w:rPr>
          <w:iCs/>
          <w:i/>
        </w:rPr>
        <w:t xml:space="preserve">Manuscript, Society and Belief in Early Christian Egypt</w:t>
      </w:r>
      <w:r>
        <w:t xml:space="preserve"> </w:t>
      </w:r>
      <w:r>
        <w:t xml:space="preserve">(Londyn: Oxford University Press, 1979), s. 42–43, 54–58.</w:t>
      </w:r>
    </w:p>
  </w:footnote>
  <w:footnote w:id="144">
    <w:p>
      <w:pPr>
        <w:pStyle w:val="FootnoteText"/>
      </w:pPr>
      <w:r>
        <w:rPr>
          <w:rStyle w:val="FootnoteReference"/>
        </w:rPr>
        <w:footnoteRef/>
      </w:r>
      <w:r>
        <w:t xml:space="preserve"> </w:t>
      </w:r>
      <w:r>
        <w:t xml:space="preserve">K. i B. Aland, s. 59.</w:t>
      </w:r>
    </w:p>
  </w:footnote>
  <w:footnote w:id="145">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8NS:138.</w:t>
      </w:r>
    </w:p>
  </w:footnote>
  <w:footnote w:id="146">
    <w:p>
      <w:pPr>
        <w:pStyle w:val="FootnoteText"/>
      </w:pPr>
      <w:r>
        <w:rPr>
          <w:rStyle w:val="FootnoteReference"/>
        </w:rPr>
        <w:footnoteRef/>
      </w:r>
      <w:r>
        <w:t xml:space="preserve"> </w:t>
      </w:r>
      <w:r>
        <w:t xml:space="preserve">Metzger,</w:t>
      </w:r>
      <w:r>
        <w:t xml:space="preserve"> </w:t>
      </w:r>
      <w:r>
        <w:rPr>
          <w:iCs/>
          <w:i/>
        </w:rPr>
        <w:t xml:space="preserve">Early Versions</w:t>
      </w:r>
      <w:r>
        <w:t xml:space="preserve">, s. 101.</w:t>
      </w:r>
    </w:p>
  </w:footnote>
  <w:footnote w:id="147">
    <w:p>
      <w:pPr>
        <w:pStyle w:val="FootnoteText"/>
      </w:pPr>
      <w:r>
        <w:rPr>
          <w:rStyle w:val="FootnoteReference"/>
        </w:rPr>
        <w:footnoteRef/>
      </w:r>
      <w:r>
        <w:t xml:space="preserve"> </w:t>
      </w:r>
      <w:r>
        <w:t xml:space="preserve">Kwartodecymanie - istniejące w pierwszych wiekach n.e. grupy chrześcijańskie obchodzące pamiątkę śmierci i zmartwychwstania Chrystusa w 14 dniu miesiąca nisan według żydowskiego kalendarza, zamiast w pierwszą niedzielę następującą po tym wydarzeniu. [przyp. tłum.]</w:t>
      </w:r>
      <w:r>
        <w:br/>
      </w:r>
      <w:r>
        <w:t xml:space="preserve">https://pl.wikipedia.org/wiki/Kwartodecymanie</w:t>
      </w:r>
      <w:r>
        <w:t xml:space="preserve"> </w:t>
      </w:r>
      <w:r>
        <w:t xml:space="preserve">https://cotojestprawda.wordpress.com/2018/04/11/wczesnochrzescijanskie-spory-o-date-wielkanocy-ii-vi-wiek-oraz-ich-historyczne-znaczenie</w:t>
      </w:r>
    </w:p>
  </w:footnote>
  <w:footnote w:id="148">
    <w:p>
      <w:pPr>
        <w:pStyle w:val="FootnoteText"/>
      </w:pPr>
      <w:r>
        <w:rPr>
          <w:rStyle w:val="FootnoteReference"/>
        </w:rPr>
        <w:footnoteRef/>
      </w:r>
      <w:r>
        <w:t xml:space="preserve"> </w:t>
      </w:r>
      <w:r>
        <w:t xml:space="preserve">W.R. Farmer, The Last Twelve Verses of Mark (Cambridge: University Press, 1974), s. 14–15. Autor przytacza B.H. Streeter, The Four Gospels: A Study of Origins (Londyn: Macmillan and Co., 1924 r.), s. 111, 122–123.</w:t>
      </w:r>
    </w:p>
  </w:footnote>
  <w:footnote w:id="150">
    <w:p>
      <w:pPr>
        <w:pStyle w:val="FootnoteText"/>
      </w:pPr>
      <w:r>
        <w:rPr>
          <w:rStyle w:val="FootnoteReference"/>
        </w:rPr>
        <w:footnoteRef/>
      </w:r>
      <w:r>
        <w:t xml:space="preserve"> </w:t>
      </w:r>
      <w:r>
        <w:t xml:space="preserve">To była doskonała okazja, by teksty „Aleksandryjskie” i „Zachodnie” ruszyły do przodu i odebrały „przestrzeń” tekstowi „Bizantyjskiemu”, ale tak się nie stało. Kościół odrzucił te typy tekstów. Jak współcześni krytycy mogliby być w lepszej pozycji do zidentyfikowania prawdziwego tekstu, niż był Kościół powszechny na początku IV wieku?</w:t>
      </w:r>
    </w:p>
  </w:footnote>
  <w:footnote w:id="151">
    <w:p>
      <w:pPr>
        <w:pStyle w:val="FootnoteText"/>
      </w:pPr>
      <w:r>
        <w:rPr>
          <w:rStyle w:val="FootnoteReference"/>
        </w:rPr>
        <w:footnoteRef/>
      </w:r>
      <w:r>
        <w:t xml:space="preserve"> </w:t>
      </w:r>
      <w:r>
        <w:t xml:space="preserve">Demonstracja dowodząca słuszności mojego twierdzenia znajduje się w dodatku C do mojej książki</w:t>
      </w:r>
      <w:r>
        <w:t xml:space="preserve"> </w:t>
      </w:r>
      <w:r>
        <w:rPr>
          <w:iCs/>
          <w:i/>
        </w:rPr>
        <w:t xml:space="preserve">The Identity of the New Testament Text IV</w:t>
      </w:r>
      <w:r>
        <w:t xml:space="preserve">, dostępnej na Amazon.com jak również na mojej stronie internetowej www.prunch.org.</w:t>
      </w:r>
    </w:p>
  </w:footnote>
  <w:footnote w:id="152">
    <w:p>
      <w:pPr>
        <w:pStyle w:val="FootnoteText"/>
      </w:pPr>
      <w:r>
        <w:rPr>
          <w:rStyle w:val="FootnoteReference"/>
        </w:rPr>
        <w:footnoteRef/>
      </w:r>
      <w:r>
        <w:t xml:space="preserve"> </w:t>
      </w:r>
      <w:r>
        <w:t xml:space="preserve">Do tej pory unikałem wprowadzenia argumentów opartych na opatrzności Bożej, ponieważ nie wszyscy akceptują taką argumentację, a także dlatego, że wyższość Tekstu Bizantyjskiego można wykazać bez uciekania się do niej. Uważam zatem, że przedstawiony powyżej argument oparty na prawdopodobieństwie statystycznym jest w obecnej postaci zasadny. Jednakże, choć nie argumentowałem w oparciu o Opatrzność, pragnę, aby czytelnik rozumiał, że osobiście nie uważam, aby zachowanie prawdziwego tekstu przebiegało w sposób tak mechaniczny, jak mogłaby sugerować powyższa dyskusja. Z przytoczonych wcześniej dowodów wydaje się jasne, że bardzo wiele wariantów odczytów (być może większość tych ze złymi zamiarami), które istniały w II wieku, po prostu nie przetrwało – nie mamy zachowanych żadnych świadectw ich istnienia. Możemy rozsądnie wnioskować, że pierwsi chrześcijanie byli troskliwymi i zdolnymi strażnikami prawdziwego tekstu. Chciałbym wierzyć, że byli wspomagani i wspierani przez Ducha Świętego. W takim przypadku bezpieczeństwo tekstu jest znacznie większe, niż sugeruje to samo prawdopodobieństwo, włącznie z twierdzeniem, że żadne z oryginalnych sformułowań nie zostało utracone.</w:t>
      </w:r>
    </w:p>
  </w:footnote>
  <w:footnote w:id="153">
    <w:p>
      <w:pPr>
        <w:pStyle w:val="FootnoteText"/>
      </w:pPr>
      <w:r>
        <w:rPr>
          <w:rStyle w:val="FootnoteReference"/>
        </w:rPr>
        <w:footnoteRef/>
      </w:r>
      <w:r>
        <w:t xml:space="preserve"> </w:t>
      </w:r>
      <w:r>
        <w:t xml:space="preserve">W ramach szerokiego nurtu bizantyjskiego istnieją dziesiątki mniejszych odgałęzień (przypomnijmy, że F. Wisse wyodrębnił 36 grup, obejmujących 70 podgrup), jednak największą odrębną linią przekazu jest Rodzina 35, stanowiąca główny nurt, i to właśnie tę rodzinę Bóg wykorzystał do zachowania precyzyjnych, oryginalnych sformułowań. Więcej informacji na ten temat można znaleźć w części II.</w:t>
      </w:r>
    </w:p>
  </w:footnote>
  <w:footnote w:id="154">
    <w:p>
      <w:pPr>
        <w:pStyle w:val="FootnoteText"/>
      </w:pPr>
      <w:r>
        <w:rPr>
          <w:rStyle w:val="FootnoteReference"/>
        </w:rPr>
        <w:footnoteRef/>
      </w:r>
      <w:r>
        <w:t xml:space="preserve"> </w:t>
      </w:r>
      <w:r>
        <w:t xml:space="preserve">Zarzuca mi się niekonsekwencję w tym, że krytykuję Westcotta i Horta za traktowanie Nowego Testamentu jak każdej innej książki, a sam twierdzę, że Tekst Większościowy jest wynikiem „normalnego przebiegu przekazywania”. Nic podobnego, odnoszę się do normalnego przebiegu przekazywania</w:t>
      </w:r>
      <w:r>
        <w:t xml:space="preserve"> </w:t>
      </w:r>
      <w:r>
        <w:rPr>
          <w:bCs/>
          <w:b/>
        </w:rPr>
        <w:t xml:space="preserve">natchnionego Tekstu</w:t>
      </w:r>
      <w:r>
        <w:t xml:space="preserve">, czemu Westcott i Hort zaprzeczali. Odnoszę się do wierzących kopiujących tekst, który</w:t>
      </w:r>
      <w:r>
        <w:t xml:space="preserve"> </w:t>
      </w:r>
      <w:r>
        <w:rPr>
          <w:bCs/>
          <w:b/>
        </w:rPr>
        <w:t xml:space="preserve">oni</w:t>
      </w:r>
      <w:r>
        <w:t xml:space="preserve"> </w:t>
      </w:r>
      <w:r>
        <w:t xml:space="preserve">uważali za natchniony. Ponadto uznaję również „nienormalny przebieg przekazywania”, podczas gdy Westcott i Hort tego nie robili. Gordon Fee poważnie zniekształca moje stanowisko, ignorując moją dyskusję na temat nienormalnego przebiegu przekazywania (G.D. Fee, „A Critique of W.N. Pickering’s</w:t>
      </w:r>
      <w:r>
        <w:t xml:space="preserve"> </w:t>
      </w:r>
      <w:r>
        <w:rPr>
          <w:iCs/>
          <w:i/>
        </w:rPr>
        <w:t xml:space="preserve">The Identity of the New Testament Text</w:t>
      </w:r>
      <w:r>
        <w:t xml:space="preserve">: A Review Article”,</w:t>
      </w:r>
      <w:r>
        <w:t xml:space="preserve"> </w:t>
      </w:r>
      <w:r>
        <w:rPr>
          <w:iCs/>
          <w:i/>
        </w:rPr>
        <w:t xml:space="preserve">The Westminster Theological Journal</w:t>
      </w:r>
      <w:r>
        <w:t xml:space="preserve">, XLI [wiosna 1979], str. 404-408) oraz błędnie przedstawiając mój pogląd na temat normalnego przebiegu przekazywania (</w:t>
      </w:r>
      <w:r>
        <w:rPr>
          <w:iCs/>
          <w:i/>
        </w:rPr>
        <w:t xml:space="preserve">Ibid</w:t>
      </w:r>
      <w:r>
        <w:t xml:space="preserve">., str. 399). Uważam, że 95% wariantów, te oczywiste błędy transkrypcyjne, należą (w większości) do normalnego przebiegu przekazywania, podczas gdy większość pozostałych 5%, te „znaczące” warianty, należą do nienormalnego przebiegu przekazywania.</w:t>
      </w:r>
    </w:p>
  </w:footnote>
  <w:footnote w:id="155">
    <w:p>
      <w:pPr>
        <w:pStyle w:val="FootnoteText"/>
      </w:pPr>
      <w:r>
        <w:rPr>
          <w:rStyle w:val="FootnoteReference"/>
        </w:rPr>
        <w:footnoteRef/>
      </w:r>
      <w:r>
        <w:t xml:space="preserve"> </w:t>
      </w:r>
      <w:r>
        <w:t xml:space="preserve">3 J.W. Burgon,</w:t>
      </w:r>
      <w:r>
        <w:t xml:space="preserve"> </w:t>
      </w:r>
      <w:r>
        <w:rPr>
          <w:iCs/>
          <w:i/>
        </w:rPr>
        <w:t xml:space="preserve">The Revision Revised</w:t>
      </w:r>
      <w:r>
        <w:t xml:space="preserve"> </w:t>
      </w:r>
      <w:r>
        <w:t xml:space="preserve">(Londyn: John Murray, 1883), s. 323–324.</w:t>
      </w:r>
    </w:p>
  </w:footnote>
  <w:footnote w:id="156">
    <w:p>
      <w:pPr>
        <w:pStyle w:val="FootnoteText"/>
      </w:pPr>
      <w:r>
        <w:rPr>
          <w:rStyle w:val="FootnoteReference"/>
        </w:rPr>
        <w:footnoteRef/>
      </w:r>
      <w:r>
        <w:t xml:space="preserve"> </w:t>
      </w:r>
      <w:r>
        <w:t xml:space="preserve">E.C. Colwell, „The Origin of Text-types of New Testament Manuscripts”,</w:t>
      </w:r>
      <w:r>
        <w:t xml:space="preserve"> </w:t>
      </w:r>
      <w:r>
        <w:rPr>
          <w:iCs/>
          <w:i/>
        </w:rPr>
        <w:t xml:space="preserve">Early Christian Origins</w:t>
      </w:r>
      <w:r>
        <w:t xml:space="preserve">, red. Allen Wikgren (Chicago: Quadrangle Books, 1961), s. 138.</w:t>
      </w:r>
    </w:p>
  </w:footnote>
  <w:footnote w:id="157">
    <w:p>
      <w:pPr>
        <w:pStyle w:val="FootnoteText"/>
      </w:pPr>
      <w:r>
        <w:rPr>
          <w:rStyle w:val="FootnoteReference"/>
        </w:rPr>
        <w:footnoteRef/>
      </w:r>
      <w:r>
        <w:t xml:space="preserve"> </w:t>
      </w:r>
      <w:r>
        <w:t xml:space="preserve">F.H.A. Scrivener,</w:t>
      </w:r>
      <w:r>
        <w:t xml:space="preserve"> </w:t>
      </w:r>
      <w:r>
        <w:rPr>
          <w:iCs/>
          <w:i/>
        </w:rPr>
        <w:t xml:space="preserve">A Plain Introduction to the Criticism of the New Testament</w:t>
      </w:r>
      <w:r>
        <w:t xml:space="preserve">, wydanie czwarte pod redakcją E. Millera (2 tomy; Londyn: George Bell and Sons, 1894), II, 264.</w:t>
      </w:r>
    </w:p>
  </w:footnote>
  <w:footnote w:id="158">
    <w:p>
      <w:pPr>
        <w:pStyle w:val="FootnoteText"/>
      </w:pPr>
      <w:r>
        <w:rPr>
          <w:rStyle w:val="FootnoteReference"/>
        </w:rPr>
        <w:footnoteRef/>
      </w:r>
      <w:r>
        <w:t xml:space="preserve"> </w:t>
      </w:r>
      <w:r>
        <w:t xml:space="preserve">G.D. Kilpatrick, „The Transmission of the New Testament and its Reliability”,</w:t>
      </w:r>
      <w:r>
        <w:t xml:space="preserve"> </w:t>
      </w:r>
      <w:r>
        <w:rPr>
          <w:iCs/>
          <w:i/>
        </w:rPr>
        <w:t xml:space="preserve">The Bible Translator</w:t>
      </w:r>
      <w:r>
        <w:t xml:space="preserve">, IX (lipiec 1958), 128-29.</w:t>
      </w:r>
    </w:p>
  </w:footnote>
  <w:footnote w:id="159">
    <w:p>
      <w:pPr>
        <w:pStyle w:val="FootnoteText"/>
      </w:pPr>
      <w:r>
        <w:rPr>
          <w:rStyle w:val="FootnoteReference"/>
        </w:rPr>
        <w:footnoteRef/>
      </w:r>
      <w:r>
        <w:t xml:space="preserve"> </w:t>
      </w:r>
      <w:r>
        <w:t xml:space="preserve">G. Zuntz,</w:t>
      </w:r>
      <w:r>
        <w:t xml:space="preserve"> </w:t>
      </w:r>
      <w:r>
        <w:rPr>
          <w:iCs/>
          <w:i/>
        </w:rPr>
        <w:t xml:space="preserve">The Text of the Epistles</w:t>
      </w:r>
      <w:r>
        <w:t xml:space="preserve"> </w:t>
      </w:r>
      <w:r>
        <w:t xml:space="preserve">(Londyn: Oxford University Press, 1953), s. 11.</w:t>
      </w:r>
    </w:p>
  </w:footnote>
  <w:footnote w:id="160">
    <w:p>
      <w:pPr>
        <w:pStyle w:val="FootnoteText"/>
      </w:pPr>
      <w:r>
        <w:rPr>
          <w:rStyle w:val="FootnoteReference"/>
        </w:rPr>
        <w:footnoteRef/>
      </w:r>
      <w:r>
        <w:t xml:space="preserve"> </w:t>
      </w:r>
      <w:r>
        <w:t xml:space="preserve">Kilpatrick, „Atticism and the Text of the Greek New Testament”, Neutestamentliche Aufsatze (Regensburg: Verlag Friedrich Pustet, 1963), s. 129–130.</w:t>
      </w:r>
    </w:p>
  </w:footnote>
  <w:footnote w:id="161">
    <w:p>
      <w:pPr>
        <w:pStyle w:val="FootnoteText"/>
      </w:pPr>
      <w:r>
        <w:rPr>
          <w:rStyle w:val="FootnoteReference"/>
        </w:rPr>
        <w:footnoteRef/>
      </w:r>
      <w:r>
        <w:t xml:space="preserve"> </w:t>
      </w:r>
      <w:r>
        <w:t xml:space="preserve">Uważam, że można zasadnie założyć, iż istotne warianty, które po raz pierwszy pojawiają się w późniejszym okresie wśród zachowanych manuskryptów, powstały w rzeczywistości znacznie wcześniej.</w:t>
      </w:r>
    </w:p>
  </w:footnote>
  <w:footnote w:id="162">
    <w:p>
      <w:pPr>
        <w:pStyle w:val="FootnoteText"/>
      </w:pPr>
      <w:r>
        <w:rPr>
          <w:rStyle w:val="FootnoteReference"/>
        </w:rPr>
        <w:footnoteRef/>
      </w:r>
      <w:r>
        <w:t xml:space="preserve"> </w:t>
      </w:r>
      <w:r>
        <w:t xml:space="preserve">Gajusz/Kajusz (II/III wiek). Euzebiusz z Cezarei w dziele Historia kościelna twierdzi, że Kajusz jest autorem dialogu pt. Przeciwko Prokulowi, zwolennikowi Montana. Dzieło to zachowało się we fragmentach. [przyp. tłum.]</w:t>
      </w:r>
      <w:r>
        <w:br/>
      </w:r>
      <w:r>
        <w:t xml:space="preserve">https://pl.wikipedia.org/wiki/Kajusz_(kap%C5%82an)</w:t>
      </w:r>
    </w:p>
  </w:footnote>
  <w:footnote w:id="163">
    <w:p>
      <w:pPr>
        <w:pStyle w:val="FootnoteText"/>
      </w:pPr>
      <w:r>
        <w:rPr>
          <w:rStyle w:val="FootnoteReference"/>
        </w:rPr>
        <w:footnoteRef/>
      </w:r>
      <w:r>
        <w:t xml:space="preserve"> </w:t>
      </w:r>
      <w:r>
        <w:t xml:space="preserve">Zob. Burgon,</w:t>
      </w:r>
      <w:r>
        <w:t xml:space="preserve"> </w:t>
      </w:r>
      <w:r>
        <w:rPr>
          <w:iCs/>
          <w:i/>
        </w:rPr>
        <w:t xml:space="preserve">The Revision Revised</w:t>
      </w:r>
      <w:r>
        <w:t xml:space="preserve">, s. 323.</w:t>
      </w:r>
    </w:p>
  </w:footnote>
  <w:footnote w:id="168">
    <w:p>
      <w:pPr>
        <w:pStyle w:val="FootnoteText"/>
      </w:pPr>
      <w:r>
        <w:rPr>
          <w:rStyle w:val="FootnoteReference"/>
        </w:rPr>
        <w:footnoteRef/>
      </w:r>
      <w:r>
        <w:t xml:space="preserve"> </w:t>
      </w:r>
      <w:r>
        <w:t xml:space="preserve">Historia miejsca, w którym znaleziono Kodeks W, wskazuje, że musiał on zostać skopiowany przed 200 r. n.e.: znaleziono go w ruinach miasta opuszczonego w 200 r. n.e. kiedy jego wody wyschły. Miasto to położone jest na odizolowanym obszarze otoczonym pustynią. Ponieważ Kodeks W wykazuje wpływy bizantyjskie, ten typ tekstu istniał już w II wieku.</w:t>
      </w:r>
    </w:p>
  </w:footnote>
  <w:footnote w:id="169">
    <w:p>
      <w:pPr>
        <w:pStyle w:val="FootnoteText"/>
      </w:pPr>
      <w:r>
        <w:rPr>
          <w:rStyle w:val="FootnoteReference"/>
        </w:rPr>
        <w:footnoteRef/>
      </w:r>
      <w:r>
        <w:t xml:space="preserve"> </w:t>
      </w:r>
      <w:r>
        <w:t xml:space="preserve">Bardziej szczegółowe omówienie tej kwestii można znaleźć w sekcji „Imperialne represje wobec Nowego Testamentu” w rozdziale 6 mojej książki</w:t>
      </w:r>
      <w:r>
        <w:t xml:space="preserve"> </w:t>
      </w:r>
      <w:r>
        <w:rPr>
          <w:iCs/>
          <w:i/>
        </w:rPr>
        <w:t xml:space="preserve">The Identity of the New Testament Text IV</w:t>
      </w:r>
      <w:r>
        <w:t xml:space="preserve">, dostępnej na Amazon.com oraz na mojej stronie internetowej www.prunch.org.</w:t>
      </w:r>
    </w:p>
  </w:footnote>
  <w:footnote w:id="170">
    <w:p>
      <w:pPr>
        <w:pStyle w:val="FootnoteText"/>
      </w:pPr>
      <w:r>
        <w:rPr>
          <w:rStyle w:val="FootnoteReference"/>
        </w:rPr>
        <w:footnoteRef/>
      </w:r>
      <w:r>
        <w:t xml:space="preserve"> </w:t>
      </w:r>
      <w:r>
        <w:t xml:space="preserve">Można by na przykład mówić o wirze P</w:t>
      </w:r>
      <w:r>
        <w:rPr>
          <w:vertAlign w:val="superscript"/>
        </w:rPr>
        <w:t xml:space="preserve">45</w:t>
      </w:r>
      <w:r>
        <w:t xml:space="preserve">/W [papirus 45 z kodeksu</w:t>
      </w:r>
      <w:r>
        <w:t xml:space="preserve"> </w:t>
      </w:r>
      <w:r>
        <w:rPr>
          <w:iCs/>
          <w:i/>
        </w:rPr>
        <w:t xml:space="preserve">W</w:t>
      </w:r>
      <w:r>
        <w:t xml:space="preserve">, czyli Waszyngtońskiego, przyp. tłum.] albo wirze P</w:t>
      </w:r>
      <w:r>
        <w:rPr>
          <w:vertAlign w:val="superscript"/>
        </w:rPr>
        <w:t xml:space="preserve">75</w:t>
      </w:r>
      <w:r>
        <w:t xml:space="preserve">/B [papirus 75 z kodeksu</w:t>
      </w:r>
      <w:r>
        <w:t xml:space="preserve"> </w:t>
      </w:r>
      <w:r>
        <w:rPr>
          <w:iCs/>
          <w:i/>
        </w:rPr>
        <w:t xml:space="preserve">B</w:t>
      </w:r>
      <w:r>
        <w:t xml:space="preserve">, czyli Watykańskiego, przyp. tłum.].</w:t>
      </w:r>
    </w:p>
  </w:footnote>
  <w:footnote w:id="171">
    <w:p>
      <w:pPr>
        <w:pStyle w:val="FootnoteText"/>
      </w:pPr>
      <w:r>
        <w:rPr>
          <w:rStyle w:val="FootnoteReference"/>
        </w:rPr>
        <w:footnoteRef/>
      </w:r>
      <w:r>
        <w:t xml:space="preserve"> </w:t>
      </w:r>
      <w:r>
        <w:t xml:space="preserve">Chociaż w niektórych swoich pracach zastosowałem z konieczności termin „typ tekstu”, postrzegam Tekst Większościowy jako będący znacznie szerszy. Jest to tradycja tekstowa, o której można powiedzieć, że obejmuje szereg powiązanych „typów tekstów”, takich jak K</w:t>
      </w:r>
      <w:r>
        <w:rPr>
          <w:vertAlign w:val="superscript"/>
        </w:rPr>
        <w:t xml:space="preserve">a</w:t>
      </w:r>
      <w:r>
        <w:t xml:space="preserve">, K</w:t>
      </w:r>
      <w:r>
        <w:rPr>
          <w:vertAlign w:val="superscript"/>
        </w:rPr>
        <w:t xml:space="preserve">i</w:t>
      </w:r>
      <w:r>
        <w:t xml:space="preserve"> </w:t>
      </w:r>
      <w:r>
        <w:t xml:space="preserve">i K</w:t>
      </w:r>
      <w:r>
        <w:rPr>
          <w:vertAlign w:val="superscript"/>
        </w:rPr>
        <w:t xml:space="preserve">l</w:t>
      </w:r>
      <w:r>
        <w:t xml:space="preserve"> </w:t>
      </w:r>
      <w:r>
        <w:t xml:space="preserve">von Sodena. Pragnę ponownie podkreślić, że to tylko zgodność w błędach determinuje relacje genealogiczne. Wynika z tego, że pojęcia „genealogii” i „typu tekstu” są nieistotne w odniesieniu do oryginalnych odczytów – są one przydatne jedynie (gdy są właściwie stosowane) do identyfikacji fałszywych odczytów. Cóż, jeśli istnieje rodzina, która odzwierciedla oryginał bardzo blisko, jej „profil” lub mozaika odczytów odróżni ją od wszystkich innych rodzin, ale większość tych odczytów nie będzie błędami (konkurencyjne warianty charakterystyczne dla innych rodzin</w:t>
      </w:r>
      <w:r>
        <w:t xml:space="preserve"> </w:t>
      </w:r>
      <w:r>
        <w:rPr>
          <w:bCs/>
          <w:b/>
        </w:rPr>
        <w:t xml:space="preserve">będą</w:t>
      </w:r>
      <w:r>
        <w:t xml:space="preserve"> </w:t>
      </w:r>
      <w:r>
        <w:t xml:space="preserve">błędami).</w:t>
      </w:r>
    </w:p>
  </w:footnote>
  <w:footnote w:id="172">
    <w:p>
      <w:pPr>
        <w:pStyle w:val="FootnoteText"/>
      </w:pPr>
      <w:r>
        <w:rPr>
          <w:rStyle w:val="FootnoteReference"/>
        </w:rPr>
        <w:footnoteRef/>
      </w:r>
      <w:r>
        <w:t xml:space="preserve"> </w:t>
      </w:r>
      <w:r>
        <w:t xml:space="preserve">Nie jestem przygotowany do obrony podanych konkretnych liczb – są to</w:t>
      </w:r>
      <w:r>
        <w:t xml:space="preserve"> </w:t>
      </w:r>
      <w:r>
        <w:rPr>
          <w:bCs/>
          <w:b/>
        </w:rPr>
        <w:t xml:space="preserve">przypuszczenia</w:t>
      </w:r>
      <w:r>
        <w:t xml:space="preserve"> </w:t>
      </w:r>
      <w:r>
        <w:t xml:space="preserve">– ale uważam, że stanowią one rozsądne przybliżenie rzeczywistości. Zgadzam się w pełni z Colwellem, gdy podkreśla on, że musimy „rygorystycznie wyeliminować odczyt pojedynczy” („External Evidence and New Testament Criticism”,</w:t>
      </w:r>
      <w:r>
        <w:t xml:space="preserve"> </w:t>
      </w:r>
      <w:r>
        <w:rPr>
          <w:iCs/>
          <w:i/>
        </w:rPr>
        <w:t xml:space="preserve">Studies in the History of the Text of the New Testament</w:t>
      </w:r>
      <w:r>
        <w:t xml:space="preserve">, red. B.L. Daniels i M.J. Suggs [Salt Lake City: University of Utah Press, 1967], s. 8) w oparciu o całkowicie rozsądne założenie (jak mi się wydaje), że pojedynczy świadek przeciwko całemu światu nie może mieć racji.</w:t>
      </w:r>
    </w:p>
  </w:footnote>
  <w:footnote w:id="173">
    <w:p>
      <w:pPr>
        <w:pStyle w:val="FootnoteText"/>
      </w:pPr>
      <w:r>
        <w:rPr>
          <w:rStyle w:val="FootnoteReference"/>
        </w:rPr>
        <w:footnoteRef/>
      </w:r>
      <w:r>
        <w:t xml:space="preserve"> </w:t>
      </w:r>
      <w:r>
        <w:t xml:space="preserve">Z pewnością zostanie mi przypomniane, że świadków należy ważyć, a nie liczyć. Moje rozważania na ten temat można znaleźć w rozdziale 6 mojej książki</w:t>
      </w:r>
      <w:r>
        <w:t xml:space="preserve"> </w:t>
      </w:r>
      <w:r>
        <w:rPr>
          <w:iCs/>
          <w:i/>
        </w:rPr>
        <w:t xml:space="preserve">Identity IV</w:t>
      </w:r>
      <w:r>
        <w:t xml:space="preserve">, w sekcji zatytułowanej „Czy świadków nie należy raczej ważyć, a nie liczyć?”.</w:t>
      </w:r>
    </w:p>
  </w:footnote>
  <w:footnote w:id="174">
    <w:p>
      <w:pPr>
        <w:pStyle w:val="FootnoteText"/>
      </w:pPr>
      <w:r>
        <w:rPr>
          <w:rStyle w:val="FootnoteReference"/>
        </w:rPr>
        <w:footnoteRef/>
      </w:r>
      <w:r>
        <w:t xml:space="preserve"> </w:t>
      </w:r>
      <w:r>
        <w:t xml:space="preserve">Sturz,</w:t>
      </w:r>
      <w:r>
        <w:t xml:space="preserve"> </w:t>
      </w:r>
      <w:r>
        <w:rPr>
          <w:iCs/>
          <w:i/>
        </w:rPr>
        <w:t xml:space="preserve">Op. Cit.</w:t>
      </w:r>
      <w:r>
        <w:t xml:space="preserve"> </w:t>
      </w:r>
      <w:r>
        <w:t xml:space="preserve">[łac.</w:t>
      </w:r>
      <w:r>
        <w:t xml:space="preserve"> </w:t>
      </w:r>
      <w:r>
        <w:rPr>
          <w:iCs/>
          <w:i/>
        </w:rPr>
        <w:t xml:space="preserve">opus citatum</w:t>
      </w:r>
      <w:r>
        <w:t xml:space="preserve"> </w:t>
      </w:r>
      <w:r>
        <w:t xml:space="preserve">- „w cytowanym dziele” / „dzieło cytowane”, przyp. tłum.] Tekst powstały przez przyjęcie dwóch „typów tekstów” przeciw jednemu przesunąłby tekst UBS [tekst UBS to tekst krytyczny wydawany przez United Bible Societies, przyp. tłum.] o około 80% drogi w kierunku tekstu większościowego.</w:t>
      </w:r>
    </w:p>
  </w:footnote>
  <w:footnote w:id="175">
    <w:p>
      <w:pPr>
        <w:pStyle w:val="FootnoteText"/>
      </w:pPr>
      <w:r>
        <w:rPr>
          <w:rStyle w:val="FootnoteReference"/>
        </w:rPr>
        <w:footnoteRef/>
      </w:r>
      <w:r>
        <w:t xml:space="preserve"> </w:t>
      </w:r>
      <w:r>
        <w:t xml:space="preserve">Odczyty wraz z popierającymi je manuskryptami są jak następuje [w formie:</w:t>
      </w:r>
      <w:r>
        <w:t xml:space="preserve"> </w:t>
      </w:r>
      <w:r>
        <w:rPr>
          <w:iCs/>
          <w:i/>
        </w:rPr>
        <w:t xml:space="preserve">grecka fraza</w:t>
      </w:r>
      <w:r>
        <w:t xml:space="preserve"> </w:t>
      </w:r>
      <w:r>
        <w:t xml:space="preserve">- identyfikatory manuskryptów, przyp. tłum.]:</w:t>
      </w:r>
    </w:p>
    <w:p>
      <w:pPr>
        <w:pStyle w:val="FootnoteText"/>
      </w:pPr>
      <w:r>
        <w:rPr>
          <w:iCs/>
          <w:i/>
        </w:rPr>
        <w:t xml:space="preserve">ο</w:t>
      </w:r>
      <w:r>
        <w:t xml:space="preserve"> </w:t>
      </w:r>
      <w:r>
        <w:t xml:space="preserve">– D</w:t>
      </w:r>
    </w:p>
    <w:p>
      <w:pPr>
        <w:pStyle w:val="FootnoteText"/>
      </w:pPr>
      <w:r>
        <w:rPr>
          <w:iCs/>
          <w:i/>
        </w:rPr>
        <w:t xml:space="preserve">ω</w:t>
      </w:r>
      <w:r>
        <w:t xml:space="preserve"> </w:t>
      </w:r>
      <w:r>
        <w:t xml:space="preserve">– 061</w:t>
      </w:r>
    </w:p>
    <w:p>
      <w:pPr>
        <w:pStyle w:val="FootnoteText"/>
      </w:pPr>
      <w:r>
        <w:rPr>
          <w:iCs/>
          <w:i/>
        </w:rPr>
        <w:t xml:space="preserve">ος Θεος</w:t>
      </w:r>
      <w:r>
        <w:t xml:space="preserve"> </w:t>
      </w:r>
      <w:r>
        <w:t xml:space="preserve">– jeden minuskuł [minuskuł/cursive - manuskrypt w którym litery są połączone ze sobą i często lekko pochylone w prawo, aby pisać szybciej i płynniej, przyp. tłum.], 256 (oraz jeden Lekcjonarz [lekcjonarz - księga liturgiczna zawierająca czytania biblijne do nabożeństw, przyp. tłum.])</w:t>
      </w:r>
    </w:p>
    <w:p>
      <w:pPr>
        <w:pStyle w:val="FootnoteText"/>
      </w:pPr>
      <w:r>
        <w:rPr>
          <w:iCs/>
          <w:i/>
        </w:rPr>
        <w:t xml:space="preserve">ος</w:t>
      </w:r>
      <w:r>
        <w:t xml:space="preserve"> </w:t>
      </w:r>
      <w:r>
        <w:t xml:space="preserve">– ℵ, 33, 365, 442, 1175, 2127 (plus trzy Lekcjonarze)</w:t>
      </w:r>
    </w:p>
    <w:p>
      <w:pPr>
        <w:pStyle w:val="FootnoteText"/>
      </w:pPr>
      <w:r>
        <w:rPr>
          <w:iCs/>
          <w:i/>
        </w:rPr>
        <w:t xml:space="preserve">Θεος</w:t>
      </w:r>
      <w:r>
        <w:t xml:space="preserve"> </w:t>
      </w:r>
      <w:r>
        <w:t xml:space="preserve">– A, C</w:t>
      </w:r>
      <w:r>
        <w:rPr>
          <w:vertAlign w:val="superscript"/>
        </w:rPr>
        <w:t xml:space="preserve">vid</w:t>
      </w:r>
      <w:r>
        <w:t xml:space="preserve">[vid - wydaje się, że ma taki odczyt, przyp. tłum.], F/G</w:t>
      </w:r>
      <w:r>
        <w:rPr>
          <w:vertAlign w:val="superscript"/>
        </w:rPr>
        <w:t xml:space="preserve">vid</w:t>
      </w:r>
      <w:r>
        <w:t xml:space="preserve">, K, L, P, Ψ, około 600 minuskułów (oprócz Lekcjonarzy) (w tym cztery minuskuły mające odczyt</w:t>
      </w:r>
      <w:r>
        <w:t xml:space="preserve"> </w:t>
      </w:r>
      <w:r>
        <w:rPr>
          <w:iCs/>
          <w:i/>
        </w:rPr>
        <w:t xml:space="preserve">ο Θεος</w:t>
      </w:r>
      <w:r>
        <w:t xml:space="preserve"> </w:t>
      </w:r>
      <w:r>
        <w:t xml:space="preserve">oraz jeden lekcjonarz mający odczyt</w:t>
      </w:r>
      <w:r>
        <w:t xml:space="preserve"> </w:t>
      </w:r>
      <w:r>
        <w:rPr>
          <w:iCs/>
          <w:i/>
        </w:rPr>
        <w:t xml:space="preserve">Θεου</w:t>
      </w:r>
      <w:r>
        <w:t xml:space="preserve">).</w:t>
      </w:r>
    </w:p>
    <w:p>
      <w:pPr>
        <w:pStyle w:val="FootnoteText"/>
      </w:pPr>
      <w:r>
        <w:t xml:space="preserve">Będzie zauważone, że moje sformułowanie różni się na przykład od tego zawartego w tekście UBS. Proponuję następujące wyjaśnienie.</w:t>
      </w:r>
    </w:p>
    <w:p>
      <w:pPr>
        <w:pStyle w:val="FootnoteText"/>
      </w:pPr>
      <w:r>
        <w:t xml:space="preserve">Young, Huish, Pearson, Fell i Mill w XVII wieku, Creyk, Bentley, Wotton, Wetstein, Bengel, Berriman i Woide w XVIII wieku, a także Scrivener jeszcze w 1881 roku – wszyscy oni potwierdzili po dokładnej analizie, że w Kodeksie A widnieje słowo „Bóg”. Aby zapoznać się z dogłębną dyskusją na ten temat, proszę zajrzeć do Burgona, który mówi w odniesieniu do Woide’a: „Ten uczony i skrupulatny redaktor Kodeksu oświadcza, że jeszcze w 1765 roku dostrzegał ślady litery</w:t>
      </w:r>
      <w:r>
        <w:t xml:space="preserve"> </w:t>
      </w:r>
      <w:r>
        <w:rPr>
          <w:iCs/>
          <w:i/>
        </w:rPr>
        <w:t xml:space="preserve">Θ</w:t>
      </w:r>
      <w:r>
        <w:t xml:space="preserve">, które dwadzieścia lat później (tj. w 1785 roku) przestały być dla niego widoczne” (</w:t>
      </w:r>
      <w:r>
        <w:rPr>
          <w:iCs/>
          <w:i/>
        </w:rPr>
        <w:t xml:space="preserve">The Revision Revised</w:t>
      </w:r>
      <w:r>
        <w:t xml:space="preserve">, s. 434. Por. s. 431-436). Dopiero po 1765 r. uczeni zaczęli kwestionować odczyt A (z powodu wyblaknięcia i zużycia środkowa linia litery theta nie jest już zauważalna).</w:t>
      </w:r>
    </w:p>
    <w:p>
      <w:pPr>
        <w:pStyle w:val="FootnoteText"/>
      </w:pPr>
      <w:r>
        <w:t xml:space="preserve">H.C. Hoskier poświęcił dodatek J do pracy</w:t>
      </w:r>
      <w:r>
        <w:t xml:space="preserve"> </w:t>
      </w:r>
      <w:r>
        <w:rPr>
          <w:iCs/>
          <w:i/>
        </w:rPr>
        <w:t xml:space="preserve">A Full Account and Collation of the Greek Codex Evangelium 604</w:t>
      </w:r>
      <w:r>
        <w:t xml:space="preserve"> </w:t>
      </w:r>
      <w:r>
        <w:t xml:space="preserve">(Londyn: David Nutt, 1890) (załącznik ten jest przedrukiem części artykułu, który ukazał się w</w:t>
      </w:r>
      <w:r>
        <w:t xml:space="preserve"> </w:t>
      </w:r>
      <w:r>
        <w:rPr>
          <w:iCs/>
          <w:i/>
        </w:rPr>
        <w:t xml:space="preserve">Clergyman’s Magazine</w:t>
      </w:r>
      <w:r>
        <w:t xml:space="preserve"> </w:t>
      </w:r>
      <w:r>
        <w:t xml:space="preserve">z lutego 1887 r.) na szczegółową dyskusję dotyczącą odczytu Kodeksu C. Spędził trzy godziny na badaniu omawianego fragmentu w tym manuskrypcie (sam manuskrypt) i przytacza dowody, które moim zdaniem jasno wskazują, że pierwotnym odczytem C jest „Bóg”. Przeanalizował otaczający kontekst i zauważa: „</w:t>
      </w:r>
      <w:r>
        <w:rPr>
          <w:bCs/>
          <w:b/>
        </w:rPr>
        <w:t xml:space="preserve">Kreska skrótu</w:t>
      </w:r>
      <w:r>
        <w:t xml:space="preserve"> </w:t>
      </w:r>
      <w:r>
        <w:t xml:space="preserve">[ang.</w:t>
      </w:r>
      <w:r>
        <w:t xml:space="preserve"> </w:t>
      </w:r>
      <w:r>
        <w:rPr>
          <w:iCs/>
          <w:i/>
        </w:rPr>
        <w:t xml:space="preserve">contracting bar</w:t>
      </w:r>
      <w:r>
        <w:t xml:space="preserve">, pozioma kreska nad wyrazem używana w greckich rękopisach przy nomina sacra (skróty imion świętych) w greckich i łacińskich rękopisach biblijnych, np. ΘΣ̅ jako skrót od Θεός („Bóg”) - pl.wikipedia.org/wiki/Nomina_sacra, przyp. tłum.] często zanikała całkowicie (jak sądzę, na podstawie pobieżnej analizy, częściej niż rzadziej), ale w innych przypadkach jest wyraźna i umieszczona w taki sam sposób, jak w 1 Liście do Tymoteusza 3,16” (Dodatek J, s. 2). Zob. również Burgon,</w:t>
      </w:r>
      <w:r>
        <w:t xml:space="preserve"> </w:t>
      </w:r>
      <w:r>
        <w:rPr>
          <w:iCs/>
          <w:i/>
        </w:rPr>
        <w:t xml:space="preserve">Ibid.</w:t>
      </w:r>
      <w:r>
        <w:t xml:space="preserve">, s. 437-438.</w:t>
      </w:r>
    </w:p>
    <w:p>
      <w:pPr>
        <w:pStyle w:val="FootnoteText"/>
      </w:pPr>
      <w:r>
        <w:t xml:space="preserve">W kodeksach F/G występuje odczyt</w:t>
      </w:r>
      <w:r>
        <w:t xml:space="preserve"> </w:t>
      </w:r>
      <w:r>
        <w:rPr>
          <w:iCs/>
          <w:i/>
        </w:rPr>
        <w:t xml:space="preserve">OC</w:t>
      </w:r>
      <w:r>
        <w:t xml:space="preserve">, gdzie kreska skrótu ma postać ukośnej kreski. Argumentowano, że kreska ta oznacza aspiratę [</w:t>
      </w:r>
      <w:r>
        <w:rPr>
          <w:iCs/>
          <w:i/>
        </w:rPr>
        <w:t xml:space="preserve">aspirata</w:t>
      </w:r>
      <w:r>
        <w:t xml:space="preserve"> </w:t>
      </w:r>
      <w:r>
        <w:t xml:space="preserve">- spółgłoska wymawiana z przydechem, czyli następującym po niej dźwiękiem przypominającym krótkie</w:t>
      </w:r>
      <w:r>
        <w:t xml:space="preserve"> </w:t>
      </w:r>
      <w:r>
        <w:t xml:space="preserve">‘</w:t>
      </w:r>
      <w:r>
        <w:t xml:space="preserve">h</w:t>
      </w:r>
      <w:r>
        <w:t xml:space="preserve">’</w:t>
      </w:r>
      <w:r>
        <w:t xml:space="preserve"> </w:t>
      </w:r>
      <w:r>
        <w:t xml:space="preserve">- https://sjp.pl/aspirata, przyp. tłum.]</w:t>
      </w:r>
      <w:r>
        <w:t xml:space="preserve"> </w:t>
      </w:r>
      <w:r>
        <w:rPr>
          <w:iCs/>
          <w:i/>
        </w:rPr>
        <w:t xml:space="preserve">ος</w:t>
      </w:r>
      <w:r>
        <w:t xml:space="preserve">, ale Burgon dowodzi, że omawiana kreska nigdy nie oznacza oddechu, lecz jest niezmiennie znakiem skrótu i potwierdza, że „</w:t>
      </w:r>
      <w:r>
        <w:rPr>
          <w:iCs/>
          <w:i/>
        </w:rPr>
        <w:t xml:space="preserve">ος</w:t>
      </w:r>
      <w:r>
        <w:t xml:space="preserve"> </w:t>
      </w:r>
      <w:r>
        <w:t xml:space="preserve">nie jest</w:t>
      </w:r>
      <w:r>
        <w:t xml:space="preserve"> </w:t>
      </w:r>
      <w:r>
        <w:rPr>
          <w:bCs/>
          <w:b/>
        </w:rPr>
        <w:t xml:space="preserve">nigdzie</w:t>
      </w:r>
      <w:r>
        <w:t xml:space="preserve"> </w:t>
      </w:r>
      <w:r>
        <w:t xml:space="preserve">indziej zapisane jako</w:t>
      </w:r>
      <w:r>
        <w:t xml:space="preserve"> </w:t>
      </w:r>
      <w:r>
        <w:rPr>
          <w:iCs/>
          <w:i/>
        </w:rPr>
        <w:t xml:space="preserve">OC</w:t>
      </w:r>
      <w:r>
        <w:t xml:space="preserve"> </w:t>
      </w:r>
      <w:r>
        <w:t xml:space="preserve">(z kreską) w żadnym z kodeksów” (</w:t>
      </w:r>
      <w:r>
        <w:rPr>
          <w:iCs/>
          <w:i/>
        </w:rPr>
        <w:t xml:space="preserve">Ibid.</w:t>
      </w:r>
      <w:r>
        <w:t xml:space="preserve">, s. 442. Por. s. 438-442). Prawdopodobnie kreska we wspólnym pierwowzorze stała się zbyt blada, by ją dostrzec. Jeśli chodzi o kursywę 365, Burgon przeprowadził wyczerpujące poszukiwania. Nie tylko nie udało mu się jej znaleźć, ale nie znalazł też żadnych dowodów na to, że kiedykolwiek istniała (</w:t>
      </w:r>
      <w:r>
        <w:rPr>
          <w:iCs/>
          <w:i/>
        </w:rPr>
        <w:t xml:space="preserve">Ibid.</w:t>
      </w:r>
      <w:r>
        <w:t xml:space="preserve">, s. 444-445) (niedawno poinformowano mnie, że została ona później ponownie odkryta przez Gregory’ego).</w:t>
      </w:r>
    </w:p>
    <w:p>
      <w:pPr>
        <w:pStyle w:val="FootnoteText"/>
      </w:pPr>
      <w:r>
        <w:t xml:space="preserve">(W pierwszym wydaniu mojej książki</w:t>
      </w:r>
      <w:r>
        <w:t xml:space="preserve"> </w:t>
      </w:r>
      <w:r>
        <w:rPr>
          <w:iCs/>
          <w:i/>
        </w:rPr>
        <w:t xml:space="preserve">Identity</w:t>
      </w:r>
      <w:r>
        <w:t xml:space="preserve"> </w:t>
      </w:r>
      <w:r>
        <w:t xml:space="preserve">odniosłem się do fragmentu z 1 Listu do Tymoteusza 3,16 wyłącznie po to, by zilustrować argument oparty na prawdopodobieństwie, a nie jako przykład „jak uprawiać krytykę tekstu” (por. Fee, „A Critique”, s. 423). Skoro jednak pojawiło się to pytanie, dodam kilka słów na ten temat.)</w:t>
      </w:r>
    </w:p>
    <w:p>
      <w:pPr>
        <w:pStyle w:val="FootnoteText"/>
      </w:pPr>
      <w:r>
        <w:t xml:space="preserve">Trzy istotne warianty, o które tutaj chodzi, są reprezentowane w starożytnych manuskryptach uncjalnych następująco: O, OC oraz</w:t>
      </w:r>
      <w:r>
        <w:t xml:space="preserve"> </w:t>
      </w:r>
      <w:r>
        <w:rPr>
          <w:iCs/>
          <w:i/>
        </w:rPr>
        <w:t xml:space="preserve">Θ</w:t>
      </w:r>
      <w:r>
        <w:t xml:space="preserve">C (z kreską skrótu nad dwiema literami), co oznacza odpowiednio „który”, „kto” i „Bóg”. Podczas pisania słowa „Bóg” pominięcie przez skrybę tych dwóch linii (z powodu pośpiechu lub chwilowego roztargnienia) skutkowałoby powstaniem słowa „kto”. W kodeksach A, C, F i G występuje wiele przypadków, w których ani linia krzyżowa, ani kreska skrótu nie są już zauważalne (albo oryginalna linia wyblakła do tego stopnia, że stała się niewidoczna, albo skryba mógł jej po prostu nie napisać). Zniknięcie obu linii, jak w przypadku Kodeksu A, jest prawdopodobnie rzadkim zjawiskiem. Nieumyślne pominięcie obu linii przez skrybę również byłoby prawdopodobnie rzadkim zjawiskiem, ale musiało się to zdarzyć przynajmniej raz, prawdopodobnie na początku II wieku i w okolicznościach, które wywołały szeroki efekt.</w:t>
      </w:r>
    </w:p>
    <w:p>
      <w:pPr>
        <w:pStyle w:val="FootnoteText"/>
      </w:pPr>
      <w:r>
        <w:t xml:space="preserve">Wyrażenie „ta tajemnica… kto” jest w języku greckim jeszcze bardziej niepoprawne niż w angielskim [oraz polskim, przyp. tłum.]. Gdy więc taki odczyt pojawił się i stał się znany, nieuniknione było podjęcie działań naprawczych. W związku z tym, pierwszy z powyższych odczytów, „ta tajemnica… która”, jest powszechnie uznawany za próbę uczynienia tego trudnego odczytu zrozumiałym. Musiało to jednak być wczesna zmiana, ponieważ całkowicie dominuje ona w tradycji łacińskiej, zarówno w wersjach, jak i u Ojców, a także jest prawdopodobnym odczytem wersji Syr</w:t>
      </w:r>
      <w:r>
        <w:rPr>
          <w:vertAlign w:val="superscript"/>
        </w:rPr>
        <w:t xml:space="preserve">p</w:t>
      </w:r>
      <w:r>
        <w:t xml:space="preserve"> </w:t>
      </w:r>
      <w:r>
        <w:t xml:space="preserve">i koptyjskiej. Występuje on tylko w jednym greckim manuskrypcie, Kodeksie D, i u żadnego greckiego Ojca przed V wiekiem.</w:t>
      </w:r>
    </w:p>
    <w:p>
      <w:pPr>
        <w:pStyle w:val="FootnoteText"/>
      </w:pPr>
      <w:r>
        <w:t xml:space="preserve">Większość współczesnych badaczy uznaje słowo „Bóg” za odrębną terapeutyczną reakcję na trudny odczyt. Chociaż dominuje ono w greckich manuskryptach (ponad 98 procent), to z pewnością potwierdzają je tylko dwie wersje: gruzińska i słowiańska (obie późne). Dominuje ono jednak również wśród Greckich Ojców. Około 100 r. n.e. możliwe aluzje pojawiają się u Barnaby: „</w:t>
      </w:r>
      <w:r>
        <w:rPr>
          <w:iCs/>
          <w:i/>
        </w:rPr>
        <w:t xml:space="preserve">Ιησους … ο υιος του Θεου τυπω και εν σαρκι φανερωθεις</w:t>
      </w:r>
      <w:r>
        <w:t xml:space="preserve">” (rozdz. XII) oraz u Ignacego: „</w:t>
      </w:r>
      <w:r>
        <w:rPr>
          <w:iCs/>
          <w:i/>
        </w:rPr>
        <w:t xml:space="preserve">Θεου ανθρωπινως φανερουμενου</w:t>
      </w:r>
      <w:r>
        <w:t xml:space="preserve">” (</w:t>
      </w:r>
      <w:r>
        <w:rPr>
          <w:iCs/>
          <w:i/>
        </w:rPr>
        <w:t xml:space="preserve">Ad Ephes.</w:t>
      </w:r>
      <w:r>
        <w:t xml:space="preserve"> </w:t>
      </w:r>
      <w:r>
        <w:t xml:space="preserve">rozdz. 19) oraz „</w:t>
      </w:r>
      <w:r>
        <w:rPr>
          <w:iCs/>
          <w:i/>
        </w:rPr>
        <w:t xml:space="preserve">εν σαρκι γενομενος Θεος</w:t>
      </w:r>
      <w:r>
        <w:t xml:space="preserve">” (</w:t>
      </w:r>
      <w:r>
        <w:rPr>
          <w:iCs/>
          <w:i/>
        </w:rPr>
        <w:t xml:space="preserve">Ibid.</w:t>
      </w:r>
      <w:r>
        <w:t xml:space="preserve">, rozdz. 7). W III wieku wydają się istnieć wyraźne odniesienia u Hipolita: „</w:t>
      </w:r>
      <w:r>
        <w:rPr>
          <w:iCs/>
          <w:i/>
        </w:rPr>
        <w:t xml:space="preserve">Θεος εν σωματι εφανερωθη</w:t>
      </w:r>
      <w:r>
        <w:t xml:space="preserve">” (</w:t>
      </w:r>
      <w:r>
        <w:rPr>
          <w:iCs/>
          <w:i/>
        </w:rPr>
        <w:t xml:space="preserve">Contra Haeresim Noeti</w:t>
      </w:r>
      <w:r>
        <w:t xml:space="preserve">, rozdz. XVII), u Dionizego: „</w:t>
      </w:r>
      <w:r>
        <w:rPr>
          <w:iCs/>
          <w:i/>
        </w:rPr>
        <w:t xml:space="preserve">Θεος γαρ εφανερωθη εν σαρκι</w:t>
      </w:r>
      <w:r>
        <w:t xml:space="preserve">” (</w:t>
      </w:r>
      <w:r>
        <w:rPr>
          <w:iCs/>
          <w:i/>
        </w:rPr>
        <w:t xml:space="preserve">Concilia</w:t>
      </w:r>
      <w:r>
        <w:t xml:space="preserve">, tom I 853a) oraz u Grzegorza Cudotwórcy: „</w:t>
      </w:r>
      <w:r>
        <w:rPr>
          <w:iCs/>
          <w:i/>
        </w:rPr>
        <w:t xml:space="preserve">και εστιν Θεος αληθινος ο ασαρκος εν σαρκι φανερωθεις</w:t>
      </w:r>
      <w:r>
        <w:t xml:space="preserve">” (cytowane przez Focjusza). W IV wieku pojawiają się wyraźne cytaty lub odniesienia u Grzegorza z Nyssy (22 razy), Grzegorza z Nazjanzu, Didymusa z Aleksandrii, Diodora, w Konstytucjach Apostolskich i u Chryzostoma, a następnie u Cyryla z Aleksandrii, Teodoretusa i Eutaliusza w V wieku i tak dalej (Burgon,</w:t>
      </w:r>
      <w:r>
        <w:t xml:space="preserve"> </w:t>
      </w:r>
      <w:r>
        <w:rPr>
          <w:iCs/>
          <w:i/>
        </w:rPr>
        <w:t xml:space="preserve">Ibid.</w:t>
      </w:r>
      <w:r>
        <w:t xml:space="preserve">, s. 456–476, 486–490).</w:t>
      </w:r>
    </w:p>
    <w:p>
      <w:pPr>
        <w:pStyle w:val="FootnoteText"/>
      </w:pPr>
      <w:r>
        <w:t xml:space="preserve">Jeśli chodzi o gramatycznie nieprawidłowy odczyt, „kto”, oprócz już przytoczonych manuskryptów, najwcześniejszą wersją, która wyraźnie go potwierdza, jest manuskrypt gotycki (IV wiek). Aby uzyskać jasne greckie świadectwo patrystyczne [Ojców Kościoła, przyp. tłum.] na poparcie tego odczytu, konieczna jest sekwencja</w:t>
      </w:r>
      <w:r>
        <w:t xml:space="preserve"> </w:t>
      </w:r>
      <w:r>
        <w:rPr>
          <w:iCs/>
          <w:i/>
        </w:rPr>
        <w:t xml:space="preserve">μυστηριον ος εφανερωθη</w:t>
      </w:r>
      <w:r>
        <w:t xml:space="preserve">, ponieważ po każdym odniesieniu do Chrystusa, Zbawiciela, Syna Bożego itp. w poprzednim kontekście można przewidzieć użycie zdania względnego. Burgon potwierdził, że nie znał żadnego takiego świadectwa (a jego wiedza na ten temat prawdopodobnie nigdy nie została dorównana) (</w:t>
      </w:r>
      <w:r>
        <w:rPr>
          <w:iCs/>
          <w:i/>
        </w:rPr>
        <w:t xml:space="preserve">Ibid.</w:t>
      </w:r>
      <w:r>
        <w:t xml:space="preserve">, s. 483).</w:t>
      </w:r>
    </w:p>
    <w:p>
      <w:pPr>
        <w:pStyle w:val="FootnoteText"/>
      </w:pPr>
      <w:r>
        <w:t xml:space="preserve">Wydaje się zatem, że odczyty „zachodnie” i „bizantyjskie” mają wcześniejsze zaświadczenie niż „aleksandryjskie”. Jeśli jednak</w:t>
      </w:r>
      <w:r>
        <w:t xml:space="preserve"> </w:t>
      </w:r>
      <w:r>
        <w:t xml:space="preserve">“</w:t>
      </w:r>
      <w:r>
        <w:t xml:space="preserve">która</w:t>
      </w:r>
      <w:r>
        <w:t xml:space="preserve">”</w:t>
      </w:r>
      <w:r>
        <w:t xml:space="preserve"> </w:t>
      </w:r>
      <w:r>
        <w:t xml:space="preserve">powstała z</w:t>
      </w:r>
      <w:r>
        <w:t xml:space="preserve"> </w:t>
      </w:r>
      <w:r>
        <w:t xml:space="preserve">“</w:t>
      </w:r>
      <w:r>
        <w:t xml:space="preserve">kto</w:t>
      </w:r>
      <w:r>
        <w:t xml:space="preserve">”</w:t>
      </w:r>
      <w:r>
        <w:t xml:space="preserve">, wówczas to drugie musi być starsze. Odczyt</w:t>
      </w:r>
      <w:r>
        <w:t xml:space="preserve"> </w:t>
      </w:r>
      <w:r>
        <w:t xml:space="preserve">“</w:t>
      </w:r>
      <w:r>
        <w:t xml:space="preserve">kto</w:t>
      </w:r>
      <w:r>
        <w:t xml:space="preserve">”</w:t>
      </w:r>
      <w:r>
        <w:t xml:space="preserve"> </w:t>
      </w:r>
      <w:r>
        <w:t xml:space="preserve">jest co prawda najtrudniejszy, do tego stopnia, że stosowanie zasady</w:t>
      </w:r>
      <w:r>
        <w:t xml:space="preserve"> </w:t>
      </w:r>
      <w:r>
        <w:t xml:space="preserve">“</w:t>
      </w:r>
      <w:r>
        <w:t xml:space="preserve">trudniejszego odczytu</w:t>
      </w:r>
      <w:r>
        <w:t xml:space="preserve">”</w:t>
      </w:r>
      <w:r>
        <w:t xml:space="preserve"> </w:t>
      </w:r>
      <w:r>
        <w:t xml:space="preserve">w obliczu łatwego wyjaśnienia transkrypcyjnego (przypadkowego pominięcia dwóch pociągnięć pióra) dla trudnego odczytu wydaje się nierozsądne. Jak trafnie ujął to Burgon:</w:t>
      </w:r>
    </w:p>
    <w:p>
      <w:pPr>
        <w:pStyle w:val="BlockText"/>
      </w:pPr>
      <w:r>
        <w:t xml:space="preserve">Wierzę, że przynajmniej co do tego się zgadzamy, iż maksyma „</w:t>
      </w:r>
      <w:r>
        <w:rPr>
          <w:iCs/>
          <w:i/>
        </w:rPr>
        <w:t xml:space="preserve">proclivi lectioni praestat ardua</w:t>
      </w:r>
      <w:r>
        <w:t xml:space="preserve">” nie głosi tak nierozsądnej tezy, jakoby przy wyborze między dwoma lub więcej sprzecznymi odczytami należało preferować</w:t>
      </w:r>
      <w:r>
        <w:t xml:space="preserve"> </w:t>
      </w:r>
      <w:r>
        <w:rPr>
          <w:bCs/>
          <w:b/>
        </w:rPr>
        <w:t xml:space="preserve">ten</w:t>
      </w:r>
      <w:r>
        <w:t xml:space="preserve">, który ma najsłabsze zewnętrzne potwierdzenie – pod warunkiem, że sam w sobie jest niemal niezrozumiały? (</w:t>
      </w:r>
      <w:r>
        <w:rPr>
          <w:iCs/>
          <w:i/>
        </w:rPr>
        <w:t xml:space="preserve">Ibid.</w:t>
      </w:r>
      <w:r>
        <w:t xml:space="preserve">, s. 497).</w:t>
      </w:r>
    </w:p>
    <w:p>
      <w:pPr>
        <w:pStyle w:val="FootnoteText"/>
      </w:pPr>
      <w:r>
        <w:t xml:space="preserve">Niezależnie od intencji redaktorów, którzy zdecydowali się na użycie „kto”, ich tekst osłabia to mocne stwierdzenie o boskości Jezusa Chrystusa, oprócz tego, że jest głupotą – co jest „tajemnicą” dotyczącą jakiegokolwiek mężczyzny, który objawił się w ciele? Wszyscy ludzie mają ciała. W Tekście Greckim zaimek względny nie ma poprzednika, więc jest to „gramatyczna niemożliwość”.</w:t>
      </w:r>
    </w:p>
  </w:footnote>
  <w:footnote w:id="176">
    <w:p>
      <w:pPr>
        <w:pStyle w:val="FootnoteText"/>
      </w:pPr>
      <w:r>
        <w:rPr>
          <w:rStyle w:val="FootnoteReference"/>
        </w:rPr>
        <w:footnoteRef/>
      </w:r>
      <w:r>
        <w:t xml:space="preserve"> </w:t>
      </w:r>
      <w:r>
        <w:t xml:space="preserve">Dalsze omówienie znajduje się na ostatnich stronach załącznika C w mojej książce „Identity IV”.</w:t>
      </w:r>
    </w:p>
  </w:footnote>
  <w:footnote w:id="178">
    <w:p>
      <w:pPr>
        <w:pStyle w:val="FootnoteText"/>
      </w:pPr>
      <w:r>
        <w:rPr>
          <w:rStyle w:val="FootnoteReference"/>
        </w:rPr>
        <w:footnoteRef/>
      </w:r>
      <w:r>
        <w:t xml:space="preserve"> </w:t>
      </w:r>
      <w:r>
        <w:t xml:space="preserve">Kurt Aland (red.),</w:t>
      </w:r>
      <w:r>
        <w:t xml:space="preserve"> </w:t>
      </w:r>
      <w:r>
        <w:rPr>
          <w:iCs/>
          <w:i/>
        </w:rPr>
        <w:t xml:space="preserve">Kurzgefasste Liste der Grieshischen Handschriften des Neuen Testaments</w:t>
      </w:r>
      <w:r>
        <w:t xml:space="preserve"> </w:t>
      </w:r>
      <w:r>
        <w:t xml:space="preserve">[</w:t>
      </w:r>
      <w:r>
        <w:rPr>
          <w:iCs/>
          <w:i/>
        </w:rPr>
        <w:t xml:space="preserve">Skrócona lista rękopisów Nowego Testamentu w języku griesh</w:t>
      </w:r>
      <w:r>
        <w:t xml:space="preserve">, przyp. tłum.] (Berlin: Walter de Gruyter, 1994).</w:t>
      </w:r>
    </w:p>
  </w:footnote>
  <w:footnote w:id="179">
    <w:p>
      <w:pPr>
        <w:pStyle w:val="FootnoteText"/>
      </w:pPr>
      <w:r>
        <w:rPr>
          <w:rStyle w:val="FootnoteReference"/>
        </w:rPr>
        <w:footnoteRef/>
      </w:r>
      <w:r>
        <w:t xml:space="preserve"> </w:t>
      </w:r>
      <w:r>
        <w:t xml:space="preserve">Ten akapit, jak i następny, opierają się po prostu na</w:t>
      </w:r>
      <w:r>
        <w:t xml:space="preserve"> </w:t>
      </w:r>
      <w:r>
        <w:rPr>
          <w:iCs/>
          <w:i/>
        </w:rPr>
        <w:t xml:space="preserve">Liste</w:t>
      </w:r>
      <w:r>
        <w:t xml:space="preserve"> </w:t>
      </w:r>
      <w:r>
        <w:t xml:space="preserve">(niezależnie od tego, czy się zgadzam, czy nie).</w:t>
      </w:r>
    </w:p>
  </w:footnote>
  <w:footnote w:id="180">
    <w:p>
      <w:pPr>
        <w:pStyle w:val="FootnoteText"/>
      </w:pPr>
      <w:r>
        <w:rPr>
          <w:rStyle w:val="FootnoteReference"/>
        </w:rPr>
        <w:footnoteRef/>
      </w:r>
      <w:r>
        <w:t xml:space="preserve"> </w:t>
      </w:r>
      <w:r>
        <w:t xml:space="preserve">Moim zdaniem jedynym wkładem fragmentu jest potwierdzenie, że zawarte w nim warianty istniały, gdy został on spisany, o ile nie zostały one stworzone przez kopistę. Fragment pochodzący sprzed 100 r. n.e. potwierdza, że księga ta istniała w tamtym czasie.</w:t>
      </w:r>
    </w:p>
  </w:footnote>
  <w:footnote w:id="181">
    <w:p>
      <w:pPr>
        <w:pStyle w:val="FootnoteText"/>
      </w:pPr>
      <w:r>
        <w:rPr>
          <w:rStyle w:val="FootnoteReference"/>
        </w:rPr>
        <w:footnoteRef/>
      </w:r>
      <w:r>
        <w:t xml:space="preserve"> </w:t>
      </w:r>
      <w:r>
        <w:t xml:space="preserve">Frederik Wisse zebrał i porównał 1 386 manuskryptów z 1, 10 i 20 rozdziału Ewangelii Łukasza (trzy rozdziały), a następnie zredukował te manuskrypty do 37 grup (rodzin) (plus 89 „indywidualistów”).</w:t>
      </w:r>
      <w:r>
        <w:t xml:space="preserve"> </w:t>
      </w:r>
      <w:r>
        <w:rPr>
          <w:iCs/>
          <w:i/>
        </w:rPr>
        <w:t xml:space="preserve">The Profile Method for the Classification and Evaluation of Manuscript Evidence</w:t>
      </w:r>
      <w:r>
        <w:t xml:space="preserve"> </w:t>
      </w:r>
      <w:r>
        <w:t xml:space="preserve">(Grand Rapids: Eerdmans, 1982). Okazuje się, że 36 z 37 należy do szerokiego byzantyjskiego nurtu przekazu. Znalazł 70 podgrup w obrębie tych 36, więc uznał, że jest w stanie zdefiniować te relacje na podstawie profili. Przyznaję, że jest to krok we właściwym kierunku.</w:t>
      </w:r>
    </w:p>
  </w:footnote>
  <w:footnote w:id="182">
    <w:p>
      <w:pPr>
        <w:pStyle w:val="FootnoteText"/>
      </w:pPr>
      <w:r>
        <w:rPr>
          <w:rStyle w:val="FootnoteReference"/>
        </w:rPr>
        <w:footnoteRef/>
      </w:r>
      <w:r>
        <w:t xml:space="preserve"> </w:t>
      </w:r>
      <w:r>
        <w:t xml:space="preserve">Rozważ wnioski, do jakich doszedł Maurice Robinson w wyniku przeprowadzenia kompletnego zestawienia 1 389 manuskryptów zawierających perykopę z Ewangelii Jana 7,53–8,11:</w:t>
      </w:r>
    </w:p>
    <w:p>
      <w:pPr>
        <w:pStyle w:val="BlockText"/>
      </w:pPr>
      <w:r>
        <w:t xml:space="preserve">Jednak wbrew wcześniejszym przypuszczeniom tego autora, szeroko zakrojona analiza manuskryptów PA [Pericope Adulterae, czyli fragment z Jan 7,53–8,11 - o kobiecie pochwyconej na cudzołóstwie, będący tematem licznych debat, przyp. tłum.] jednoznacznie wykazała, że międzytekstowe porównania i korekty manuskryptów miały miejsce jedynie</w:t>
      </w:r>
      <w:r>
        <w:t xml:space="preserve"> </w:t>
      </w:r>
      <w:r>
        <w:rPr>
          <w:iCs/>
          <w:i/>
        </w:rPr>
        <w:t xml:space="preserve">rzadko</w:t>
      </w:r>
      <w:r>
        <w:t xml:space="preserve"> </w:t>
      </w:r>
      <w:r>
        <w:t xml:space="preserve">i</w:t>
      </w:r>
      <w:r>
        <w:t xml:space="preserve"> </w:t>
      </w:r>
      <w:r>
        <w:rPr>
          <w:iCs/>
          <w:i/>
        </w:rPr>
        <w:t xml:space="preserve">sporadycznie</w:t>
      </w:r>
      <w:r>
        <w:t xml:space="preserve">, a wprowadzone poprawki w niewielkim stopniu lub wcale nie były przenoszone na różnorodne przedstawione typy (kursywa autora, podobnie poniżej).</w:t>
      </w:r>
    </w:p>
    <w:p>
      <w:pPr>
        <w:pStyle w:val="BlockText"/>
      </w:pPr>
      <w:r>
        <w:t xml:space="preserve">Jeśli międzytekstowe korekty nie występowały często ani na szeroką skalę w tej części tekstu, która zawiera więcej odmian niż jakikolwiek inny fragment Nowego Testamentu, a dokonane korekty nie miały tendencji do utrwalania się, jest mało prawdopodobne, aby proces taki miał miejsce w tych częściach Nowego Testamentu, które zawierały mniej odmian tekstowych… Brak systematycznych i gruntownych korekt w PA, a także brak utrwalania się wzorców korekcyjnych wydaje się to jasno potwierdzać. Międzytekstowe porównania i korekty</w:t>
      </w:r>
      <w:r>
        <w:t xml:space="preserve"> </w:t>
      </w:r>
      <w:r>
        <w:rPr>
          <w:iCs/>
          <w:i/>
        </w:rPr>
        <w:t xml:space="preserve">powinny</w:t>
      </w:r>
      <w:r>
        <w:t xml:space="preserve"> </w:t>
      </w:r>
      <w:r>
        <w:t xml:space="preserve">być powszechne i rozległe w tej części tekstu ze względu na dużą różnorodność wzorców tekstowych i odczytów w niej występujących, zamiast tego korekty pojawiały się sporadycznie i rzadko miały charakter gruntowny.</w:t>
      </w:r>
    </w:p>
    <w:p>
      <w:pPr>
        <w:pStyle w:val="BlockText"/>
      </w:pPr>
      <w:r>
        <w:t xml:space="preserve">Skoro tak jest, fenomenu stosunkowo jednolitej bizantyjskiej formy tekstowej</w:t>
      </w:r>
      <w:r>
        <w:t xml:space="preserve"> </w:t>
      </w:r>
      <w:r>
        <w:rPr>
          <w:iCs/>
          <w:i/>
        </w:rPr>
        <w:t xml:space="preserve">nie da się</w:t>
      </w:r>
      <w:r>
        <w:t xml:space="preserve"> </w:t>
      </w:r>
      <w:r>
        <w:t xml:space="preserve">wyjaśnić metodologią „procesową”, niezależnie od tego, czy jest ona „zmodyfikowana”, czy nie…</w:t>
      </w:r>
    </w:p>
    <w:p>
      <w:pPr>
        <w:pStyle w:val="BlockText"/>
      </w:pPr>
      <w:r>
        <w:t xml:space="preserve">Na podstawie zebranych danych autor niniejszego artykułu zmuszony jest zmienić swoje wcześniejsze założenia dotyczące rozwoju oraz odtworzenia/zachowania bizantyjskiej formy tekstowej, w tym sensie: chociaż sama transmisja tekstowa jest procesem, wydaje się, iż w większości przypadków linie transmisji pozostawały odrębne, a mieszanie się tekstów występowało i utrwalało się w stosunkowo niewielkim stopniu…</w:t>
      </w:r>
    </w:p>
    <w:p>
      <w:pPr>
        <w:pStyle w:val="BlockText"/>
      </w:pPr>
      <w:r>
        <w:t xml:space="preserve">Oczywiście, wszystkie rodzaje tekstów PA są odrębne i odzwierciedlają długą linię przekazu oraz zachowania w swojej odrębnej integralności… Wydaje się zatem, że bizantyjskie manuskrypty minuskułowe zachowują linie przekazu, które są nie tylko niezależne, ale które z konieczności miały swój początek w czasie znacznie wcześniejszym niż IX wiek. Zachowane manuskrypty uncjałowe nie wyjaśniają i nie są w stanie wyjaśnić różnorodności i stabilności form tekstowych PA występujących nawet wśród najwcześniejszych manuskryptów minuskulowych z IX wieku, nie mówiąc już o różnorodności i stabilności form pojawiających się na przestrzeni wszystkich stuleci epoki minuskulowej. Brak szeroko zakrojonych międzytekstowych porównań i korekt wykazanych w zachowanych manuskryptach zawierających PA uniemożliwia łatwe wywiedzenie jakiejkolwiek istniejącej formy tekstu PA z jakiejkolwiek innej formy tego tekstu, przynajmniej w epoce pergaminu. Wczesne uncjały, które zawierają PA, wykazują znacznie różniące się linie przekazu, ale nie obejmują one wszystkich znanych linii. Również uncjały ani minuskuły nie wykazują żadnych oznak, by jakakolwiek znana linia wywodziła się z równoległej, znanej linii. Około 10 linii przekazu „typu tekstowego” pozostaje niezależnych i z konieczności musi sięgać punktu znacznie wcześniejszego niż nastąpiła ich odrębna stabilizacja – punktu, który wydaje się być zakopany (jak sugerowali Colwell i Scrivener) głęboko w II wieku. („Wstępne obserwacje dotyczące</w:t>
      </w:r>
      <w:r>
        <w:t xml:space="preserve"> </w:t>
      </w:r>
      <w:r>
        <w:rPr>
          <w:iCs/>
          <w:i/>
        </w:rPr>
        <w:t xml:space="preserve">Pericope Adulterae</w:t>
      </w:r>
      <w:r>
        <w:t xml:space="preserve"> </w:t>
      </w:r>
      <w:r>
        <w:t xml:space="preserve">oparte na nowych porównaniach niemal wszystkich manuskryptów tekstu ciągłego i ponad stu lekcjonarzy”, przedstawione przed Ewangelickim Towarzystwem Teologicznym [ang. Evangelical Theological Society] listopad 1998 r., s. 11–13.)</w:t>
      </w:r>
    </w:p>
  </w:footnote>
  <w:footnote w:id="183">
    <w:p>
      <w:pPr>
        <w:pStyle w:val="FootnoteText"/>
      </w:pPr>
      <w:r>
        <w:rPr>
          <w:rStyle w:val="FootnoteReference"/>
        </w:rPr>
        <w:footnoteRef/>
      </w:r>
      <w:r>
        <w:t xml:space="preserve"> </w:t>
      </w:r>
      <w:r>
        <w:t xml:space="preserve">K. Aland, „The Text of the Church?”,</w:t>
      </w:r>
      <w:r>
        <w:t xml:space="preserve"> </w:t>
      </w:r>
      <w:r>
        <w:rPr>
          <w:iCs/>
          <w:i/>
        </w:rPr>
        <w:t xml:space="preserve">Trinity Journal</w:t>
      </w:r>
      <w:r>
        <w:t xml:space="preserve">, 1987, 8NS:131–144 (w rzeczywistości opublikowane w 1989 r.), s. 142–143.</w:t>
      </w:r>
    </w:p>
  </w:footnote>
  <w:footnote w:id="184">
    <w:p>
      <w:pPr>
        <w:pStyle w:val="FootnoteText"/>
      </w:pPr>
      <w:r>
        <w:rPr>
          <w:rStyle w:val="FootnoteReference"/>
        </w:rPr>
        <w:footnoteRef/>
      </w:r>
      <w:r>
        <w:t xml:space="preserve"> </w:t>
      </w:r>
      <w:r>
        <w:rPr>
          <w:iCs/>
          <w:i/>
        </w:rPr>
        <w:t xml:space="preserve">The Text of the New Testament</w:t>
      </w:r>
      <w:r>
        <w:t xml:space="preserve">, s. 53.</w:t>
      </w:r>
    </w:p>
  </w:footnote>
  <w:footnote w:id="187">
    <w:p>
      <w:pPr>
        <w:pStyle w:val="FootnoteText"/>
      </w:pPr>
      <w:r>
        <w:rPr>
          <w:rStyle w:val="FootnoteReference"/>
        </w:rPr>
        <w:footnoteRef/>
      </w:r>
      <w:r>
        <w:t xml:space="preserve"> </w:t>
      </w:r>
      <w:r>
        <w:t xml:space="preserve">Niniejsza część I stanowi zasadniczo reprodukcję (z kilkoma uzupełnieniami) rozdziału 5 mojej książki</w:t>
      </w:r>
      <w:r>
        <w:t xml:space="preserve"> </w:t>
      </w:r>
      <w:r>
        <w:rPr>
          <w:iCs/>
          <w:i/>
        </w:rPr>
        <w:t xml:space="preserve">The Identity of the New Testament Text IV</w:t>
      </w:r>
      <w:r>
        <w:t xml:space="preserve">, dostępnej na stronie Amazon.com, a także na mojej stronie internetowej www.prunch.org. Moje obalenie eklektyzmu, zarówno „rozsądnego”, jak i „rygorystycznego”, zajmuje rozdział 2 tej części. Moje obalenie teorii krytycznej Wetcotta i Horta zajmuje rozdziały 3 i 4. Rozdział 6 porusza cztery „możliwe zastrzeżenia”: 1. Czy najstarsze manuskrypty nie są najlepsze? 2. Dlaczego nie ma wczesnych manuskryptów „bizantyjskich”? 3. „Ale nie ma dowodów na istnienie</w:t>
      </w:r>
      <w:r>
        <w:t xml:space="preserve"> </w:t>
      </w:r>
      <w:r>
        <w:rPr>
          <w:bCs/>
          <w:b/>
        </w:rPr>
        <w:t xml:space="preserve">Tekstu</w:t>
      </w:r>
      <w:r>
        <w:t xml:space="preserve"> </w:t>
      </w:r>
      <w:r>
        <w:t xml:space="preserve">bizantyjskiego we wczesnych wiekach” 4. Czy świadectwa nie powinny być raczej oceniane, a nie liczone? Zainteresowanego czytelnika odsyłam do tych rozważań.</w:t>
      </w:r>
    </w:p>
  </w:footnote>
  <w:footnote w:id="188">
    <w:p>
      <w:pPr>
        <w:pStyle w:val="FootnoteText"/>
      </w:pPr>
      <w:r>
        <w:rPr>
          <w:rStyle w:val="FootnoteReference"/>
        </w:rPr>
        <w:footnoteRef/>
      </w:r>
      <w:r>
        <w:t xml:space="preserve"> </w:t>
      </w:r>
      <w:r>
        <w:t xml:space="preserve">A Bóg posłużył się głównie Wschodnimi Kościołami Prawosławnymi, aby zachować Tekst Nowego Testamentu na przestrzeni wieków — kościoły te zawsze korzystały z Tekstu, który pod każdym praktycznym względem stanowił adekwatne odzwierciedlenie Oryginału. Ponadto spośród rodzin manuskryptów lekcjonarnych, pod względem liczby przedstawicieli, Rodzina 35 jest drugą co do wielkości i została wykorzystana w pierwszym wydaniu drukowanym, czyli w wydaniu da Sabbio z 1539 roku.</w:t>
      </w:r>
    </w:p>
  </w:footnote>
  <w:footnote w:id="191">
    <w:p>
      <w:pPr>
        <w:pStyle w:val="FootnoteText"/>
      </w:pPr>
      <w:r>
        <w:rPr>
          <w:rStyle w:val="FootnoteReference"/>
        </w:rPr>
        <w:footnoteRef/>
      </w:r>
      <w:r>
        <w:t xml:space="preserve"> </w:t>
      </w:r>
      <w:r>
        <w:rPr>
          <w:iCs/>
          <w:i/>
        </w:rPr>
        <w:t xml:space="preserve">Die Schriften des Neuen Testaments in ihrer ältesten erreichbaren Textgestalt</w:t>
      </w:r>
      <w:r>
        <w:t xml:space="preserve"> </w:t>
      </w:r>
      <w:r>
        <w:t xml:space="preserve">[niem.</w:t>
      </w:r>
      <w:r>
        <w:t xml:space="preserve"> </w:t>
      </w:r>
      <w:r>
        <w:rPr>
          <w:iCs/>
          <w:i/>
        </w:rPr>
        <w:t xml:space="preserve">Pisma Nowego Testamentu w najstarszej dostępnej wersji tekstowej</w:t>
      </w:r>
      <w:r>
        <w:t xml:space="preserve">, przyp. tłum.] (część 1, Berlin: Wydawnictwo Alexandra Dunckera, 1902–1910, część 2, Getynga: Vandenhoeck i Ruprecht, 1913).</w:t>
      </w:r>
    </w:p>
  </w:footnote>
  <w:footnote w:id="192">
    <w:p>
      <w:pPr>
        <w:pStyle w:val="FootnoteText"/>
      </w:pPr>
      <w:r>
        <w:rPr>
          <w:rStyle w:val="FootnoteReference"/>
        </w:rPr>
        <w:footnoteRef/>
      </w:r>
      <w:r>
        <w:t xml:space="preserve"> </w:t>
      </w:r>
      <w:r>
        <w:t xml:space="preserve">Są to: 1. Starożytność, lub pierwotność; 2. Zgodność świadków, lub liczba; 3. Różnorodność dowodów, lub powszechność; 4. Poważanie, jakim cieszą się świadkowie, lub waga; 5. Ciągłość, lub nieprzerwana tradycja; 6. Dowody całych fragmentów, lub kontekst; 7. Rozważania wewnętrzne, lub sensowność. Burgon,</w:t>
      </w:r>
      <w:r>
        <w:t xml:space="preserve"> </w:t>
      </w:r>
      <w:r>
        <w:rPr>
          <w:iCs/>
          <w:i/>
        </w:rPr>
        <w:t xml:space="preserve">The Traditional Text</w:t>
      </w:r>
      <w:r>
        <w:t xml:space="preserve">, str. 29.</w:t>
      </w:r>
    </w:p>
  </w:footnote>
  <w:footnote w:id="193">
    <w:p>
      <w:pPr>
        <w:pStyle w:val="FootnoteText"/>
      </w:pPr>
      <w:r>
        <w:rPr>
          <w:rStyle w:val="FootnoteReference"/>
        </w:rPr>
        <w:footnoteRef/>
      </w:r>
      <w:r>
        <w:t xml:space="preserve"> </w:t>
      </w:r>
      <w:r>
        <w:t xml:space="preserve">W tym miejscu odrzucam zarzut, że oryginalne sformułowania są zagubione i przepadły.</w:t>
      </w:r>
    </w:p>
  </w:footnote>
  <w:footnote w:id="194">
    <w:p>
      <w:pPr>
        <w:pStyle w:val="FootnoteText"/>
      </w:pPr>
      <w:r>
        <w:rPr>
          <w:rStyle w:val="FootnoteReference"/>
        </w:rPr>
        <w:footnoteRef/>
      </w:r>
      <w:r>
        <w:t xml:space="preserve"> </w:t>
      </w:r>
      <w:r>
        <w:t xml:space="preserve">W tym miejscu odrzucam opieranie się na kryteriach subiektywnych oraz podejście czysto racjonalistyczne.</w:t>
      </w:r>
    </w:p>
  </w:footnote>
  <w:footnote w:id="195">
    <w:p>
      <w:pPr>
        <w:pStyle w:val="FootnoteText"/>
      </w:pPr>
      <w:r>
        <w:rPr>
          <w:rStyle w:val="FootnoteReference"/>
        </w:rPr>
        <w:footnoteRef/>
      </w:r>
      <w:r>
        <w:t xml:space="preserve"> </w:t>
      </w:r>
      <w:r>
        <w:t xml:space="preserve">Jest to obecnie wyparte przez postępy z punktu 5, choć 90% poświadczenie nadal trudno podważyć.</w:t>
      </w:r>
    </w:p>
  </w:footnote>
  <w:footnote w:id="196">
    <w:p>
      <w:pPr>
        <w:pStyle w:val="FootnoteText"/>
      </w:pPr>
      <w:r>
        <w:rPr>
          <w:rStyle w:val="FootnoteReference"/>
        </w:rPr>
        <w:footnoteRef/>
      </w:r>
      <w:r>
        <w:t xml:space="preserve"> </w:t>
      </w:r>
      <w:r>
        <w:t xml:space="preserve">Jest to obecnie wyparte przez postępy z punktu 5, choć jego „notatki” pozostają zasadniczo aktualne.</w:t>
      </w:r>
    </w:p>
  </w:footnote>
  <w:footnote w:id="197">
    <w:p>
      <w:pPr>
        <w:pStyle w:val="FootnoteText"/>
      </w:pPr>
      <w:r>
        <w:rPr>
          <w:rStyle w:val="FootnoteReference"/>
        </w:rPr>
        <w:footnoteRef/>
      </w:r>
      <w:r>
        <w:t xml:space="preserve"> </w:t>
      </w:r>
      <w:r>
        <w:t xml:space="preserve">Proszę zwrócić uwagę, że nie odnoszę się tu do jakiejkolwiek próby odtworzenia genealogii manuskryptów – zgadzam się z tymi badaczami, którzy uznali takie przedsięwzięcie za praktycznie niemożliwe (brakuje po prostu zbyt wielu ogniw). W rzeczywistości odnoszę się do odtworzenia genealogii odczytów, a tym samym historii przekazywania Tekstu. To ostatnie zdanie zawsze było podkreślane. Gdy wszystkie manuskrypty zostaną zestawione i pogrupowane empirycznie, będziemy mogli zrezygnować z liczenia ich.</w:t>
      </w:r>
    </w:p>
  </w:footnote>
  <w:footnote w:id="198">
    <w:p>
      <w:pPr>
        <w:pStyle w:val="FootnoteText"/>
      </w:pPr>
      <w:r>
        <w:rPr>
          <w:rStyle w:val="FootnoteReference"/>
        </w:rPr>
        <w:footnoteRef/>
      </w:r>
      <w:r>
        <w:t xml:space="preserve"> </w:t>
      </w:r>
      <w:r>
        <w:t xml:space="preserve">Ci, którzy wykluczają ponadnaturalność ze swojego modelu, skazują się na to, że nigdy nie dotrą do Prawdy – Bóg i Szatan istnieją, i obaj byli zaangażowani w przekazywanie Tekstu Nowego Testamentu.</w:t>
      </w:r>
    </w:p>
  </w:footnote>
  <w:footnote w:id="199">
    <w:p>
      <w:pPr>
        <w:pStyle w:val="FootnoteText"/>
      </w:pPr>
      <w:r>
        <w:rPr>
          <w:rStyle w:val="FootnoteReference"/>
        </w:rPr>
        <w:footnoteRef/>
      </w:r>
      <w:r>
        <w:t xml:space="preserve"> </w:t>
      </w:r>
      <w:r>
        <w:t xml:space="preserve">W każdym dochodzeniu naukowym należy dokonać rygorystycznego rozróżnienia między dowodami, założeniami a interpretacją. Ponieważ założenia mają ogromny wpływ na interpretację dowodów, wręcz ją kontrolują (dowody powinny być takie same dla wszystkich), każdy uczciwy badacz musi otwarcie przedstawić swoje założenia. Bez wątpienia zbyt wielkim oczekiwaniem jest, by grzesznicy ujawnili swoje motywy na światło dzienne (Ewangelia Jana 3,20).</w:t>
      </w:r>
    </w:p>
  </w:footnote>
  <w:footnote w:id="200">
    <w:p>
      <w:pPr>
        <w:pStyle w:val="FootnoteText"/>
      </w:pPr>
      <w:r>
        <w:rPr>
          <w:rStyle w:val="FootnoteReference"/>
        </w:rPr>
        <w:footnoteRef/>
      </w:r>
      <w:r>
        <w:t xml:space="preserve"> </w:t>
      </w:r>
      <w:r>
        <w:t xml:space="preserve">Hort wyrządził tej dziedzinie znaczną szkodę, postulując teoretyczne typy tekstu, pozbawione dowodów, a następnie traktując je jako ustalone fakty.</w:t>
      </w:r>
    </w:p>
  </w:footnote>
  <w:footnote w:id="201">
    <w:p>
      <w:pPr>
        <w:pStyle w:val="FootnoteText"/>
      </w:pPr>
      <w:r>
        <w:rPr>
          <w:rStyle w:val="FootnoteReference"/>
        </w:rPr>
        <w:footnoteRef/>
      </w:r>
      <w:r>
        <w:t xml:space="preserve"> </w:t>
      </w:r>
      <w:r>
        <w:t xml:space="preserve">Kolacjonowanie Robinsona pokazuje, że Soden „uregulował” dane.</w:t>
      </w:r>
    </w:p>
  </w:footnote>
  <w:footnote w:id="202">
    <w:p>
      <w:pPr>
        <w:pStyle w:val="FootnoteText"/>
      </w:pPr>
      <w:r>
        <w:rPr>
          <w:rStyle w:val="FootnoteReference"/>
        </w:rPr>
        <w:footnoteRef/>
      </w:r>
      <w:r>
        <w:t xml:space="preserve"> </w:t>
      </w:r>
      <w:r>
        <w:t xml:space="preserve">Dlaczego „zacząłem podejrzewać, że coś tu jest nie tak”? Ponieważ</w:t>
      </w:r>
      <w:r>
        <w:t xml:space="preserve"> </w:t>
      </w:r>
      <w:r>
        <w:rPr>
          <w:bCs/>
          <w:b/>
        </w:rPr>
        <w:t xml:space="preserve">M</w:t>
      </w:r>
      <w:r>
        <w:rPr>
          <w:vertAlign w:val="superscript"/>
          <w:bCs/>
          <w:b/>
        </w:rPr>
        <w:t xml:space="preserve">7</w:t>
      </w:r>
      <w:r>
        <w:t xml:space="preserve"> </w:t>
      </w:r>
      <w:r>
        <w:t xml:space="preserve">jest wyraźnie starszy niż</w:t>
      </w:r>
      <w:r>
        <w:t xml:space="preserve"> </w:t>
      </w:r>
      <w:r>
        <w:rPr>
          <w:bCs/>
          <w:b/>
        </w:rPr>
        <w:t xml:space="preserve">M</w:t>
      </w:r>
      <w:r>
        <w:rPr>
          <w:vertAlign w:val="superscript"/>
          <w:bCs/>
          <w:b/>
        </w:rPr>
        <w:t xml:space="preserve">5</w:t>
      </w:r>
      <w:r>
        <w:t xml:space="preserve"> </w:t>
      </w:r>
      <w:r>
        <w:t xml:space="preserve">i</w:t>
      </w:r>
      <w:r>
        <w:t xml:space="preserve"> </w:t>
      </w:r>
      <w:r>
        <w:rPr>
          <w:bCs/>
          <w:b/>
        </w:rPr>
        <w:t xml:space="preserve">M</w:t>
      </w:r>
      <w:r>
        <w:rPr>
          <w:vertAlign w:val="superscript"/>
          <w:bCs/>
          <w:b/>
        </w:rPr>
        <w:t xml:space="preserve">6</w:t>
      </w:r>
      <w:r>
        <w:t xml:space="preserve"> </w:t>
      </w:r>
      <w:r>
        <w:t xml:space="preserve">w</w:t>
      </w:r>
      <w:r>
        <w:t xml:space="preserve"> </w:t>
      </w:r>
      <w:r>
        <w:rPr>
          <w:iCs/>
          <w:i/>
        </w:rPr>
        <w:t xml:space="preserve">PA</w:t>
      </w:r>
      <w:r>
        <w:t xml:space="preserve">, a</w:t>
      </w:r>
      <w:r>
        <w:t xml:space="preserve"> </w:t>
      </w:r>
      <w:r>
        <w:rPr>
          <w:bCs/>
          <w:b/>
        </w:rPr>
        <w:t xml:space="preserve">M</w:t>
      </w:r>
      <w:r>
        <w:rPr>
          <w:vertAlign w:val="superscript"/>
          <w:bCs/>
          <w:b/>
        </w:rPr>
        <w:t xml:space="preserve">c</w:t>
      </w:r>
      <w:r>
        <w:t xml:space="preserve"> </w:t>
      </w:r>
      <w:r>
        <w:t xml:space="preserve">niż</w:t>
      </w:r>
      <w:r>
        <w:t xml:space="preserve"> </w:t>
      </w:r>
      <w:r>
        <w:rPr>
          <w:bCs/>
          <w:b/>
        </w:rPr>
        <w:t xml:space="preserve">M</w:t>
      </w:r>
      <w:r>
        <w:rPr>
          <w:vertAlign w:val="superscript"/>
          <w:bCs/>
          <w:b/>
        </w:rPr>
        <w:t xml:space="preserve">a-b</w:t>
      </w:r>
      <w:r>
        <w:t xml:space="preserve"> </w:t>
      </w:r>
      <w:r>
        <w:t xml:space="preserve">i</w:t>
      </w:r>
      <w:r>
        <w:t xml:space="preserve"> </w:t>
      </w:r>
      <w:r>
        <w:rPr>
          <w:bCs/>
          <w:b/>
        </w:rPr>
        <w:t xml:space="preserve">M</w:t>
      </w:r>
      <w:r>
        <w:rPr>
          <w:vertAlign w:val="superscript"/>
          <w:bCs/>
          <w:b/>
        </w:rPr>
        <w:t xml:space="preserve">d-e</w:t>
      </w:r>
      <w:r>
        <w:t xml:space="preserve"> </w:t>
      </w:r>
      <w:r>
        <w:t xml:space="preserve">w Objawieniu Jana, lecz von Soden twierdził, że</w:t>
      </w:r>
      <w:r>
        <w:t xml:space="preserve"> </w:t>
      </w:r>
      <w:r>
        <w:rPr>
          <w:bCs/>
          <w:b/>
        </w:rPr>
        <w:t xml:space="preserve">K</w:t>
      </w:r>
      <w:r>
        <w:rPr>
          <w:vertAlign w:val="superscript"/>
          <w:bCs/>
          <w:b/>
        </w:rPr>
        <w:t xml:space="preserve">r</w:t>
      </w:r>
      <w:r>
        <w:t xml:space="preserve"> </w:t>
      </w:r>
      <w:r>
        <w:t xml:space="preserve">było rewizją</w:t>
      </w:r>
      <w:r>
        <w:t xml:space="preserve"> </w:t>
      </w:r>
      <w:r>
        <w:rPr>
          <w:bCs/>
          <w:b/>
        </w:rPr>
        <w:t xml:space="preserve">K</w:t>
      </w:r>
      <w:r>
        <w:rPr>
          <w:vertAlign w:val="superscript"/>
          <w:bCs/>
          <w:b/>
        </w:rPr>
        <w:t xml:space="preserve">x</w:t>
      </w:r>
      <w:r>
        <w:t xml:space="preserve"> </w:t>
      </w:r>
      <w:r>
        <w:t xml:space="preserve">(jak mogło być rewizją, skoro było starsze?).</w:t>
      </w:r>
    </w:p>
  </w:footnote>
  <w:footnote w:id="203">
    <w:p>
      <w:pPr>
        <w:pStyle w:val="FootnoteText"/>
      </w:pPr>
      <w:r>
        <w:rPr>
          <w:rStyle w:val="FootnoteReference"/>
        </w:rPr>
        <w:footnoteRef/>
      </w:r>
      <w:r>
        <w:t xml:space="preserve"> </w:t>
      </w:r>
      <w:r>
        <w:t xml:space="preserve">Minuskuł 18 ma niższy numer i również zawiera cały Nowy Testament, lecz w Objawieniu Jana odbiega od tego typu tekstu.</w:t>
      </w:r>
    </w:p>
  </w:footnote>
  <w:footnote w:id="205">
    <w:p>
      <w:pPr>
        <w:pStyle w:val="FootnoteText"/>
      </w:pPr>
      <w:r>
        <w:rPr>
          <w:rStyle w:val="FootnoteReference"/>
        </w:rPr>
        <w:footnoteRef/>
      </w:r>
      <w:r>
        <w:t xml:space="preserve"> </w:t>
      </w:r>
      <w:r>
        <w:t xml:space="preserve">Informacje te wzięto z mojego greckiego Tekstu i aparatu krytycznego.</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image" Id="rId165" Target="media/rId165.jp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2026-08-21T07:01:44Z</dcterms:created>
  <dcterms:modified xsi:type="dcterms:W3CDTF">2026-08-21T07:01:44Z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