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42" w:name="część-i-dowody-historyczne"/>
    <w:p>
      <w:pPr>
        <w:pStyle w:val="Heading1"/>
      </w:pPr>
      <w:r>
        <w:t xml:space="preserve">CZĘŚĆ I: Dowody historyczne</w:t>
      </w:r>
    </w:p>
    <w:bookmarkStart w:id="5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49"/>
      </w:r>
      <w:r>
        <w:t xml:space="preserve">. Ewolucjoniści twierdzą, że granit krystalizował się przez 300 milionów lat, ale w granicie występują „pierścienie polonowe” [ang. Polonium haloes, przyp. tłum.]</w:t>
      </w:r>
      <w:r>
        <w:rPr>
          <w:rStyle w:val="FootnoteReference"/>
        </w:rPr>
        <w:footnoteReference w:id="5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3"/>
    <w:bookmarkStart w:id="75" w:name="wprowadzenie"/>
    <w:p>
      <w:pPr>
        <w:pStyle w:val="Heading2"/>
      </w:pPr>
      <w:r>
        <w:t xml:space="preserve">Wprowadzenie</w:t>
      </w:r>
    </w:p>
    <w:bookmarkStart w:id="69" w:name="natchnienie"/>
    <w:p>
      <w:pPr>
        <w:pStyle w:val="Heading3"/>
      </w:pPr>
      <w:r>
        <w:t xml:space="preserve">Natchnienie</w:t>
      </w:r>
    </w:p>
    <w:p>
      <w:pPr>
        <w:pStyle w:val="FirstParagraph"/>
      </w:pPr>
      <w:r>
        <w:t xml:space="preserve">Gdy piszę książkę</w:t>
      </w:r>
      <w:r>
        <w:rPr>
          <w:rStyle w:val="FootnoteReference"/>
        </w:rPr>
        <w:footnoteReference w:id="5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8"/>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6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1"/>
      </w:r>
      <w:r>
        <w:t xml:space="preserve"> </w:t>
      </w:r>
      <w:r>
        <w:t xml:space="preserve">Ewangelii Chrystusa</w:t>
      </w:r>
      <w:r>
        <w:rPr>
          <w:rStyle w:val="FootnoteReference"/>
        </w:rPr>
        <w:footnoteReference w:id="62"/>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9"/>
    <w:bookmarkStart w:id="7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7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1"/>
    <w:bookmarkStart w:id="7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4"/>
    <w:bookmarkEnd w:id="75"/>
    <w:bookmarkStart w:id="141"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8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3"/>
    <w:bookmarkStart w:id="111" w:name="X2567adac6f25933c916ef36242b5d7814bc2aed"/>
    <w:p>
      <w:pPr>
        <w:pStyle w:val="Heading3"/>
      </w:pPr>
      <w:r>
        <w:t xml:space="preserve">Wczesne rozpoznanie</w:t>
      </w:r>
      <w:r>
        <w:t xml:space="preserve"> </w:t>
      </w:r>
      <w:r>
        <w:rPr>
          <w:rStyle w:val="FootnoteReference"/>
        </w:rPr>
        <w:footnoteReference w:id="8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6"/>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7"/>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8"/>
      </w:r>
      <w:r>
        <w:t xml:space="preserve"> </w:t>
      </w:r>
      <w:r>
        <w:t xml:space="preserve">tak jak ci, którzy stali się naocznymi świadkami, od początku, i słudzy Słowa dostarczyli nam je,</w:t>
      </w:r>
      <w:r>
        <w:rPr>
          <w:rStyle w:val="FootnoteReference"/>
        </w:rPr>
        <w:footnoteReference w:id="89"/>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90"/>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3"/>
      </w:r>
    </w:p>
    <w:p>
      <w:pPr>
        <w:pStyle w:val="BodyText"/>
      </w:pPr>
      <w:r>
        <w:t xml:space="preserve">Autor, kimkolwiek był, wyraźnie przypisuje boskie autorstwo temu cytatowi, który wydaje się pochodzić z 2 Listu Piotra 3,8.</w:t>
      </w:r>
      <w:r>
        <w:rPr>
          <w:rStyle w:val="FootnoteReference"/>
        </w:rPr>
        <w:footnoteReference w:id="9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9"/>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0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1"/>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5"/>
      </w:r>
      <w:r>
        <w:t xml:space="preserve">. Podobnie traktuje on Ewangelię Mateusza 19,9 lub Ewangelię Marka 10,11 w rozdziale 33.</w:t>
      </w:r>
    </w:p>
    <w:p>
      <w:pPr>
        <w:pStyle w:val="BodyText"/>
      </w:pPr>
      <w:r>
        <w:t xml:space="preserve">Teofil, biskup Antiochii</w:t>
      </w:r>
      <w:r>
        <w:rPr>
          <w:rStyle w:val="FootnoteReference"/>
        </w:rPr>
        <w:footnoteReference w:id="10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7"/>
      </w:r>
    </w:p>
    <w:p>
      <w:pPr>
        <w:pStyle w:val="BodyText"/>
      </w:pPr>
      <w:r>
        <w:t xml:space="preserve">Dzieła Ireneusza (zm. 202 r.)</w:t>
      </w:r>
      <w:r>
        <w:rPr>
          <w:rStyle w:val="FootnoteReference"/>
        </w:rPr>
        <w:footnoteReference w:id="108"/>
      </w:r>
      <w:r>
        <w:t xml:space="preserve">, które zachowały się do dziś, jego główne dzieło</w:t>
      </w:r>
      <w:r>
        <w:t xml:space="preserve"> </w:t>
      </w:r>
      <w:r>
        <w:rPr>
          <w:i/>
          <w:iCs/>
        </w:rPr>
        <w:t xml:space="preserve">Przeciw heretykom</w:t>
      </w:r>
      <w:r>
        <w:rPr>
          <w:rStyle w:val="FootnoteReference"/>
        </w:rPr>
        <w:footnoteReference w:id="10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10"/>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1"/>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4"/>
      </w:r>
      <w:r>
        <w:t xml:space="preserve"> </w:t>
      </w:r>
      <w:r>
        <w:t xml:space="preserve">którzy nie uznają Jezusa Chrystusa jako przychodzącego w ciele</w:t>
      </w:r>
      <w:r>
        <w:rPr>
          <w:rStyle w:val="FootnoteReference"/>
        </w:rPr>
        <w:footnoteReference w:id="11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8"/>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20"/>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7"/>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8"/>
    <w:bookmarkStart w:id="140"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9"/>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samego początku uznawali autorytet pism Nowego Testamentu – gdyby tak nie było, odrzuciliby autorytet Apostołów, a tym samym nie należeliby do grona wiernych. Do podstawowej uczciwości od samego początku dochodziła szacunek w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ugruntowała się na całym obszarze ich wpływów.</w:t>
      </w:r>
    </w:p>
    <w:p>
      <w:pPr>
        <w:pStyle w:val="BodyText"/>
      </w:pPr>
      <w:r>
        <w:t xml:space="preserve">We have seen that the faithful recognized the authority of the New Testament writings from the start—had they not they would have been rejecting the authority of the Apostles, and hence not been among the faithful. To a basic honesty would be added reverence in their handling of the text, from the start. And to these would be added vigilance, since the Apostles had repeatedly and emphatically warned them against false teachers.</w:t>
      </w:r>
    </w:p>
    <w:p>
      <w:pPr>
        <w:pStyle w:val="BodyText"/>
      </w:pPr>
      <w:r>
        <w:t xml:space="preserve">With an ever-increasing demand and consequent proliferation of copies throughout the Graeco-Roman world and with the potential for veryfying copies by having recourse to the centers still possessing the Autographs, the early textual situation was presumably highly favorable to the wide dissemination of MSS in close agreement with the original text. By the early years of the second century the dissemination of such copies can reasonably be expected to have been very widespread, with the logical consequence that the form of text they embodied would early become entrenched throughout the area of their influence.</w:t>
      </w:r>
    </w:p>
    <w:bookmarkEnd w:id="140"/>
    <w:bookmarkEnd w:id="141"/>
    <w:bookmarkEnd w:id="1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5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4">
    <w:p>
      <w:pPr>
        <w:pStyle w:val="FootnoteText"/>
      </w:pPr>
      <w:r>
        <w:rPr>
          <w:rStyle w:val="FootnoteReference"/>
        </w:rPr>
        <w:footnoteRef/>
      </w:r>
      <w:r>
        <w:t xml:space="preserve"> </w:t>
      </w:r>
      <w:r>
        <w:t xml:space="preserve">Do tej pory opublikowałem osiem, plus Tekst Grecki.</w:t>
      </w:r>
    </w:p>
  </w:footnote>
  <w:footnote w:id="55">
    <w:p>
      <w:pPr>
        <w:pStyle w:val="FootnoteText"/>
      </w:pPr>
      <w:r>
        <w:rPr>
          <w:rStyle w:val="FootnoteReference"/>
        </w:rPr>
        <w:footnoteRef/>
      </w:r>
      <w:r>
        <w:t xml:space="preserve"> </w:t>
      </w:r>
      <w:r>
        <w:t xml:space="preserve">Odniosłem się już do 1 Kronik 16,15.</w:t>
      </w:r>
    </w:p>
  </w:footnote>
  <w:footnote w:id="5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7">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9">
    <w:p>
      <w:pPr>
        <w:pStyle w:val="FootnoteText"/>
      </w:pPr>
      <w:r>
        <w:rPr>
          <w:rStyle w:val="FootnoteReference"/>
        </w:rPr>
        <w:footnoteRef/>
      </w:r>
      <w:r>
        <w:t xml:space="preserve"> </w:t>
      </w:r>
      <w:r>
        <w:t xml:space="preserve">Dostęp do Pisma jest niezbędny do duchowego wzrostu i pracy.</w:t>
      </w:r>
    </w:p>
  </w:footnote>
  <w:footnote w:id="6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4">
    <w:p>
      <w:pPr>
        <w:pStyle w:val="FootnoteText"/>
      </w:pPr>
      <w:r>
        <w:rPr>
          <w:rStyle w:val="FootnoteReference"/>
        </w:rPr>
        <w:footnoteRef/>
      </w:r>
      <w:r>
        <w:t xml:space="preserve"> </w:t>
      </w:r>
      <w:r>
        <w:t xml:space="preserve">Bardzo niewiele rozdziałów zostało napisanych w języku aramejskim.</w:t>
      </w:r>
    </w:p>
  </w:footnote>
  <w:footnote w:id="65">
    <w:p>
      <w:pPr>
        <w:pStyle w:val="FootnoteText"/>
      </w:pPr>
      <w:r>
        <w:rPr>
          <w:rStyle w:val="FootnoteReference"/>
        </w:rPr>
        <w:footnoteRef/>
      </w:r>
      <w:r>
        <w:t xml:space="preserve"> </w:t>
      </w:r>
      <w:r>
        <w:t xml:space="preserve">Więc nie mamy tu do czynienia z nauką w sensie obiektywnym.</w:t>
      </w:r>
    </w:p>
  </w:footnote>
  <w:footnote w:id="6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7">
    <w:p>
      <w:pPr>
        <w:pStyle w:val="FootnoteText"/>
      </w:pPr>
      <w:r>
        <w:rPr>
          <w:rStyle w:val="FootnoteReference"/>
        </w:rPr>
        <w:footnoteRef/>
      </w:r>
      <w:r>
        <w:t xml:space="preserve"> </w:t>
      </w:r>
      <w:r>
        <w:t xml:space="preserve">Mowa o informacjach historycznych w Biblii, w porównaniu do proroctw. [przyp. tłum.]</w:t>
      </w:r>
    </w:p>
  </w:footnote>
  <w:footnote w:id="6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7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80">
    <w:p>
      <w:pPr>
        <w:pStyle w:val="FootnoteText"/>
      </w:pPr>
      <w:r>
        <w:rPr>
          <w:rStyle w:val="FootnoteReference"/>
        </w:rPr>
        <w:footnoteRef/>
      </w:r>
      <w:r>
        <w:t xml:space="preserve"> </w:t>
      </w:r>
      <w:r>
        <w:t xml:space="preserve">NKJV - Biblia, przekład New King James Version. [przyp. tłum.]</w:t>
      </w:r>
    </w:p>
  </w:footnote>
  <w:footnote w:id="8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9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5">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6">
    <w:p>
      <w:pPr>
        <w:pStyle w:val="FootnoteText"/>
      </w:pPr>
      <w:r>
        <w:rPr>
          <w:rStyle w:val="FootnoteReference"/>
        </w:rPr>
        <w:footnoteRef/>
      </w:r>
      <w:r>
        <w:t xml:space="preserve"> </w:t>
      </w:r>
      <w:r>
        <w:t xml:space="preserve">Francis Glimm, ponownie.</w:t>
      </w:r>
    </w:p>
  </w:footnote>
  <w:footnote w:id="97">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0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2">
    <w:p>
      <w:pPr>
        <w:pStyle w:val="FootnoteText"/>
      </w:pPr>
      <w:r>
        <w:rPr>
          <w:rStyle w:val="FootnoteReference"/>
        </w:rPr>
        <w:footnoteRef/>
      </w:r>
      <w:r>
        <w:t xml:space="preserve"> </w:t>
      </w:r>
      <w:r>
        <w:t xml:space="preserve">Roberts i Donaldson, ponownie.</w:t>
      </w:r>
    </w:p>
  </w:footnote>
  <w:footnote w:id="10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4">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5">
    <w:p>
      <w:pPr>
        <w:pStyle w:val="FootnoteText"/>
      </w:pPr>
      <w:r>
        <w:rPr>
          <w:rStyle w:val="FootnoteReference"/>
        </w:rPr>
        <w:footnoteRef/>
      </w:r>
      <w:r>
        <w:t xml:space="preserve"> </w:t>
      </w:r>
      <w:r>
        <w:t xml:space="preserve">Skorzystałem z tłumaczenia autorstwa C.C. Richardsona z książki Early Christian Fathers.</w:t>
      </w:r>
    </w:p>
  </w:footnote>
  <w:footnote w:id="10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9">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1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20">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1">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7">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9">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r>
        <w:t xml:space="preserve"> </w:t>
      </w:r>
      <w:r>
        <w:t xml:space="preserve">Here was an excellent opportunity for the “Alexandrian” and “Western” texts to forge ahead and take ‘space’ away from the “Byzantine”, but it did not happen. The Church rejected those types of text. How can modern critics possibly be in a better position to identify the true text than was the Church universal in the early 4 th century?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2026-04-05T03:41:29Z</dcterms:created>
  <dcterms:modified xsi:type="dcterms:W3CDTF">2026-04-05T03:41:29Z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