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Brethren, I write you this concerning righteousness, not on my own initiative, but because you first invited me. For neither I, nor anyone like me, is able to rival the wisdom of the blessed and glorious Paul, who, when living among you, carefully and steadfastly taught the word of truth face to face with his contemporaries and, when he was absent, wrote you letters. By the careful perusal of his letters you will be able to strengthen yourselves in the faith given to you,</w:t>
      </w:r>
      <w:r>
        <w:t xml:space="preserve"> </w:t>
      </w:r>
      <w:r>
        <w:t xml:space="preserve">“</w:t>
      </w:r>
      <w:r>
        <w:t xml:space="preserve">which is the mother of us all</w:t>
      </w:r>
      <w:r>
        <w:t xml:space="preserve">”</w:t>
      </w:r>
      <w:r>
        <w:t xml:space="preserve">,…</w:t>
      </w:r>
      <w:r>
        <w:rPr>
          <w:rStyle w:val="FootnoteReference"/>
        </w:rPr>
        <w:footnoteReference w:id="108"/>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2025-12-26T05:07:19Z</dcterms:created>
  <dcterms:modified xsi:type="dcterms:W3CDTF">2025-12-26T05:07:19Z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